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ilvl w:val="0"/>
          <w:numId w:val="0"/>
        </w:numPr>
        <w:spacing w:line="520" w:lineRule="atLeast"/>
        <w:ind w:right="-67" w:rightChars="-32"/>
        <w:jc w:val="both"/>
        <w:rPr>
          <w:rFonts w:hint="eastAsia" w:eastAsia="仿宋_GB2312"/>
          <w:color w:val="auto"/>
          <w:sz w:val="32"/>
          <w:szCs w:val="30"/>
          <w:lang w:val="en-US" w:eastAsia="zh-CN"/>
        </w:rPr>
      </w:pPr>
    </w:p>
    <w:p>
      <w:pPr>
        <w:spacing w:line="520" w:lineRule="atLeast"/>
        <w:ind w:right="-67" w:rightChars="-32"/>
        <w:jc w:val="center"/>
        <w:rPr>
          <w:rFonts w:hint="eastAsia" w:eastAsia="方正小标宋简体"/>
          <w:color w:val="auto"/>
          <w:sz w:val="44"/>
          <w:szCs w:val="44"/>
          <w:lang w:val="en-US" w:eastAsia="zh-CN"/>
        </w:rPr>
      </w:pPr>
      <w:r>
        <w:rPr>
          <w:rFonts w:hint="eastAsia" w:eastAsia="方正小标宋简体"/>
          <w:color w:val="auto"/>
          <w:sz w:val="44"/>
          <w:szCs w:val="44"/>
          <w:lang w:val="en-US" w:eastAsia="zh-CN"/>
        </w:rPr>
        <w:t>数字聚合酶链反应分析仪注册审查</w:t>
      </w:r>
    </w:p>
    <w:p>
      <w:pPr>
        <w:spacing w:line="520" w:lineRule="atLeast"/>
        <w:ind w:right="-67" w:rightChars="-32"/>
        <w:jc w:val="center"/>
        <w:rPr>
          <w:rFonts w:eastAsia="方正小标宋简体"/>
          <w:color w:val="auto"/>
          <w:sz w:val="44"/>
          <w:szCs w:val="44"/>
        </w:rPr>
      </w:pPr>
      <w:r>
        <w:rPr>
          <w:rFonts w:hint="eastAsia" w:eastAsia="方正小标宋简体"/>
          <w:color w:val="auto"/>
          <w:sz w:val="44"/>
          <w:szCs w:val="44"/>
          <w:lang w:val="en-US" w:eastAsia="zh-CN"/>
        </w:rPr>
        <w:t>指导原则</w:t>
      </w:r>
      <w:r>
        <w:rPr>
          <w:rFonts w:eastAsia="方正小标宋简体"/>
          <w:color w:val="auto"/>
          <w:sz w:val="44"/>
          <w:szCs w:val="44"/>
        </w:rPr>
        <w:t>（</w:t>
      </w:r>
      <w:r>
        <w:rPr>
          <w:rFonts w:hint="eastAsia" w:eastAsia="方正小标宋简体"/>
          <w:color w:val="auto"/>
          <w:sz w:val="44"/>
          <w:szCs w:val="44"/>
          <w:lang w:val="en-US" w:eastAsia="zh-CN"/>
        </w:rPr>
        <w:t>征求意见稿</w:t>
      </w:r>
      <w:r>
        <w:rPr>
          <w:rFonts w:eastAsia="方正小标宋简体"/>
          <w:color w:val="auto"/>
          <w:sz w:val="44"/>
          <w:szCs w:val="44"/>
        </w:rPr>
        <w:t>）</w:t>
      </w:r>
    </w:p>
    <w:p>
      <w:pPr>
        <w:spacing w:line="520" w:lineRule="atLeast"/>
        <w:ind w:right="-67" w:rightChars="-32"/>
        <w:jc w:val="center"/>
        <w:rPr>
          <w:rFonts w:eastAsia="方正小标宋简体"/>
          <w:color w:val="auto"/>
          <w:sz w:val="32"/>
          <w:szCs w:val="44"/>
        </w:rPr>
      </w:pPr>
    </w:p>
    <w:p>
      <w:pPr>
        <w:spacing w:line="520" w:lineRule="atLeast"/>
        <w:ind w:firstLine="640" w:firstLineChars="200"/>
        <w:rPr>
          <w:rFonts w:eastAsia="仿宋_GB2312"/>
          <w:color w:val="auto"/>
          <w:kern w:val="0"/>
          <w:sz w:val="32"/>
          <w:szCs w:val="32"/>
        </w:rPr>
      </w:pPr>
      <w:r>
        <w:rPr>
          <w:rFonts w:eastAsia="仿宋_GB2312"/>
          <w:color w:val="auto"/>
          <w:kern w:val="0"/>
          <w:sz w:val="32"/>
          <w:szCs w:val="32"/>
        </w:rPr>
        <w:t>本指导原则旨在指导注册申请人对</w:t>
      </w:r>
      <w:r>
        <w:rPr>
          <w:rFonts w:hint="eastAsia" w:eastAsia="仿宋_GB2312"/>
          <w:color w:val="auto"/>
          <w:kern w:val="0"/>
          <w:sz w:val="32"/>
          <w:szCs w:val="32"/>
          <w:lang w:val="en-US" w:eastAsia="zh-CN"/>
        </w:rPr>
        <w:t>数字聚合酶链反应分析仪（下文简写为</w:t>
      </w:r>
      <w:r>
        <w:rPr>
          <w:rFonts w:hint="eastAsia" w:eastAsia="仿宋_GB2312"/>
          <w:color w:val="auto"/>
          <w:kern w:val="0"/>
          <w:sz w:val="32"/>
          <w:szCs w:val="32"/>
          <w:lang w:eastAsia="zh-CN"/>
        </w:rPr>
        <w:t>数字PCR分析仪</w:t>
      </w:r>
      <w:r>
        <w:rPr>
          <w:rFonts w:hint="eastAsia" w:eastAsia="仿宋_GB2312"/>
          <w:color w:val="auto"/>
          <w:kern w:val="0"/>
          <w:sz w:val="32"/>
          <w:szCs w:val="32"/>
          <w:lang w:val="en-US" w:eastAsia="zh-CN"/>
        </w:rPr>
        <w:t>）</w:t>
      </w:r>
      <w:r>
        <w:rPr>
          <w:rFonts w:eastAsia="仿宋_GB2312"/>
          <w:color w:val="auto"/>
          <w:kern w:val="0"/>
          <w:sz w:val="32"/>
          <w:szCs w:val="32"/>
        </w:rPr>
        <w:t>注册申报资料的准备及撰写，同时也为技术审评部门审评注册申报资料提供参考。</w:t>
      </w:r>
    </w:p>
    <w:p>
      <w:pPr>
        <w:spacing w:line="520" w:lineRule="atLeast"/>
        <w:ind w:firstLine="640" w:firstLineChars="200"/>
        <w:rPr>
          <w:rFonts w:eastAsia="仿宋_GB2312"/>
          <w:color w:val="auto"/>
          <w:kern w:val="0"/>
          <w:sz w:val="32"/>
          <w:szCs w:val="32"/>
        </w:rPr>
      </w:pPr>
      <w:r>
        <w:rPr>
          <w:rFonts w:eastAsia="仿宋_GB2312"/>
          <w:color w:val="auto"/>
          <w:kern w:val="0"/>
          <w:sz w:val="32"/>
          <w:szCs w:val="32"/>
        </w:rPr>
        <w:t>本指导原则是对</w:t>
      </w:r>
      <w:r>
        <w:rPr>
          <w:rFonts w:hint="eastAsia" w:eastAsia="仿宋_GB2312"/>
          <w:color w:val="auto"/>
          <w:kern w:val="0"/>
          <w:sz w:val="32"/>
          <w:szCs w:val="32"/>
          <w:lang w:eastAsia="zh-CN"/>
        </w:rPr>
        <w:t>数字PCR分析仪</w:t>
      </w:r>
      <w:r>
        <w:rPr>
          <w:rFonts w:eastAsia="仿宋_GB2312"/>
          <w:color w:val="auto"/>
          <w:kern w:val="0"/>
          <w:sz w:val="32"/>
          <w:szCs w:val="32"/>
        </w:rPr>
        <w:t>的一般要求，申请人应依据产品的具体特性确定其中内容是否适用，若不适用，需具体阐述理由及相应的科学依据，并依据产品的具体特性对注册申报资料的内容进行充实和细化。</w:t>
      </w:r>
    </w:p>
    <w:p>
      <w:pPr>
        <w:overflowPunct w:val="0"/>
        <w:autoSpaceDE w:val="0"/>
        <w:autoSpaceDN w:val="0"/>
        <w:spacing w:line="520" w:lineRule="atLeast"/>
        <w:ind w:firstLine="640" w:firstLineChars="200"/>
        <w:rPr>
          <w:rFonts w:eastAsia="仿宋_GB2312" w:cs="仿宋_GB2312"/>
          <w:snapToGrid w:val="0"/>
          <w:color w:val="auto"/>
          <w:kern w:val="0"/>
          <w:sz w:val="32"/>
          <w:szCs w:val="32"/>
        </w:rPr>
      </w:pPr>
      <w:r>
        <w:rPr>
          <w:rFonts w:hint="eastAsia" w:eastAsia="仿宋_GB2312" w:cs="仿宋_GB2312"/>
          <w:snapToGrid w:val="0"/>
          <w:color w:val="auto"/>
          <w:kern w:val="0"/>
          <w:sz w:val="32"/>
          <w:szCs w:val="32"/>
        </w:rPr>
        <w:t>本指导原则是供注册申请人和技术审评人员使用的指导性文件，但不包括注册审批所涉及的行政事项，亦不作为法规强制执行，应在遵循相关法规的前提下使用本指导原则。如果有能够满足相关法规要求的其他方法，也可以采用，但是需要提供详细的研究资料和验证资料。</w:t>
      </w:r>
    </w:p>
    <w:p>
      <w:pPr>
        <w:spacing w:line="520" w:lineRule="atLeast"/>
        <w:ind w:firstLine="640" w:firstLineChars="200"/>
        <w:rPr>
          <w:rFonts w:eastAsia="仿宋_GB2312"/>
          <w:color w:val="auto"/>
          <w:kern w:val="0"/>
          <w:sz w:val="32"/>
          <w:szCs w:val="32"/>
        </w:rPr>
      </w:pPr>
      <w:r>
        <w:rPr>
          <w:rFonts w:eastAsia="仿宋_GB2312"/>
          <w:color w:val="auto"/>
          <w:kern w:val="0"/>
          <w:sz w:val="32"/>
          <w:szCs w:val="32"/>
        </w:rPr>
        <w:t>本指导原则是在现行法规、标准体系及当前认知水平下制定的，随着法规、标准体系的不断完善和科学技术的不断发展，本指导原则相关内容也将适时进行调整。</w:t>
      </w:r>
    </w:p>
    <w:p>
      <w:pPr>
        <w:spacing w:line="520" w:lineRule="atLeast"/>
        <w:ind w:right="-67" w:rightChars="-32" w:firstLine="640" w:firstLineChars="200"/>
        <w:rPr>
          <w:rFonts w:eastAsia="黑体"/>
          <w:color w:val="auto"/>
          <w:sz w:val="32"/>
          <w:szCs w:val="32"/>
        </w:rPr>
      </w:pPr>
      <w:r>
        <w:rPr>
          <w:rFonts w:eastAsia="黑体"/>
          <w:color w:val="auto"/>
          <w:sz w:val="32"/>
          <w:szCs w:val="32"/>
        </w:rPr>
        <w:t>一、适用范围</w:t>
      </w:r>
    </w:p>
    <w:p>
      <w:pPr>
        <w:spacing w:line="520" w:lineRule="atLeast"/>
        <w:ind w:firstLine="640" w:firstLineChars="200"/>
        <w:jc w:val="left"/>
        <w:rPr>
          <w:rFonts w:hint="eastAsia" w:eastAsia="仿宋_GB2312"/>
          <w:color w:val="auto"/>
          <w:sz w:val="32"/>
          <w:szCs w:val="32"/>
          <w:lang w:val="en-US" w:eastAsia="zh-CN"/>
        </w:rPr>
      </w:pPr>
      <w:r>
        <w:rPr>
          <w:rFonts w:hint="eastAsia" w:eastAsia="仿宋_GB2312"/>
          <w:color w:val="auto"/>
          <w:sz w:val="32"/>
          <w:szCs w:val="32"/>
          <w:lang w:val="en-US" w:eastAsia="zh-CN"/>
        </w:rPr>
        <w:t>数字聚合酶链反应（digital polymerase chain reaction，dPCR）技术是一种大规模平行荧光单分子模板PCR扩增技术。它将一个荧光定量PCR反应体系分配到大量微小的反应单元中，使每个反应单元中包含0个、1个或少数几个拷贝的目标核酸分子，进而对所有独立的扩增反应单元进行平行扩增，扩增结束后，通过检测每个反应单元的荧光信号，根据荧光信号阳性反应单元的比例和泊松分布统计方法，计算原始样本中目标核酸分子的拷贝数。数字PCR可以直接计算目标序列的拷贝数，是一种无须依赖标准曲线的精准定量检测技术。</w:t>
      </w:r>
    </w:p>
    <w:p>
      <w:pPr>
        <w:adjustRightInd w:val="0"/>
        <w:snapToGrid w:val="0"/>
        <w:spacing w:line="520" w:lineRule="atLeast"/>
        <w:ind w:firstLine="640"/>
        <w:rPr>
          <w:rFonts w:ascii="Times New Roman" w:hAnsi="Times New Roman" w:eastAsia="仿宋_GB2312"/>
          <w:color w:val="auto"/>
          <w:sz w:val="32"/>
          <w:szCs w:val="32"/>
        </w:rPr>
      </w:pPr>
      <w:r>
        <w:rPr>
          <w:rFonts w:ascii="Times New Roman" w:hAnsi="Times New Roman" w:eastAsia="仿宋_GB2312"/>
          <w:color w:val="auto"/>
          <w:sz w:val="32"/>
          <w:szCs w:val="32"/>
        </w:rPr>
        <w:t>本指导原则适用于基于以上</w:t>
      </w:r>
      <w:r>
        <w:rPr>
          <w:rFonts w:hint="eastAsia" w:eastAsia="仿宋_GB2312"/>
          <w:color w:val="auto"/>
          <w:sz w:val="32"/>
          <w:szCs w:val="32"/>
          <w:lang w:val="en-US" w:eastAsia="zh-CN"/>
        </w:rPr>
        <w:t>数字</w:t>
      </w:r>
      <w:r>
        <w:rPr>
          <w:rFonts w:ascii="Times New Roman" w:hAnsi="Times New Roman" w:eastAsia="仿宋_GB2312"/>
          <w:color w:val="auto"/>
          <w:sz w:val="32"/>
          <w:szCs w:val="32"/>
        </w:rPr>
        <w:t>PCR技术进行</w:t>
      </w:r>
      <w:r>
        <w:rPr>
          <w:rFonts w:hint="eastAsia" w:eastAsia="仿宋_GB2312"/>
          <w:color w:val="auto"/>
          <w:sz w:val="32"/>
          <w:szCs w:val="32"/>
          <w:lang w:val="en-US" w:eastAsia="zh-CN"/>
        </w:rPr>
        <w:t>核酸</w:t>
      </w:r>
      <w:r>
        <w:rPr>
          <w:rFonts w:ascii="Times New Roman" w:hAnsi="Times New Roman" w:eastAsia="仿宋_GB2312"/>
          <w:color w:val="auto"/>
          <w:sz w:val="32"/>
          <w:szCs w:val="32"/>
        </w:rPr>
        <w:t>定性或定量检测的</w:t>
      </w:r>
      <w:r>
        <w:rPr>
          <w:rFonts w:hint="eastAsia" w:eastAsia="仿宋_GB2312"/>
          <w:color w:val="auto"/>
          <w:sz w:val="32"/>
          <w:szCs w:val="32"/>
          <w:lang w:val="en-US" w:eastAsia="zh-CN"/>
        </w:rPr>
        <w:t>数字PCR分析仪；</w:t>
      </w:r>
      <w:r>
        <w:rPr>
          <w:rFonts w:ascii="Times New Roman" w:hAnsi="Times New Roman" w:eastAsia="仿宋_GB2312"/>
          <w:color w:val="auto"/>
          <w:sz w:val="32"/>
          <w:szCs w:val="32"/>
        </w:rPr>
        <w:t>适用于全自动</w:t>
      </w:r>
      <w:r>
        <w:rPr>
          <w:rFonts w:hint="eastAsia" w:eastAsia="仿宋_GB2312"/>
          <w:color w:val="auto"/>
          <w:sz w:val="32"/>
          <w:szCs w:val="32"/>
          <w:lang w:val="en-US" w:eastAsia="zh-CN"/>
        </w:rPr>
        <w:t>一体式数字PCR检测系统，也适用于分体式半自动数字PCR分析仪</w:t>
      </w:r>
      <w:r>
        <w:rPr>
          <w:rFonts w:ascii="Times New Roman" w:hAnsi="Times New Roman" w:eastAsia="仿宋_GB2312"/>
          <w:color w:val="auto"/>
          <w:sz w:val="32"/>
          <w:szCs w:val="32"/>
        </w:rPr>
        <w:t>。不适用于实时荧光</w:t>
      </w:r>
      <w:r>
        <w:rPr>
          <w:rFonts w:hint="eastAsia" w:eastAsia="仿宋_GB2312"/>
          <w:color w:val="auto"/>
          <w:sz w:val="32"/>
          <w:szCs w:val="32"/>
          <w:lang w:val="en-US" w:eastAsia="zh-CN"/>
        </w:rPr>
        <w:t>定量</w:t>
      </w:r>
      <w:r>
        <w:rPr>
          <w:rFonts w:ascii="Times New Roman" w:hAnsi="Times New Roman" w:eastAsia="仿宋_GB2312"/>
          <w:color w:val="auto"/>
          <w:sz w:val="32"/>
          <w:szCs w:val="32"/>
        </w:rPr>
        <w:t>PCR</w:t>
      </w:r>
      <w:r>
        <w:rPr>
          <w:rFonts w:hint="eastAsia" w:eastAsia="仿宋_GB2312"/>
          <w:color w:val="auto"/>
          <w:sz w:val="32"/>
          <w:szCs w:val="32"/>
          <w:lang w:val="en-US" w:eastAsia="zh-CN"/>
        </w:rPr>
        <w:t>分析仪，不适用于等温</w:t>
      </w:r>
      <w:r>
        <w:rPr>
          <w:rFonts w:ascii="Times New Roman" w:hAnsi="Times New Roman" w:eastAsia="仿宋_GB2312"/>
          <w:color w:val="auto"/>
          <w:sz w:val="32"/>
          <w:szCs w:val="32"/>
        </w:rPr>
        <w:t>核酸</w:t>
      </w:r>
      <w:r>
        <w:rPr>
          <w:rFonts w:hint="eastAsia" w:eastAsia="仿宋_GB2312"/>
          <w:color w:val="auto"/>
          <w:sz w:val="32"/>
          <w:szCs w:val="32"/>
          <w:lang w:val="en-US" w:eastAsia="zh-CN"/>
        </w:rPr>
        <w:t>扩增技术的核酸分析仪</w:t>
      </w:r>
      <w:r>
        <w:rPr>
          <w:rFonts w:ascii="Times New Roman" w:hAnsi="Times New Roman" w:eastAsia="仿宋_GB2312"/>
          <w:color w:val="auto"/>
          <w:sz w:val="32"/>
          <w:szCs w:val="32"/>
        </w:rPr>
        <w:t>。</w:t>
      </w:r>
    </w:p>
    <w:p>
      <w:pPr>
        <w:spacing w:line="520" w:lineRule="atLeast"/>
        <w:ind w:firstLine="640" w:firstLineChars="200"/>
        <w:rPr>
          <w:rFonts w:hint="eastAsia" w:eastAsia="仿宋_GB2312"/>
          <w:color w:val="auto"/>
          <w:sz w:val="32"/>
          <w:szCs w:val="32"/>
          <w:lang w:val="en-US" w:eastAsia="zh-CN"/>
        </w:rPr>
      </w:pPr>
      <w:r>
        <w:rPr>
          <w:rFonts w:ascii="仿宋_GB2312" w:eastAsia="仿宋_GB2312"/>
          <w:color w:val="auto"/>
          <w:sz w:val="32"/>
          <w:szCs w:val="32"/>
        </w:rPr>
        <w:t>本指导原则针对</w:t>
      </w:r>
      <w:r>
        <w:rPr>
          <w:rFonts w:hint="eastAsia" w:ascii="仿宋_GB2312" w:eastAsia="仿宋_GB2312"/>
          <w:color w:val="auto"/>
          <w:sz w:val="32"/>
          <w:szCs w:val="32"/>
          <w:lang w:val="en-US" w:eastAsia="zh-CN"/>
        </w:rPr>
        <w:t>数字PCR分析仪</w:t>
      </w:r>
      <w:r>
        <w:rPr>
          <w:rFonts w:ascii="仿宋_GB2312" w:eastAsia="仿宋_GB2312"/>
          <w:color w:val="auto"/>
          <w:sz w:val="32"/>
          <w:szCs w:val="32"/>
        </w:rPr>
        <w:t>注册申报资料中的部分内容进行撰写，其他未尽事宜应当符合《关于公布</w:t>
      </w:r>
      <w:r>
        <w:rPr>
          <w:rFonts w:hint="eastAsia" w:ascii="仿宋_GB2312" w:eastAsia="仿宋_GB2312"/>
          <w:color w:val="auto"/>
          <w:sz w:val="32"/>
          <w:szCs w:val="32"/>
          <w:lang w:val="en-US" w:eastAsia="zh-CN"/>
        </w:rPr>
        <w:t>医疗器械</w:t>
      </w:r>
      <w:r>
        <w:rPr>
          <w:rFonts w:ascii="仿宋_GB2312" w:eastAsia="仿宋_GB2312"/>
          <w:color w:val="auto"/>
          <w:sz w:val="32"/>
          <w:szCs w:val="32"/>
        </w:rPr>
        <w:t>注册申报资料要求和批准证明文件格式的公告》等相关法规要求。</w:t>
      </w:r>
    </w:p>
    <w:p>
      <w:pPr>
        <w:spacing w:line="520" w:lineRule="atLeast"/>
        <w:ind w:right="-67" w:rightChars="-32" w:firstLine="640" w:firstLineChars="200"/>
        <w:rPr>
          <w:rFonts w:eastAsia="楷体_GB2312"/>
          <w:color w:val="auto"/>
          <w:sz w:val="32"/>
          <w:szCs w:val="32"/>
        </w:rPr>
      </w:pPr>
      <w:r>
        <w:rPr>
          <w:rFonts w:eastAsia="黑体"/>
          <w:color w:val="auto"/>
          <w:sz w:val="32"/>
          <w:szCs w:val="32"/>
        </w:rPr>
        <w:t>二、</w:t>
      </w:r>
      <w:r>
        <w:rPr>
          <w:rFonts w:hint="eastAsia" w:eastAsia="黑体"/>
          <w:color w:val="auto"/>
          <w:sz w:val="32"/>
          <w:szCs w:val="32"/>
        </w:rPr>
        <w:t>注册</w:t>
      </w:r>
      <w:r>
        <w:rPr>
          <w:rFonts w:eastAsia="黑体"/>
          <w:color w:val="auto"/>
          <w:sz w:val="32"/>
          <w:szCs w:val="32"/>
        </w:rPr>
        <w:t>审查要点</w:t>
      </w:r>
    </w:p>
    <w:p>
      <w:pPr>
        <w:spacing w:line="520" w:lineRule="atLeast"/>
        <w:ind w:firstLine="640" w:firstLineChars="200"/>
        <w:rPr>
          <w:rFonts w:ascii="Times New Roman" w:hAnsi="Times New Roman" w:eastAsia="楷体_GB2312"/>
          <w:color w:val="auto"/>
          <w:sz w:val="32"/>
          <w:szCs w:val="32"/>
        </w:rPr>
      </w:pPr>
      <w:r>
        <w:rPr>
          <w:rFonts w:ascii="Times New Roman" w:hAnsi="Times New Roman" w:eastAsia="楷体_GB2312"/>
          <w:color w:val="auto"/>
          <w:sz w:val="32"/>
          <w:szCs w:val="32"/>
        </w:rPr>
        <w:t>（一）监管信息</w:t>
      </w:r>
    </w:p>
    <w:p>
      <w:pPr>
        <w:spacing w:line="520" w:lineRule="atLeas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w:t>
      </w:r>
      <w:r>
        <w:rPr>
          <w:rFonts w:ascii="Times New Roman" w:hAnsi="Times New Roman" w:eastAsia="仿宋_GB2312"/>
          <w:color w:val="auto"/>
          <w:spacing w:val="-1"/>
          <w:sz w:val="32"/>
          <w:szCs w:val="32"/>
        </w:rPr>
        <w:t>产品名称</w:t>
      </w:r>
    </w:p>
    <w:p>
      <w:pPr>
        <w:spacing w:line="520" w:lineRule="atLeast"/>
        <w:ind w:firstLine="640" w:firstLineChars="200"/>
        <w:rPr>
          <w:rFonts w:hint="default" w:ascii="仿宋_GB2312" w:eastAsia="仿宋_GB2312"/>
          <w:color w:val="auto"/>
          <w:kern w:val="2"/>
          <w:sz w:val="32"/>
          <w:szCs w:val="32"/>
        </w:rPr>
      </w:pPr>
      <w:r>
        <w:rPr>
          <w:rFonts w:hint="default" w:ascii="仿宋_GB2312" w:eastAsia="仿宋_GB2312"/>
          <w:color w:val="auto"/>
          <w:kern w:val="2"/>
          <w:sz w:val="32"/>
          <w:szCs w:val="32"/>
          <w:lang w:val="en-US" w:eastAsia="zh-CN"/>
        </w:rPr>
        <w:t>产品名称应符合《医疗器械通用名称命名规则》</w:t>
      </w:r>
      <w:r>
        <w:rPr>
          <w:rFonts w:ascii="仿宋_GB2312" w:hAnsi="Times New Roman" w:eastAsia="仿宋_GB2312" w:cs="Times New Roman"/>
          <w:bCs w:val="0"/>
          <w:color w:val="auto"/>
          <w:sz w:val="32"/>
          <w:szCs w:val="32"/>
        </w:rPr>
        <w:t>及有关规定。</w:t>
      </w:r>
    </w:p>
    <w:p>
      <w:pPr>
        <w:spacing w:line="520" w:lineRule="atLeast"/>
        <w:ind w:firstLine="0" w:firstLineChars="0"/>
        <w:rPr>
          <w:rFonts w:ascii="仿宋_GB2312" w:eastAsia="仿宋_GB2312"/>
          <w:color w:val="auto"/>
          <w:sz w:val="32"/>
          <w:szCs w:val="32"/>
        </w:rPr>
      </w:pPr>
      <w:r>
        <w:rPr>
          <w:rFonts w:hint="default" w:ascii="仿宋_GB2312" w:eastAsia="仿宋_GB2312"/>
          <w:color w:val="auto"/>
          <w:kern w:val="2"/>
          <w:sz w:val="32"/>
          <w:szCs w:val="32"/>
        </w:rPr>
        <w:t>申请人可结合申报产品的特征，直接选用《医疗器械分类目录》品名举例中的适用名称；也可根据医疗器械命名原则，参考《医疗器械分类目录》中的品名举例确定命名，并详细描述确定依据。</w:t>
      </w:r>
      <w:r>
        <w:rPr>
          <w:rFonts w:hint="default" w:ascii="仿宋_GB2312" w:eastAsia="仿宋_GB2312"/>
          <w:color w:val="auto"/>
          <w:kern w:val="2"/>
          <w:sz w:val="32"/>
          <w:szCs w:val="32"/>
          <w:lang w:val="en-US" w:eastAsia="zh-CN"/>
        </w:rPr>
        <w:t>可命名为如数字PCR分析仪、全自动数字PCR分析系统等。</w:t>
      </w:r>
    </w:p>
    <w:p>
      <w:pPr>
        <w:numPr>
          <w:ilvl w:val="0"/>
          <w:numId w:val="0"/>
        </w:numPr>
        <w:spacing w:line="520" w:lineRule="atLeas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管理类别和分类编码</w:t>
      </w:r>
    </w:p>
    <w:p>
      <w:pPr>
        <w:spacing w:line="520" w:lineRule="atLeas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产品按第</w:t>
      </w:r>
      <w:r>
        <w:rPr>
          <w:rFonts w:hint="eastAsia" w:ascii="宋体" w:hAnsi="宋体" w:eastAsia="宋体" w:cs="宋体"/>
          <w:color w:val="auto"/>
          <w:sz w:val="32"/>
          <w:szCs w:val="32"/>
        </w:rPr>
        <w:t>Ⅲ</w:t>
      </w:r>
      <w:r>
        <w:rPr>
          <w:rFonts w:ascii="Times New Roman" w:hAnsi="Times New Roman" w:eastAsia="仿宋_GB2312" w:cs="Times New Roman"/>
          <w:color w:val="auto"/>
          <w:sz w:val="32"/>
          <w:szCs w:val="32"/>
        </w:rPr>
        <w:t>类医疗器械管理，</w:t>
      </w:r>
      <w:r>
        <w:rPr>
          <w:rFonts w:ascii="Times New Roman" w:hAnsi="Times New Roman" w:eastAsia="仿宋_GB2312" w:cs="Times New Roman"/>
          <w:bCs/>
          <w:color w:val="auto"/>
          <w:sz w:val="32"/>
          <w:szCs w:val="32"/>
        </w:rPr>
        <w:t>该产品属于《医疗器械分类目录》中</w:t>
      </w:r>
      <w:r>
        <w:rPr>
          <w:rFonts w:hint="eastAsia" w:ascii="Times New Roman" w:hAnsi="Times New Roman" w:eastAsia="仿宋_GB2312" w:cs="Times New Roman"/>
          <w:bCs/>
          <w:color w:val="auto"/>
          <w:sz w:val="32"/>
          <w:szCs w:val="32"/>
          <w:lang w:val="en-US" w:eastAsia="zh-CN"/>
        </w:rPr>
        <w:t>22临床检验</w:t>
      </w:r>
      <w:r>
        <w:rPr>
          <w:rFonts w:ascii="Times New Roman" w:hAnsi="Times New Roman" w:eastAsia="仿宋_GB2312" w:cs="Times New Roman"/>
          <w:bCs/>
          <w:color w:val="auto"/>
          <w:sz w:val="32"/>
          <w:szCs w:val="32"/>
        </w:rPr>
        <w:t>器械目录下</w:t>
      </w:r>
      <w:r>
        <w:rPr>
          <w:rFonts w:hint="eastAsia" w:ascii="Times New Roman" w:hAnsi="Times New Roman" w:eastAsia="仿宋_GB2312" w:cs="Times New Roman"/>
          <w:bCs/>
          <w:color w:val="auto"/>
          <w:sz w:val="32"/>
          <w:szCs w:val="32"/>
          <w:lang w:val="en-US" w:eastAsia="zh-CN"/>
        </w:rPr>
        <w:t>05</w:t>
      </w:r>
      <w:r>
        <w:rPr>
          <w:rFonts w:hint="eastAsia" w:ascii="Times New Roman" w:hAnsi="Times New Roman" w:eastAsia="仿宋_GB2312" w:cs="Times New Roman"/>
          <w:bCs/>
          <w:color w:val="auto"/>
          <w:sz w:val="32"/>
          <w:szCs w:val="32"/>
        </w:rPr>
        <w:t>分子生物学分析设备</w:t>
      </w:r>
      <w:r>
        <w:rPr>
          <w:rFonts w:ascii="Times New Roman" w:hAnsi="Times New Roman" w:eastAsia="仿宋_GB2312" w:cs="Times New Roman"/>
          <w:bCs/>
          <w:color w:val="auto"/>
          <w:sz w:val="32"/>
          <w:szCs w:val="32"/>
        </w:rPr>
        <w:t>项</w:t>
      </w:r>
      <w:r>
        <w:rPr>
          <w:rFonts w:ascii="Times New Roman" w:hAnsi="Times New Roman" w:eastAsia="仿宋_GB2312" w:cs="Times New Roman"/>
          <w:color w:val="auto"/>
          <w:sz w:val="32"/>
          <w:szCs w:val="32"/>
        </w:rPr>
        <w:t>下0</w:t>
      </w:r>
      <w:r>
        <w:rPr>
          <w:rFonts w:hint="eastAsia" w:eastAsia="仿宋_GB2312" w:cs="Times New Roman"/>
          <w:color w:val="auto"/>
          <w:sz w:val="32"/>
          <w:szCs w:val="32"/>
          <w:lang w:val="en-US" w:eastAsia="zh-CN"/>
        </w:rPr>
        <w:t>3核酸扩增分析仪器</w:t>
      </w:r>
      <w:r>
        <w:rPr>
          <w:rFonts w:ascii="Times New Roman" w:hAnsi="Times New Roman" w:eastAsia="仿宋_GB2312" w:cs="Times New Roman"/>
          <w:color w:val="auto"/>
          <w:sz w:val="32"/>
          <w:szCs w:val="32"/>
        </w:rPr>
        <w:t>。</w:t>
      </w:r>
    </w:p>
    <w:p>
      <w:pPr>
        <w:numPr>
          <w:ilvl w:val="0"/>
          <w:numId w:val="0"/>
        </w:numPr>
        <w:spacing w:line="520" w:lineRule="atLeas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注册单元划分</w:t>
      </w:r>
    </w:p>
    <w:p>
      <w:pPr>
        <w:numPr>
          <w:ilvl w:val="0"/>
          <w:numId w:val="0"/>
        </w:numPr>
        <w:spacing w:line="520" w:lineRule="atLeast"/>
        <w:ind w:firstLine="640" w:firstLineChars="200"/>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参照《医疗器械注册单元划分指导原则》中有源医疗器械注册单元划分的基本原则进行划分。</w:t>
      </w:r>
    </w:p>
    <w:p>
      <w:pPr>
        <w:numPr>
          <w:ilvl w:val="0"/>
          <w:numId w:val="0"/>
        </w:numPr>
        <w:spacing w:line="520" w:lineRule="atLeast"/>
        <w:ind w:firstLine="640" w:firstLineChars="200"/>
        <w:rPr>
          <w:rFonts w:hint="default" w:ascii="Times New Roman" w:hAnsi="Times New Roman" w:eastAsia="仿宋_GB2312"/>
          <w:strike/>
          <w:dstrike w:val="0"/>
          <w:color w:val="auto"/>
          <w:kern w:val="0"/>
          <w:sz w:val="32"/>
          <w:szCs w:val="32"/>
          <w:lang w:val="en-US"/>
        </w:rPr>
      </w:pPr>
      <w:r>
        <w:rPr>
          <w:rFonts w:ascii="Times New Roman" w:hAnsi="Times New Roman" w:eastAsia="仿宋_GB2312"/>
          <w:color w:val="auto"/>
          <w:kern w:val="0"/>
          <w:sz w:val="32"/>
          <w:szCs w:val="32"/>
        </w:rPr>
        <w:t>原则上同一注册单元</w:t>
      </w:r>
      <w:r>
        <w:rPr>
          <w:rFonts w:hint="eastAsia" w:eastAsia="仿宋_GB2312"/>
          <w:color w:val="auto"/>
          <w:kern w:val="0"/>
          <w:sz w:val="32"/>
          <w:szCs w:val="32"/>
          <w:lang w:eastAsia="zh-CN"/>
        </w:rPr>
        <w:t>数字PCR分析仪</w:t>
      </w:r>
      <w:r>
        <w:rPr>
          <w:rFonts w:ascii="Times New Roman" w:hAnsi="Times New Roman" w:eastAsia="仿宋_GB2312"/>
          <w:color w:val="auto"/>
          <w:kern w:val="0"/>
          <w:sz w:val="32"/>
          <w:szCs w:val="32"/>
        </w:rPr>
        <w:t>的技术原理、结构组成、性能指标和适用范围应基本一致</w:t>
      </w:r>
      <w:r>
        <w:rPr>
          <w:rFonts w:hint="eastAsia" w:ascii="Times New Roman" w:hAnsi="Times New Roman" w:eastAsia="仿宋_GB2312"/>
          <w:color w:val="auto"/>
          <w:kern w:val="0"/>
          <w:sz w:val="32"/>
          <w:szCs w:val="32"/>
          <w:lang w:eastAsia="zh-CN"/>
        </w:rPr>
        <w:t>。</w:t>
      </w:r>
      <w:r>
        <w:rPr>
          <w:rFonts w:hint="eastAsia" w:eastAsia="仿宋_GB2312"/>
          <w:strike w:val="0"/>
          <w:dstrike w:val="0"/>
          <w:color w:val="auto"/>
          <w:kern w:val="0"/>
          <w:sz w:val="32"/>
          <w:szCs w:val="32"/>
          <w:lang w:val="en-US" w:eastAsia="zh-CN"/>
        </w:rPr>
        <w:t>同一组成模块数量不同、多荧光通道的数量不同</w:t>
      </w:r>
      <w:r>
        <w:rPr>
          <w:rFonts w:hint="eastAsia" w:ascii="Times New Roman" w:hAnsi="Times New Roman" w:eastAsia="仿宋_GB2312"/>
          <w:strike w:val="0"/>
          <w:dstrike w:val="0"/>
          <w:color w:val="auto"/>
          <w:kern w:val="0"/>
          <w:sz w:val="32"/>
          <w:szCs w:val="32"/>
          <w:lang w:val="en-US" w:eastAsia="zh-CN"/>
        </w:rPr>
        <w:t>，可以作为同一注册单元</w:t>
      </w:r>
      <w:r>
        <w:rPr>
          <w:rFonts w:hint="eastAsia" w:eastAsia="仿宋_GB2312"/>
          <w:strike w:val="0"/>
          <w:dstrike w:val="0"/>
          <w:color w:val="auto"/>
          <w:kern w:val="0"/>
          <w:sz w:val="32"/>
          <w:szCs w:val="32"/>
          <w:lang w:val="en-US" w:eastAsia="zh-CN"/>
        </w:rPr>
        <w:t>；</w:t>
      </w:r>
      <w:r>
        <w:rPr>
          <w:rFonts w:hint="eastAsia" w:eastAsia="仿宋_GB2312"/>
          <w:strike w:val="0"/>
          <w:dstrike w:val="0"/>
          <w:color w:val="auto"/>
          <w:kern w:val="0"/>
          <w:sz w:val="32"/>
          <w:szCs w:val="32"/>
          <w:highlight w:val="none"/>
          <w:lang w:val="en-US" w:eastAsia="zh-CN"/>
        </w:rPr>
        <w:t>样本通量不同，</w:t>
      </w:r>
      <w:r>
        <w:rPr>
          <w:rFonts w:hint="eastAsia" w:ascii="Times New Roman" w:hAnsi="Times New Roman" w:eastAsia="仿宋_GB2312"/>
          <w:strike w:val="0"/>
          <w:dstrike w:val="0"/>
          <w:color w:val="auto"/>
          <w:kern w:val="0"/>
          <w:sz w:val="32"/>
          <w:szCs w:val="32"/>
          <w:lang w:val="en-US" w:eastAsia="zh-CN"/>
        </w:rPr>
        <w:t>可以作为同一注册单元</w:t>
      </w:r>
      <w:r>
        <w:rPr>
          <w:rFonts w:ascii="Times New Roman" w:hAnsi="Times New Roman" w:eastAsia="仿宋_GB2312"/>
          <w:strike w:val="0"/>
          <w:dstrike w:val="0"/>
          <w:color w:val="auto"/>
          <w:kern w:val="0"/>
          <w:sz w:val="32"/>
          <w:szCs w:val="32"/>
        </w:rPr>
        <w:t>。</w:t>
      </w:r>
    </w:p>
    <w:p>
      <w:pPr>
        <w:numPr>
          <w:ilvl w:val="0"/>
          <w:numId w:val="0"/>
        </w:numPr>
        <w:spacing w:line="520" w:lineRule="atLeast"/>
        <w:ind w:firstLine="640" w:firstLineChars="200"/>
        <w:rPr>
          <w:rFonts w:hint="default" w:eastAsia="仿宋_GB2312"/>
          <w:strike/>
          <w:dstrike w:val="0"/>
          <w:color w:val="auto"/>
          <w:kern w:val="0"/>
          <w:sz w:val="32"/>
          <w:szCs w:val="32"/>
          <w:lang w:val="en-US" w:eastAsia="zh-CN"/>
        </w:rPr>
      </w:pPr>
      <w:r>
        <w:rPr>
          <w:rFonts w:hint="eastAsia" w:eastAsia="仿宋_GB2312"/>
          <w:strike w:val="0"/>
          <w:dstrike w:val="0"/>
          <w:color w:val="auto"/>
          <w:kern w:val="0"/>
          <w:sz w:val="32"/>
          <w:szCs w:val="32"/>
          <w:highlight w:val="none"/>
          <w:lang w:val="en-US" w:eastAsia="zh-CN"/>
        </w:rPr>
        <w:t>数字PCR反应单元形式不同的产品，如微滴式、微孔式，应</w:t>
      </w:r>
      <w:r>
        <w:rPr>
          <w:rFonts w:ascii="Times New Roman" w:hAnsi="Times New Roman" w:eastAsia="仿宋_GB2312"/>
          <w:strike w:val="0"/>
          <w:dstrike w:val="0"/>
          <w:color w:val="auto"/>
          <w:kern w:val="0"/>
          <w:sz w:val="32"/>
          <w:szCs w:val="32"/>
          <w:highlight w:val="none"/>
        </w:rPr>
        <w:t>划分为不同的注册单元。</w:t>
      </w:r>
      <w:r>
        <w:rPr>
          <w:rFonts w:hint="eastAsia" w:ascii="Times New Roman" w:hAnsi="Times New Roman" w:eastAsia="仿宋_GB2312"/>
          <w:strike w:val="0"/>
          <w:dstrike w:val="0"/>
          <w:color w:val="auto"/>
          <w:kern w:val="0"/>
          <w:sz w:val="32"/>
          <w:szCs w:val="32"/>
          <w:lang w:val="en-US" w:eastAsia="zh-CN"/>
        </w:rPr>
        <w:t>微滴式</w:t>
      </w:r>
      <w:r>
        <w:rPr>
          <w:rFonts w:hint="eastAsia" w:eastAsia="仿宋_GB2312"/>
          <w:strike w:val="0"/>
          <w:dstrike w:val="0"/>
          <w:color w:val="auto"/>
          <w:kern w:val="0"/>
          <w:sz w:val="32"/>
          <w:szCs w:val="32"/>
          <w:lang w:val="en-US" w:eastAsia="zh-CN"/>
        </w:rPr>
        <w:t>数字PCR分析仪</w:t>
      </w:r>
      <w:r>
        <w:rPr>
          <w:rFonts w:hint="eastAsia" w:ascii="Times New Roman" w:hAnsi="Times New Roman" w:eastAsia="仿宋_GB2312"/>
          <w:strike w:val="0"/>
          <w:dstrike w:val="0"/>
          <w:color w:val="auto"/>
          <w:kern w:val="0"/>
          <w:sz w:val="32"/>
          <w:szCs w:val="32"/>
          <w:lang w:val="en-US" w:eastAsia="zh-CN"/>
        </w:rPr>
        <w:t>中，</w:t>
      </w:r>
      <w:r>
        <w:rPr>
          <w:rFonts w:hint="eastAsia" w:ascii="Times New Roman" w:hAnsi="Times New Roman" w:eastAsia="仿宋_GB2312"/>
          <w:strike w:val="0"/>
          <w:dstrike w:val="0"/>
          <w:color w:val="auto"/>
          <w:kern w:val="0"/>
          <w:sz w:val="32"/>
          <w:szCs w:val="32"/>
          <w:lang w:eastAsia="zh-CN"/>
        </w:rPr>
        <w:t>微液滴生成方式</w:t>
      </w:r>
      <w:r>
        <w:rPr>
          <w:rFonts w:hint="eastAsia" w:eastAsia="仿宋_GB2312"/>
          <w:strike w:val="0"/>
          <w:dstrike w:val="0"/>
          <w:color w:val="auto"/>
          <w:kern w:val="0"/>
          <w:sz w:val="32"/>
          <w:szCs w:val="32"/>
          <w:lang w:val="en-US" w:eastAsia="zh-CN"/>
        </w:rPr>
        <w:t>不同</w:t>
      </w:r>
      <w:r>
        <w:rPr>
          <w:rFonts w:ascii="Times New Roman" w:hAnsi="Times New Roman" w:eastAsia="仿宋_GB2312"/>
          <w:strike w:val="0"/>
          <w:dstrike w:val="0"/>
          <w:color w:val="auto"/>
          <w:kern w:val="0"/>
          <w:sz w:val="32"/>
          <w:szCs w:val="32"/>
        </w:rPr>
        <w:t>的产品，如</w:t>
      </w:r>
      <w:r>
        <w:rPr>
          <w:rFonts w:hint="eastAsia" w:eastAsia="仿宋_GB2312"/>
          <w:strike w:val="0"/>
          <w:dstrike w:val="0"/>
          <w:color w:val="auto"/>
          <w:kern w:val="0"/>
          <w:sz w:val="32"/>
          <w:szCs w:val="32"/>
          <w:lang w:val="en-US" w:eastAsia="zh-CN"/>
        </w:rPr>
        <w:t>流动聚焦法（十字交叉法）、阶梯乳化</w:t>
      </w:r>
      <w:r>
        <w:rPr>
          <w:rFonts w:hint="eastAsia" w:ascii="Times New Roman" w:hAnsi="Times New Roman" w:eastAsia="仿宋_GB2312"/>
          <w:strike w:val="0"/>
          <w:dstrike w:val="0"/>
          <w:color w:val="auto"/>
          <w:kern w:val="0"/>
          <w:sz w:val="32"/>
          <w:szCs w:val="32"/>
          <w:lang w:eastAsia="zh-CN"/>
        </w:rPr>
        <w:t>法</w:t>
      </w:r>
      <w:r>
        <w:rPr>
          <w:rFonts w:hint="eastAsia" w:eastAsia="仿宋_GB2312"/>
          <w:strike w:val="0"/>
          <w:dstrike w:val="0"/>
          <w:color w:val="auto"/>
          <w:kern w:val="0"/>
          <w:sz w:val="32"/>
          <w:szCs w:val="32"/>
          <w:lang w:eastAsia="zh-CN"/>
        </w:rPr>
        <w:t>、</w:t>
      </w:r>
      <w:r>
        <w:rPr>
          <w:rFonts w:hint="eastAsia" w:eastAsia="仿宋_GB2312"/>
          <w:strike w:val="0"/>
          <w:dstrike w:val="0"/>
          <w:color w:val="auto"/>
          <w:kern w:val="0"/>
          <w:sz w:val="32"/>
          <w:szCs w:val="32"/>
          <w:lang w:val="en-US" w:eastAsia="zh-CN"/>
        </w:rPr>
        <w:t>振动注射法等</w:t>
      </w:r>
      <w:r>
        <w:rPr>
          <w:rFonts w:ascii="Times New Roman" w:hAnsi="Times New Roman" w:eastAsia="仿宋_GB2312"/>
          <w:strike w:val="0"/>
          <w:dstrike w:val="0"/>
          <w:color w:val="auto"/>
          <w:kern w:val="0"/>
          <w:sz w:val="32"/>
          <w:szCs w:val="32"/>
        </w:rPr>
        <w:t>，</w:t>
      </w:r>
      <w:r>
        <w:rPr>
          <w:rFonts w:hint="eastAsia" w:eastAsia="仿宋_GB2312"/>
          <w:strike w:val="0"/>
          <w:dstrike w:val="0"/>
          <w:color w:val="auto"/>
          <w:kern w:val="0"/>
          <w:sz w:val="32"/>
          <w:szCs w:val="32"/>
          <w:lang w:val="en-US" w:eastAsia="zh-CN"/>
        </w:rPr>
        <w:t>应</w:t>
      </w:r>
      <w:r>
        <w:rPr>
          <w:rFonts w:ascii="Times New Roman" w:hAnsi="Times New Roman" w:eastAsia="仿宋_GB2312"/>
          <w:strike w:val="0"/>
          <w:dstrike w:val="0"/>
          <w:color w:val="auto"/>
          <w:kern w:val="0"/>
          <w:sz w:val="32"/>
          <w:szCs w:val="32"/>
        </w:rPr>
        <w:t>划分为不同的注册单元。</w:t>
      </w:r>
      <w:r>
        <w:rPr>
          <w:rFonts w:hint="eastAsia" w:eastAsia="仿宋_GB2312"/>
          <w:strike w:val="0"/>
          <w:dstrike w:val="0"/>
          <w:color w:val="auto"/>
          <w:kern w:val="0"/>
          <w:sz w:val="32"/>
          <w:szCs w:val="32"/>
          <w:lang w:val="en-US" w:eastAsia="zh-CN"/>
        </w:rPr>
        <w:t>微液滴的组合形式，如管内收集和单层阵列平铺，应</w:t>
      </w:r>
      <w:r>
        <w:rPr>
          <w:rFonts w:ascii="Times New Roman" w:hAnsi="Times New Roman" w:eastAsia="仿宋_GB2312"/>
          <w:strike w:val="0"/>
          <w:dstrike w:val="0"/>
          <w:color w:val="auto"/>
          <w:kern w:val="0"/>
          <w:sz w:val="32"/>
          <w:szCs w:val="32"/>
        </w:rPr>
        <w:t>划分为不同的注册单元。</w:t>
      </w:r>
    </w:p>
    <w:p>
      <w:pPr>
        <w:numPr>
          <w:ilvl w:val="0"/>
          <w:numId w:val="0"/>
        </w:numPr>
        <w:spacing w:line="520" w:lineRule="atLeast"/>
        <w:ind w:firstLine="640" w:firstLineChars="200"/>
        <w:rPr>
          <w:rFonts w:ascii="Times New Roman" w:hAnsi="Times New Roman" w:eastAsia="仿宋_GB2312"/>
          <w:strike w:val="0"/>
          <w:dstrike w:val="0"/>
          <w:color w:val="auto"/>
          <w:kern w:val="0"/>
          <w:sz w:val="32"/>
          <w:szCs w:val="32"/>
        </w:rPr>
      </w:pPr>
      <w:r>
        <w:rPr>
          <w:rFonts w:hint="eastAsia" w:ascii="Times New Roman" w:hAnsi="Times New Roman" w:eastAsia="仿宋_GB2312"/>
          <w:strike w:val="0"/>
          <w:dstrike w:val="0"/>
          <w:color w:val="auto"/>
          <w:kern w:val="0"/>
          <w:sz w:val="32"/>
          <w:szCs w:val="32"/>
          <w:lang w:eastAsia="zh-CN"/>
        </w:rPr>
        <w:t>检测</w:t>
      </w:r>
      <w:r>
        <w:rPr>
          <w:rFonts w:hint="eastAsia" w:eastAsia="仿宋_GB2312"/>
          <w:strike w:val="0"/>
          <w:dstrike w:val="0"/>
          <w:color w:val="auto"/>
          <w:kern w:val="0"/>
          <w:sz w:val="32"/>
          <w:szCs w:val="32"/>
          <w:lang w:val="en-US" w:eastAsia="zh-CN"/>
        </w:rPr>
        <w:t>分析原理不同</w:t>
      </w:r>
      <w:r>
        <w:rPr>
          <w:rFonts w:ascii="Times New Roman" w:hAnsi="Times New Roman" w:eastAsia="仿宋_GB2312"/>
          <w:strike w:val="0"/>
          <w:dstrike w:val="0"/>
          <w:color w:val="auto"/>
          <w:kern w:val="0"/>
          <w:sz w:val="32"/>
          <w:szCs w:val="32"/>
        </w:rPr>
        <w:t>的产品，</w:t>
      </w:r>
      <w:r>
        <w:rPr>
          <w:rFonts w:hint="eastAsia" w:eastAsia="仿宋_GB2312"/>
          <w:strike w:val="0"/>
          <w:dstrike w:val="0"/>
          <w:color w:val="auto"/>
          <w:kern w:val="0"/>
          <w:sz w:val="32"/>
          <w:szCs w:val="32"/>
          <w:lang w:val="en-US" w:eastAsia="zh-CN"/>
        </w:rPr>
        <w:t>如流式荧光检测法、荧光成像法，应</w:t>
      </w:r>
      <w:r>
        <w:rPr>
          <w:rFonts w:ascii="Times New Roman" w:hAnsi="Times New Roman" w:eastAsia="仿宋_GB2312"/>
          <w:strike w:val="0"/>
          <w:dstrike w:val="0"/>
          <w:color w:val="auto"/>
          <w:kern w:val="0"/>
          <w:sz w:val="32"/>
          <w:szCs w:val="32"/>
        </w:rPr>
        <w:t>划分为不同的注册单元。</w:t>
      </w:r>
    </w:p>
    <w:p>
      <w:pPr>
        <w:numPr>
          <w:ilvl w:val="0"/>
          <w:numId w:val="0"/>
        </w:numPr>
        <w:spacing w:line="520" w:lineRule="atLeast"/>
        <w:ind w:firstLine="640" w:firstLineChars="200"/>
        <w:rPr>
          <w:rFonts w:ascii="Times New Roman" w:hAnsi="Times New Roman" w:eastAsia="仿宋_GB2312"/>
          <w:strike w:val="0"/>
          <w:dstrike w:val="0"/>
          <w:color w:val="auto"/>
          <w:kern w:val="0"/>
          <w:sz w:val="32"/>
          <w:szCs w:val="32"/>
        </w:rPr>
      </w:pPr>
      <w:r>
        <w:rPr>
          <w:rFonts w:hint="eastAsia" w:eastAsia="仿宋_GB2312"/>
          <w:strike w:val="0"/>
          <w:dstrike w:val="0"/>
          <w:color w:val="auto"/>
          <w:kern w:val="0"/>
          <w:sz w:val="32"/>
          <w:szCs w:val="32"/>
          <w:lang w:val="en-US" w:eastAsia="zh-CN"/>
        </w:rPr>
        <w:t>主要结构组成不同，</w:t>
      </w:r>
      <w:r>
        <w:rPr>
          <w:rFonts w:hint="eastAsia" w:eastAsia="仿宋_GB2312"/>
          <w:color w:val="auto"/>
          <w:kern w:val="0"/>
          <w:sz w:val="32"/>
          <w:szCs w:val="32"/>
          <w:highlight w:val="none"/>
          <w:lang w:val="en-US" w:eastAsia="zh-CN"/>
        </w:rPr>
        <w:t>即主要由反应单元制备模块、PCR扩增模块、荧光检测模块中的两个或三个组成，</w:t>
      </w:r>
      <w:r>
        <w:rPr>
          <w:rFonts w:hint="eastAsia" w:eastAsia="仿宋_GB2312"/>
          <w:strike w:val="0"/>
          <w:dstrike w:val="0"/>
          <w:color w:val="auto"/>
          <w:kern w:val="0"/>
          <w:sz w:val="32"/>
          <w:szCs w:val="32"/>
          <w:lang w:val="en-US" w:eastAsia="zh-CN"/>
        </w:rPr>
        <w:t>如全自动数字PCR分析系统、</w:t>
      </w:r>
      <w:r>
        <w:rPr>
          <w:rFonts w:hint="eastAsia" w:eastAsia="仿宋_GB2312"/>
          <w:color w:val="auto"/>
          <w:kern w:val="0"/>
          <w:sz w:val="32"/>
          <w:szCs w:val="32"/>
          <w:highlight w:val="none"/>
          <w:lang w:val="en-US" w:eastAsia="zh-CN"/>
        </w:rPr>
        <w:t>数字PCR液滴生成和检测系统</w:t>
      </w:r>
      <w:r>
        <w:rPr>
          <w:rFonts w:hint="eastAsia" w:eastAsia="仿宋_GB2312"/>
          <w:strike w:val="0"/>
          <w:dstrike w:val="0"/>
          <w:color w:val="auto"/>
          <w:kern w:val="0"/>
          <w:sz w:val="32"/>
          <w:szCs w:val="32"/>
          <w:lang w:val="en-US" w:eastAsia="zh-CN"/>
        </w:rPr>
        <w:t>，应</w:t>
      </w:r>
      <w:r>
        <w:rPr>
          <w:rFonts w:ascii="Times New Roman" w:hAnsi="Times New Roman" w:eastAsia="仿宋_GB2312"/>
          <w:strike w:val="0"/>
          <w:dstrike w:val="0"/>
          <w:color w:val="auto"/>
          <w:kern w:val="0"/>
          <w:sz w:val="32"/>
          <w:szCs w:val="32"/>
        </w:rPr>
        <w:t>划分为不同的注册单元。</w:t>
      </w:r>
      <w:r>
        <w:rPr>
          <w:rFonts w:hint="eastAsia" w:eastAsia="仿宋_GB2312"/>
          <w:strike w:val="0"/>
          <w:dstrike w:val="0"/>
          <w:color w:val="auto"/>
          <w:kern w:val="0"/>
          <w:sz w:val="32"/>
          <w:szCs w:val="32"/>
          <w:lang w:val="en-US" w:eastAsia="zh-CN"/>
        </w:rPr>
        <w:t>单一的反应单元制备模块或荧光检测模块不建议作为独立的注册单元。</w:t>
      </w:r>
    </w:p>
    <w:p>
      <w:pPr>
        <w:numPr>
          <w:ilvl w:val="0"/>
          <w:numId w:val="0"/>
        </w:numPr>
        <w:spacing w:line="520" w:lineRule="atLeast"/>
        <w:ind w:firstLine="640" w:firstLineChars="200"/>
        <w:rPr>
          <w:rFonts w:ascii="Times New Roman" w:hAnsi="Times New Roman" w:eastAsia="仿宋_GB2312"/>
          <w:strike w:val="0"/>
          <w:dstrike w:val="0"/>
          <w:color w:val="auto"/>
          <w:kern w:val="0"/>
          <w:sz w:val="32"/>
          <w:szCs w:val="32"/>
        </w:rPr>
      </w:pPr>
      <w:r>
        <w:rPr>
          <w:rFonts w:hint="eastAsia" w:eastAsia="仿宋_GB2312"/>
          <w:strike w:val="0"/>
          <w:dstrike w:val="0"/>
          <w:color w:val="auto"/>
          <w:kern w:val="0"/>
          <w:sz w:val="32"/>
          <w:szCs w:val="32"/>
          <w:lang w:val="en-US" w:eastAsia="zh-CN"/>
        </w:rPr>
        <w:t>全自动和半自动数字PCR分析仪，如</w:t>
      </w:r>
      <w:r>
        <w:rPr>
          <w:rFonts w:hint="eastAsia" w:eastAsia="仿宋_GB2312"/>
          <w:strike w:val="0"/>
          <w:dstrike w:val="0"/>
          <w:color w:val="auto"/>
          <w:kern w:val="0"/>
          <w:sz w:val="32"/>
          <w:szCs w:val="32"/>
          <w:highlight w:val="none"/>
          <w:lang w:val="en-US" w:eastAsia="zh-CN"/>
        </w:rPr>
        <w:t>反应单元制备</w:t>
      </w:r>
      <w:r>
        <w:rPr>
          <w:rFonts w:hint="eastAsia" w:eastAsia="仿宋_GB2312"/>
          <w:strike w:val="0"/>
          <w:dstrike w:val="0"/>
          <w:color w:val="auto"/>
          <w:kern w:val="0"/>
          <w:sz w:val="32"/>
          <w:szCs w:val="32"/>
          <w:lang w:val="en-US" w:eastAsia="zh-CN"/>
        </w:rPr>
        <w:t>、扩增、阅读分析合于一体的全自动仪器，与需人工转移中间产物的分体式半自动产品，应</w:t>
      </w:r>
      <w:r>
        <w:rPr>
          <w:rFonts w:ascii="Times New Roman" w:hAnsi="Times New Roman" w:eastAsia="仿宋_GB2312"/>
          <w:strike w:val="0"/>
          <w:dstrike w:val="0"/>
          <w:color w:val="auto"/>
          <w:kern w:val="0"/>
          <w:sz w:val="32"/>
          <w:szCs w:val="32"/>
        </w:rPr>
        <w:t>划分为不同的注册单元。</w:t>
      </w:r>
    </w:p>
    <w:p>
      <w:pPr>
        <w:numPr>
          <w:ilvl w:val="0"/>
          <w:numId w:val="0"/>
        </w:numPr>
        <w:spacing w:line="520" w:lineRule="atLeast"/>
        <w:ind w:firstLine="640" w:firstLineChars="200"/>
        <w:rPr>
          <w:rFonts w:hint="eastAsia" w:ascii="Times New Roman" w:hAnsi="Times New Roman" w:eastAsia="仿宋_GB2312" w:cs="Times New Roman"/>
          <w:color w:val="auto"/>
          <w:sz w:val="32"/>
          <w:szCs w:val="32"/>
          <w:lang w:eastAsia="zh-CN"/>
        </w:rPr>
      </w:pPr>
      <w:r>
        <w:rPr>
          <w:rFonts w:hint="eastAsia" w:eastAsia="仿宋_GB2312" w:cs="Times New Roman"/>
          <w:color w:val="auto"/>
          <w:sz w:val="32"/>
          <w:szCs w:val="32"/>
          <w:lang w:val="en-US" w:eastAsia="zh-CN"/>
        </w:rPr>
        <w:t>在工作原理、结构组成相同的情况下，</w:t>
      </w:r>
      <w:r>
        <w:rPr>
          <w:rFonts w:hint="eastAsia" w:ascii="Times New Roman" w:hAnsi="Times New Roman" w:eastAsia="仿宋_GB2312" w:cs="Times New Roman"/>
          <w:color w:val="auto"/>
          <w:sz w:val="32"/>
          <w:szCs w:val="32"/>
          <w:lang w:val="en-US" w:eastAsia="zh-CN"/>
        </w:rPr>
        <w:t>产品性能差异较大时，</w:t>
      </w:r>
      <w:r>
        <w:rPr>
          <w:rFonts w:hint="eastAsia" w:eastAsia="仿宋_GB2312" w:cs="Times New Roman"/>
          <w:strike w:val="0"/>
          <w:color w:val="auto"/>
          <w:sz w:val="32"/>
          <w:szCs w:val="32"/>
          <w:highlight w:val="none"/>
          <w:lang w:val="en-US" w:eastAsia="zh-CN"/>
        </w:rPr>
        <w:t>考虑</w:t>
      </w:r>
      <w:r>
        <w:rPr>
          <w:rFonts w:ascii="Times New Roman" w:hAnsi="Times New Roman" w:eastAsia="仿宋_GB2312" w:cs="Times New Roman"/>
          <w:color w:val="auto"/>
          <w:sz w:val="32"/>
          <w:szCs w:val="32"/>
          <w:highlight w:val="none"/>
        </w:rPr>
        <w:t>划分为不同注册单元。</w:t>
      </w:r>
    </w:p>
    <w:p>
      <w:pPr>
        <w:spacing w:line="520" w:lineRule="atLeast"/>
        <w:ind w:right="-67" w:rightChars="-32" w:firstLine="640" w:firstLineChars="200"/>
        <w:rPr>
          <w:rFonts w:eastAsia="楷体_GB2312"/>
          <w:color w:val="auto"/>
          <w:sz w:val="32"/>
          <w:szCs w:val="32"/>
        </w:rPr>
      </w:pPr>
      <w:r>
        <w:rPr>
          <w:rFonts w:eastAsia="楷体_GB2312"/>
          <w:color w:val="auto"/>
          <w:sz w:val="32"/>
          <w:szCs w:val="32"/>
        </w:rPr>
        <w:t>（二）</w:t>
      </w:r>
      <w:r>
        <w:rPr>
          <w:rFonts w:hint="eastAsia" w:eastAsia="楷体_GB2312"/>
          <w:color w:val="auto"/>
          <w:sz w:val="32"/>
          <w:szCs w:val="32"/>
        </w:rPr>
        <w:t>综述资料</w:t>
      </w:r>
    </w:p>
    <w:p>
      <w:pPr>
        <w:spacing w:line="520" w:lineRule="atLeast"/>
        <w:ind w:firstLine="640" w:firstLineChars="200"/>
        <w:rPr>
          <w:rFonts w:hint="eastAsia" w:eastAsia="仿宋_GB2312"/>
          <w:color w:val="auto"/>
          <w:kern w:val="0"/>
          <w:sz w:val="32"/>
          <w:szCs w:val="32"/>
          <w:highlight w:val="none"/>
        </w:rPr>
      </w:pPr>
      <w:r>
        <w:rPr>
          <w:rFonts w:hint="eastAsia" w:eastAsia="仿宋_GB2312"/>
          <w:color w:val="auto"/>
          <w:kern w:val="0"/>
          <w:sz w:val="32"/>
          <w:szCs w:val="32"/>
          <w:highlight w:val="none"/>
          <w:lang w:eastAsia="zh-CN"/>
        </w:rPr>
        <w:t>数字PCR分析仪</w:t>
      </w:r>
      <w:r>
        <w:rPr>
          <w:rFonts w:hint="eastAsia" w:eastAsia="仿宋_GB2312"/>
          <w:color w:val="auto"/>
          <w:kern w:val="0"/>
          <w:sz w:val="32"/>
          <w:szCs w:val="32"/>
          <w:highlight w:val="none"/>
        </w:rPr>
        <w:t>的整体工作流程包括样本处理（预处理及核酸提取）、反应体系构建、</w:t>
      </w:r>
      <w:r>
        <w:rPr>
          <w:rFonts w:hint="eastAsia" w:eastAsia="仿宋_GB2312"/>
          <w:color w:val="auto"/>
          <w:kern w:val="0"/>
          <w:sz w:val="32"/>
          <w:szCs w:val="32"/>
          <w:highlight w:val="none"/>
          <w:lang w:val="en-US" w:eastAsia="zh-CN"/>
        </w:rPr>
        <w:t>反应单元制备</w:t>
      </w:r>
      <w:r>
        <w:rPr>
          <w:rFonts w:hint="eastAsia" w:eastAsia="仿宋_GB2312"/>
          <w:color w:val="auto"/>
          <w:kern w:val="0"/>
          <w:sz w:val="32"/>
          <w:szCs w:val="32"/>
          <w:highlight w:val="none"/>
        </w:rPr>
        <w:t>、核酸扩增和</w:t>
      </w:r>
      <w:r>
        <w:rPr>
          <w:rFonts w:hint="eastAsia" w:eastAsia="仿宋_GB2312"/>
          <w:color w:val="auto"/>
          <w:kern w:val="0"/>
          <w:sz w:val="32"/>
          <w:szCs w:val="32"/>
          <w:highlight w:val="none"/>
          <w:lang w:val="en-US" w:eastAsia="zh-CN"/>
        </w:rPr>
        <w:t>检测</w:t>
      </w:r>
      <w:r>
        <w:rPr>
          <w:rFonts w:hint="eastAsia" w:eastAsia="仿宋_GB2312"/>
          <w:color w:val="auto"/>
          <w:kern w:val="0"/>
          <w:sz w:val="32"/>
          <w:szCs w:val="32"/>
          <w:highlight w:val="none"/>
        </w:rPr>
        <w:t>分析。</w:t>
      </w:r>
      <w:r>
        <w:rPr>
          <w:rFonts w:hint="eastAsia" w:eastAsia="仿宋_GB2312"/>
          <w:color w:val="auto"/>
          <w:kern w:val="0"/>
          <w:sz w:val="32"/>
          <w:szCs w:val="32"/>
          <w:highlight w:val="none"/>
          <w:lang w:val="en-US" w:eastAsia="zh-CN"/>
        </w:rPr>
        <w:t>数字PCR分析仪的运行需与配套的检测试剂和芯片共同完成样本的检测过程。</w:t>
      </w:r>
    </w:p>
    <w:p>
      <w:pPr>
        <w:spacing w:line="520" w:lineRule="atLeast"/>
        <w:ind w:firstLine="640" w:firstLineChars="200"/>
        <w:rPr>
          <w:rFonts w:hint="eastAsia" w:eastAsia="仿宋_GB2312"/>
          <w:color w:val="auto"/>
          <w:kern w:val="0"/>
          <w:sz w:val="32"/>
          <w:szCs w:val="32"/>
          <w:highlight w:val="none"/>
          <w:lang w:eastAsia="zh-CN"/>
        </w:rPr>
      </w:pPr>
      <w:r>
        <w:rPr>
          <w:rFonts w:eastAsia="仿宋_GB2312"/>
          <w:color w:val="auto"/>
          <w:kern w:val="0"/>
          <w:sz w:val="32"/>
          <w:szCs w:val="32"/>
          <w:highlight w:val="none"/>
        </w:rPr>
        <w:t>1.工作原理</w:t>
      </w:r>
    </w:p>
    <w:p>
      <w:pPr>
        <w:spacing w:line="520" w:lineRule="atLeast"/>
        <w:ind w:firstLine="640" w:firstLineChars="200"/>
        <w:rPr>
          <w:rFonts w:hint="default" w:eastAsia="仿宋_GB2312"/>
          <w:color w:val="auto"/>
          <w:kern w:val="0"/>
          <w:sz w:val="32"/>
          <w:szCs w:val="32"/>
          <w:highlight w:val="none"/>
          <w:lang w:val="en-US" w:eastAsia="zh-CN"/>
        </w:rPr>
      </w:pPr>
      <w:r>
        <w:rPr>
          <w:rFonts w:hint="eastAsia" w:eastAsia="仿宋_GB2312"/>
          <w:color w:val="auto"/>
          <w:kern w:val="0"/>
          <w:sz w:val="32"/>
          <w:szCs w:val="32"/>
          <w:highlight w:val="none"/>
          <w:lang w:eastAsia="zh-CN"/>
        </w:rPr>
        <w:t>数字PCR分析仪</w:t>
      </w:r>
      <w:r>
        <w:rPr>
          <w:rFonts w:hint="eastAsia" w:eastAsia="仿宋_GB2312"/>
          <w:color w:val="auto"/>
          <w:kern w:val="0"/>
          <w:sz w:val="32"/>
          <w:szCs w:val="32"/>
          <w:highlight w:val="none"/>
          <w:lang w:val="en-US" w:eastAsia="zh-CN"/>
        </w:rPr>
        <w:t>主要是在PCR</w:t>
      </w:r>
      <w:r>
        <w:rPr>
          <w:rFonts w:hint="eastAsia" w:eastAsia="仿宋_GB2312" w:cs="Times New Roman"/>
          <w:bCs/>
          <w:color w:val="auto"/>
          <w:sz w:val="32"/>
          <w:szCs w:val="32"/>
          <w:lang w:val="en-US" w:eastAsia="zh-CN"/>
        </w:rPr>
        <w:t>扩增</w:t>
      </w:r>
      <w:r>
        <w:rPr>
          <w:rFonts w:hint="eastAsia" w:eastAsia="仿宋_GB2312"/>
          <w:color w:val="auto"/>
          <w:kern w:val="0"/>
          <w:sz w:val="32"/>
          <w:szCs w:val="32"/>
          <w:highlight w:val="none"/>
          <w:lang w:val="en-US" w:eastAsia="zh-CN"/>
        </w:rPr>
        <w:t>仪功能的基础上增加了反应单元制备和检测分析功能模块，首先通过反应单元制备模块将PCR反应体系分割成数万个大小均一的独立微反应体系，使每个微反应单元中包含零个、一个或少数几个靶标核酸分子。然后PCR扩增模块对微反应单元进行温度循环控制，使每一个微反应单元进行独立的PCR扩增。最后检测模块激发并检测每个扩增后微反应单元的荧光强度。软件根据荧光信号强度将微反应单元进行阴阳性划分，对阴阳性微反应单元分别计数，并通过泊松模型计算样本中靶标分子的拷贝数，实现对样本中靶标核酸分子的精准定量。</w:t>
      </w:r>
    </w:p>
    <w:p>
      <w:pPr>
        <w:spacing w:line="520" w:lineRule="atLeast"/>
        <w:ind w:firstLine="640" w:firstLineChars="200"/>
        <w:jc w:val="left"/>
        <w:rPr>
          <w:rFonts w:hint="eastAsia" w:eastAsia="仿宋_GB2312"/>
          <w:color w:val="auto"/>
          <w:kern w:val="0"/>
          <w:sz w:val="32"/>
          <w:szCs w:val="32"/>
          <w:highlight w:val="none"/>
        </w:rPr>
      </w:pPr>
      <w:r>
        <w:rPr>
          <w:rFonts w:hint="eastAsia" w:eastAsia="仿宋_GB2312"/>
          <w:color w:val="auto"/>
          <w:kern w:val="0"/>
          <w:sz w:val="32"/>
          <w:szCs w:val="32"/>
          <w:highlight w:val="none"/>
          <w:lang w:val="en-US" w:eastAsia="zh-CN"/>
        </w:rPr>
        <w:t>微反应单元的制备主要通过液（油）-液（水）隔离或固-液隔离的方式。液-液隔离主要是通过“油包水”方式对反应体系进行分割。采用液-液隔离方式形成微反应单元的方法主要包括流动聚焦液滴生成法（十字交叉法）、阶梯乳化法、振动注射生成法等。固-液隔离是通过在芯片中预先制备数万个大小均一的微孔，向芯片添加反应体系液体，通过虹吸作用或压力作用使反应体系填满每个微腔或微孔，从而形成数万个物理隔离的微反应单元。目前对微反应单元的检测主要包括</w:t>
      </w:r>
      <w:r>
        <w:rPr>
          <w:rFonts w:hint="eastAsia" w:eastAsia="仿宋_GB2312"/>
          <w:strike w:val="0"/>
          <w:dstrike w:val="0"/>
          <w:color w:val="auto"/>
          <w:kern w:val="0"/>
          <w:sz w:val="32"/>
          <w:szCs w:val="32"/>
          <w:lang w:val="en-US" w:eastAsia="zh-CN"/>
        </w:rPr>
        <w:t>流式荧光检测法和荧光成像法</w:t>
      </w:r>
      <w:r>
        <w:rPr>
          <w:rFonts w:hint="eastAsia" w:eastAsia="仿宋_GB2312"/>
          <w:color w:val="auto"/>
          <w:kern w:val="0"/>
          <w:sz w:val="32"/>
          <w:szCs w:val="32"/>
          <w:highlight w:val="none"/>
          <w:lang w:val="en-US" w:eastAsia="zh-CN"/>
        </w:rPr>
        <w:t>。</w:t>
      </w:r>
    </w:p>
    <w:p>
      <w:pPr>
        <w:spacing w:line="520" w:lineRule="atLeast"/>
        <w:ind w:firstLine="640" w:firstLineChars="200"/>
        <w:jc w:val="left"/>
        <w:rPr>
          <w:rFonts w:eastAsia="仿宋_GB2312"/>
          <w:color w:val="auto"/>
          <w:kern w:val="0"/>
          <w:sz w:val="32"/>
          <w:szCs w:val="32"/>
        </w:rPr>
      </w:pPr>
      <w:r>
        <w:rPr>
          <w:rFonts w:eastAsia="仿宋_GB2312"/>
          <w:color w:val="auto"/>
          <w:kern w:val="0"/>
          <w:sz w:val="32"/>
          <w:szCs w:val="32"/>
        </w:rPr>
        <w:t>申请人应当根据申报产品的特点</w:t>
      </w:r>
      <w:r>
        <w:rPr>
          <w:rFonts w:hint="eastAsia" w:eastAsia="仿宋_GB2312"/>
          <w:color w:val="auto"/>
          <w:kern w:val="0"/>
          <w:sz w:val="32"/>
          <w:szCs w:val="32"/>
          <w:highlight w:val="none"/>
          <w:lang w:val="en-US" w:eastAsia="zh-CN"/>
        </w:rPr>
        <w:t>详细</w:t>
      </w:r>
      <w:r>
        <w:rPr>
          <w:rFonts w:hint="eastAsia" w:eastAsia="仿宋_GB2312"/>
          <w:color w:val="auto"/>
          <w:kern w:val="0"/>
          <w:sz w:val="32"/>
          <w:szCs w:val="32"/>
          <w:highlight w:val="none"/>
        </w:rPr>
        <w:t>描述</w:t>
      </w:r>
      <w:r>
        <w:rPr>
          <w:rFonts w:hint="eastAsia" w:eastAsia="仿宋_GB2312"/>
          <w:color w:val="auto"/>
          <w:kern w:val="0"/>
          <w:sz w:val="32"/>
          <w:szCs w:val="32"/>
          <w:highlight w:val="none"/>
          <w:lang w:val="en-US" w:eastAsia="zh-CN"/>
        </w:rPr>
        <w:t>工作原理</w:t>
      </w:r>
      <w:r>
        <w:rPr>
          <w:rFonts w:eastAsia="仿宋_GB2312"/>
          <w:color w:val="auto"/>
          <w:kern w:val="0"/>
          <w:sz w:val="32"/>
          <w:szCs w:val="32"/>
        </w:rPr>
        <w:t>，</w:t>
      </w:r>
      <w:r>
        <w:rPr>
          <w:rFonts w:hint="eastAsia" w:eastAsia="仿宋_GB2312"/>
          <w:color w:val="auto"/>
          <w:kern w:val="0"/>
          <w:sz w:val="32"/>
          <w:szCs w:val="32"/>
          <w:lang w:val="en-US" w:eastAsia="zh-CN"/>
        </w:rPr>
        <w:t>结合配套的芯片，</w:t>
      </w:r>
      <w:r>
        <w:rPr>
          <w:rFonts w:eastAsia="仿宋_GB2312"/>
          <w:color w:val="auto"/>
          <w:kern w:val="0"/>
          <w:sz w:val="32"/>
          <w:szCs w:val="32"/>
        </w:rPr>
        <w:t>重点对</w:t>
      </w:r>
      <w:r>
        <w:rPr>
          <w:rFonts w:hint="eastAsia" w:eastAsia="仿宋_GB2312"/>
          <w:color w:val="auto"/>
          <w:kern w:val="0"/>
          <w:sz w:val="32"/>
          <w:szCs w:val="32"/>
          <w:highlight w:val="none"/>
          <w:lang w:val="en-US" w:eastAsia="zh-CN"/>
        </w:rPr>
        <w:t>反应单元制备原理、</w:t>
      </w:r>
      <w:r>
        <w:rPr>
          <w:rFonts w:hint="eastAsia" w:eastAsia="仿宋_GB2312"/>
          <w:color w:val="auto"/>
          <w:kern w:val="0"/>
          <w:sz w:val="32"/>
          <w:szCs w:val="32"/>
          <w:lang w:val="en-US" w:eastAsia="zh-CN"/>
        </w:rPr>
        <w:t>荧光</w:t>
      </w:r>
      <w:r>
        <w:rPr>
          <w:rFonts w:hint="eastAsia" w:eastAsia="仿宋_GB2312"/>
          <w:color w:val="auto"/>
          <w:kern w:val="0"/>
          <w:sz w:val="32"/>
          <w:szCs w:val="32"/>
          <w:highlight w:val="none"/>
          <w:lang w:val="en-US" w:eastAsia="zh-CN"/>
        </w:rPr>
        <w:t>检测及数据分析原理</w:t>
      </w:r>
      <w:r>
        <w:rPr>
          <w:rFonts w:eastAsia="仿宋_GB2312"/>
          <w:color w:val="auto"/>
          <w:kern w:val="0"/>
          <w:sz w:val="32"/>
          <w:szCs w:val="32"/>
        </w:rPr>
        <w:t>进行详细描述，</w:t>
      </w:r>
      <w:r>
        <w:rPr>
          <w:rFonts w:hint="eastAsia" w:eastAsia="仿宋_GB2312"/>
          <w:color w:val="auto"/>
          <w:kern w:val="0"/>
          <w:sz w:val="32"/>
          <w:szCs w:val="32"/>
          <w:lang w:val="en-US" w:eastAsia="zh-CN"/>
        </w:rPr>
        <w:t>同时根据配合使用情况对PCR扩增模块进行介绍，突出介绍与配套芯片相关的扩增原理。</w:t>
      </w:r>
      <w:r>
        <w:rPr>
          <w:rFonts w:eastAsia="仿宋_GB2312"/>
          <w:color w:val="auto"/>
          <w:kern w:val="0"/>
          <w:sz w:val="32"/>
          <w:szCs w:val="32"/>
        </w:rPr>
        <w:t>应采用文字加图示的方式对申报产品进行描述，并写明申报产品区别于其他同类已上市产品的特征（可以表格形式逐条进行描述）</w:t>
      </w:r>
      <w:r>
        <w:rPr>
          <w:rFonts w:hint="eastAsia" w:eastAsia="仿宋_GB2312"/>
          <w:color w:val="auto"/>
          <w:kern w:val="0"/>
          <w:sz w:val="32"/>
          <w:szCs w:val="32"/>
          <w:lang w:eastAsia="zh-CN"/>
        </w:rPr>
        <w:t>，</w:t>
      </w:r>
      <w:r>
        <w:rPr>
          <w:rFonts w:hint="eastAsia" w:eastAsia="仿宋_GB2312"/>
          <w:color w:val="auto"/>
          <w:kern w:val="0"/>
          <w:sz w:val="32"/>
          <w:szCs w:val="32"/>
          <w:lang w:val="en-US" w:eastAsia="zh-CN"/>
        </w:rPr>
        <w:t>PCR扩增模块描述与普通qPCR的区别</w:t>
      </w:r>
      <w:r>
        <w:rPr>
          <w:rFonts w:eastAsia="仿宋_GB2312"/>
          <w:color w:val="auto"/>
          <w:kern w:val="0"/>
          <w:sz w:val="32"/>
          <w:szCs w:val="32"/>
        </w:rPr>
        <w:t>。</w:t>
      </w:r>
    </w:p>
    <w:p>
      <w:pPr>
        <w:numPr>
          <w:ilvl w:val="-1"/>
          <w:numId w:val="0"/>
        </w:numPr>
        <w:spacing w:line="520" w:lineRule="atLeast"/>
        <w:ind w:firstLine="640" w:firstLineChars="200"/>
        <w:rPr>
          <w:rFonts w:eastAsia="仿宋_GB2312"/>
          <w:color w:val="auto"/>
          <w:kern w:val="0"/>
          <w:sz w:val="32"/>
          <w:szCs w:val="32"/>
          <w:highlight w:val="none"/>
        </w:rPr>
      </w:pPr>
      <w:r>
        <w:rPr>
          <w:rFonts w:hint="eastAsia" w:eastAsia="仿宋_GB2312"/>
          <w:color w:val="auto"/>
          <w:kern w:val="0"/>
          <w:sz w:val="32"/>
          <w:szCs w:val="32"/>
          <w:highlight w:val="none"/>
          <w:lang w:val="en-US" w:eastAsia="zh-CN"/>
        </w:rPr>
        <w:t>2.</w:t>
      </w:r>
      <w:r>
        <w:rPr>
          <w:rFonts w:eastAsia="仿宋_GB2312"/>
          <w:color w:val="auto"/>
          <w:kern w:val="0"/>
          <w:sz w:val="32"/>
          <w:szCs w:val="32"/>
          <w:highlight w:val="none"/>
        </w:rPr>
        <w:t>结构及组成</w:t>
      </w:r>
    </w:p>
    <w:p>
      <w:pPr>
        <w:spacing w:line="520" w:lineRule="atLeast"/>
        <w:ind w:firstLine="640" w:firstLineChars="200"/>
        <w:jc w:val="left"/>
        <w:rPr>
          <w:rFonts w:hint="eastAsia" w:eastAsia="仿宋_GB2312"/>
          <w:color w:val="auto"/>
          <w:kern w:val="0"/>
          <w:sz w:val="32"/>
          <w:szCs w:val="32"/>
          <w:highlight w:val="none"/>
        </w:rPr>
      </w:pPr>
      <w:r>
        <w:rPr>
          <w:rFonts w:hint="eastAsia" w:eastAsia="仿宋_GB2312"/>
          <w:color w:val="auto"/>
          <w:kern w:val="0"/>
          <w:sz w:val="32"/>
          <w:szCs w:val="32"/>
          <w:highlight w:val="none"/>
          <w:lang w:val="en-US" w:eastAsia="zh-CN"/>
        </w:rPr>
        <w:t>数字PCR分析仪一般由反应单元制备模块、PCR扩增（温控）模块、荧光</w:t>
      </w:r>
      <w:r>
        <w:rPr>
          <w:rFonts w:hint="eastAsia" w:eastAsia="仿宋_GB2312"/>
          <w:color w:val="auto"/>
          <w:kern w:val="0"/>
          <w:sz w:val="32"/>
          <w:szCs w:val="32"/>
          <w:highlight w:val="none"/>
        </w:rPr>
        <w:t>检测模块</w:t>
      </w:r>
      <w:r>
        <w:rPr>
          <w:rFonts w:hint="eastAsia" w:eastAsia="仿宋_GB2312"/>
          <w:color w:val="auto"/>
          <w:kern w:val="0"/>
          <w:sz w:val="32"/>
          <w:szCs w:val="32"/>
          <w:highlight w:val="none"/>
          <w:lang w:eastAsia="zh-CN"/>
        </w:rPr>
        <w:t>、</w:t>
      </w:r>
      <w:r>
        <w:rPr>
          <w:rFonts w:hint="eastAsia" w:eastAsia="仿宋_GB2312"/>
          <w:color w:val="auto"/>
          <w:kern w:val="0"/>
          <w:sz w:val="32"/>
          <w:szCs w:val="32"/>
          <w:highlight w:val="none"/>
          <w:lang w:val="en-US" w:eastAsia="zh-CN"/>
        </w:rPr>
        <w:t>机械</w:t>
      </w:r>
      <w:r>
        <w:rPr>
          <w:rFonts w:eastAsia="仿宋_GB2312"/>
          <w:color w:val="auto"/>
          <w:kern w:val="0"/>
          <w:sz w:val="32"/>
          <w:szCs w:val="32"/>
          <w:highlight w:val="none"/>
        </w:rPr>
        <w:t>模块</w:t>
      </w:r>
      <w:r>
        <w:rPr>
          <w:rFonts w:hint="eastAsia" w:eastAsia="仿宋_GB2312"/>
          <w:color w:val="auto"/>
          <w:kern w:val="0"/>
          <w:sz w:val="32"/>
          <w:szCs w:val="32"/>
          <w:highlight w:val="none"/>
          <w:lang w:eastAsia="zh-CN"/>
        </w:rPr>
        <w:t>、</w:t>
      </w:r>
      <w:r>
        <w:rPr>
          <w:rFonts w:hint="eastAsia" w:eastAsia="仿宋_GB2312"/>
          <w:color w:val="auto"/>
          <w:kern w:val="0"/>
          <w:sz w:val="32"/>
          <w:szCs w:val="32"/>
          <w:highlight w:val="none"/>
          <w:lang w:val="en-US" w:eastAsia="zh-CN"/>
        </w:rPr>
        <w:t>控制模块、</w:t>
      </w:r>
      <w:r>
        <w:rPr>
          <w:rFonts w:hint="eastAsia" w:eastAsia="仿宋_GB2312"/>
          <w:color w:val="auto"/>
          <w:kern w:val="0"/>
          <w:sz w:val="32"/>
          <w:szCs w:val="32"/>
          <w:highlight w:val="none"/>
          <w:lang w:eastAsia="zh-CN"/>
        </w:rPr>
        <w:t>电源模块</w:t>
      </w:r>
      <w:r>
        <w:rPr>
          <w:rFonts w:hint="eastAsia" w:eastAsia="仿宋_GB2312"/>
          <w:color w:val="auto"/>
          <w:kern w:val="0"/>
          <w:sz w:val="32"/>
          <w:szCs w:val="32"/>
          <w:highlight w:val="none"/>
          <w:lang w:val="en-US" w:eastAsia="zh-CN"/>
        </w:rPr>
        <w:t>和软件组成。</w:t>
      </w:r>
      <w:r>
        <w:rPr>
          <w:rFonts w:hint="eastAsia" w:eastAsia="仿宋_GB2312"/>
          <w:color w:val="auto"/>
          <w:sz w:val="32"/>
          <w:szCs w:val="32"/>
          <w:lang w:val="en-US" w:eastAsia="zh-CN"/>
        </w:rPr>
        <w:t>其核心模块是反应单元制备模块、PCR扩增模块、</w:t>
      </w:r>
      <w:r>
        <w:rPr>
          <w:rFonts w:hint="eastAsia" w:eastAsia="仿宋_GB2312"/>
          <w:color w:val="auto"/>
          <w:kern w:val="0"/>
          <w:sz w:val="32"/>
          <w:szCs w:val="32"/>
          <w:highlight w:val="none"/>
          <w:lang w:val="en-US" w:eastAsia="zh-CN"/>
        </w:rPr>
        <w:t>荧光</w:t>
      </w:r>
      <w:r>
        <w:rPr>
          <w:rFonts w:hint="eastAsia" w:eastAsia="仿宋_GB2312"/>
          <w:color w:val="auto"/>
          <w:kern w:val="0"/>
          <w:sz w:val="32"/>
          <w:szCs w:val="32"/>
          <w:highlight w:val="none"/>
        </w:rPr>
        <w:t>检测模块</w:t>
      </w:r>
      <w:r>
        <w:rPr>
          <w:rFonts w:hint="eastAsia" w:eastAsia="仿宋_GB2312"/>
          <w:color w:val="auto"/>
          <w:sz w:val="32"/>
          <w:szCs w:val="32"/>
          <w:lang w:val="en-US" w:eastAsia="zh-CN"/>
        </w:rPr>
        <w:t>。</w:t>
      </w:r>
      <w:r>
        <w:rPr>
          <w:rFonts w:hint="eastAsia" w:eastAsia="仿宋_GB2312"/>
          <w:color w:val="auto"/>
          <w:kern w:val="0"/>
          <w:sz w:val="32"/>
          <w:szCs w:val="32"/>
          <w:highlight w:val="none"/>
          <w:lang w:eastAsia="zh-CN"/>
        </w:rPr>
        <w:t>因</w:t>
      </w:r>
      <w:r>
        <w:rPr>
          <w:rFonts w:hint="eastAsia" w:eastAsia="仿宋_GB2312"/>
          <w:color w:val="auto"/>
          <w:kern w:val="0"/>
          <w:sz w:val="32"/>
          <w:szCs w:val="32"/>
          <w:highlight w:val="none"/>
          <w:lang w:val="en-US" w:eastAsia="zh-CN"/>
        </w:rPr>
        <w:t>所</w:t>
      </w:r>
      <w:r>
        <w:rPr>
          <w:rFonts w:hint="eastAsia" w:eastAsia="仿宋_GB2312"/>
          <w:color w:val="auto"/>
          <w:kern w:val="0"/>
          <w:sz w:val="32"/>
          <w:szCs w:val="32"/>
          <w:highlight w:val="none"/>
          <w:lang w:eastAsia="zh-CN"/>
        </w:rPr>
        <w:t>采用的反应单元制备方式和检测</w:t>
      </w:r>
      <w:r>
        <w:rPr>
          <w:rFonts w:hint="eastAsia" w:eastAsia="仿宋_GB2312"/>
          <w:color w:val="auto"/>
          <w:kern w:val="0"/>
          <w:sz w:val="32"/>
          <w:szCs w:val="32"/>
          <w:highlight w:val="none"/>
          <w:lang w:val="en-US" w:eastAsia="zh-CN"/>
        </w:rPr>
        <w:t>分析</w:t>
      </w:r>
      <w:r>
        <w:rPr>
          <w:rFonts w:hint="eastAsia" w:eastAsia="仿宋_GB2312"/>
          <w:color w:val="auto"/>
          <w:kern w:val="0"/>
          <w:sz w:val="32"/>
          <w:szCs w:val="32"/>
          <w:highlight w:val="none"/>
          <w:lang w:eastAsia="zh-CN"/>
        </w:rPr>
        <w:t>方法不同，</w:t>
      </w:r>
      <w:r>
        <w:rPr>
          <w:rFonts w:hint="eastAsia" w:eastAsia="仿宋_GB2312"/>
          <w:color w:val="auto"/>
          <w:kern w:val="0"/>
          <w:sz w:val="32"/>
          <w:szCs w:val="32"/>
          <w:highlight w:val="none"/>
          <w:lang w:val="en-US" w:eastAsia="zh-CN"/>
        </w:rPr>
        <w:t>以上各模块的组成存在较大差异，注册人需进一步描述以上各模块的结构组成</w:t>
      </w:r>
      <w:r>
        <w:rPr>
          <w:rFonts w:hint="eastAsia" w:eastAsia="仿宋_GB2312"/>
          <w:color w:val="auto"/>
          <w:kern w:val="0"/>
          <w:sz w:val="32"/>
          <w:szCs w:val="32"/>
          <w:highlight w:val="none"/>
          <w:lang w:eastAsia="zh-CN"/>
        </w:rPr>
        <w:t>。</w:t>
      </w:r>
    </w:p>
    <w:p>
      <w:pPr>
        <w:spacing w:line="520" w:lineRule="atLeast"/>
        <w:ind w:firstLine="640" w:firstLineChars="200"/>
        <w:rPr>
          <w:rFonts w:hint="default" w:eastAsia="仿宋_GB2312"/>
          <w:color w:val="auto"/>
          <w:kern w:val="0"/>
          <w:sz w:val="32"/>
          <w:szCs w:val="32"/>
          <w:highlight w:val="none"/>
          <w:lang w:val="en-US" w:eastAsia="zh-CN"/>
        </w:rPr>
      </w:pPr>
      <w:r>
        <w:rPr>
          <w:rFonts w:hint="eastAsia" w:eastAsia="仿宋_GB2312"/>
          <w:color w:val="auto"/>
          <w:kern w:val="0"/>
          <w:sz w:val="32"/>
          <w:szCs w:val="32"/>
          <w:highlight w:val="none"/>
          <w:lang w:val="en-US" w:eastAsia="zh-CN"/>
        </w:rPr>
        <w:t>2.1反应单元制备模块：主要功能是将反应体系分割成大量的微反应单元。反应单元制备主要有两类方法，微孔上样法和液滴生成法，</w:t>
      </w:r>
      <w:r>
        <w:rPr>
          <w:rFonts w:hint="eastAsia" w:eastAsia="仿宋_GB2312"/>
          <w:color w:val="auto"/>
          <w:kern w:val="0"/>
          <w:sz w:val="32"/>
          <w:szCs w:val="32"/>
          <w:highlight w:val="none"/>
          <w:lang w:eastAsia="zh-CN"/>
        </w:rPr>
        <w:t>因</w:t>
      </w:r>
      <w:r>
        <w:rPr>
          <w:rFonts w:hint="eastAsia" w:eastAsia="仿宋_GB2312"/>
          <w:strike w:val="0"/>
          <w:color w:val="auto"/>
          <w:kern w:val="0"/>
          <w:sz w:val="32"/>
          <w:szCs w:val="32"/>
          <w:highlight w:val="none"/>
          <w:lang w:eastAsia="zh-CN"/>
        </w:rPr>
        <w:t>反应单元制备</w:t>
      </w:r>
      <w:r>
        <w:rPr>
          <w:rFonts w:hint="eastAsia" w:eastAsia="仿宋_GB2312"/>
          <w:color w:val="auto"/>
          <w:kern w:val="0"/>
          <w:sz w:val="32"/>
          <w:szCs w:val="32"/>
          <w:highlight w:val="none"/>
          <w:lang w:eastAsia="zh-CN"/>
        </w:rPr>
        <w:t>方法不同，其结构组成上也存在一定差异。如振动注射式</w:t>
      </w:r>
      <w:r>
        <w:rPr>
          <w:rFonts w:hint="eastAsia" w:eastAsia="仿宋_GB2312"/>
          <w:color w:val="auto"/>
          <w:kern w:val="0"/>
          <w:sz w:val="32"/>
          <w:szCs w:val="32"/>
          <w:highlight w:val="none"/>
        </w:rPr>
        <w:t>液滴生成模块</w:t>
      </w:r>
      <w:r>
        <w:rPr>
          <w:rFonts w:hint="eastAsia" w:eastAsia="仿宋_GB2312"/>
          <w:color w:val="auto"/>
          <w:kern w:val="0"/>
          <w:sz w:val="32"/>
          <w:szCs w:val="32"/>
          <w:highlight w:val="none"/>
          <w:lang w:eastAsia="zh-CN"/>
        </w:rPr>
        <w:t>：一般包括</w:t>
      </w:r>
      <w:r>
        <w:rPr>
          <w:rFonts w:hint="eastAsia" w:eastAsia="仿宋_GB2312"/>
          <w:color w:val="auto"/>
          <w:kern w:val="0"/>
          <w:sz w:val="32"/>
          <w:szCs w:val="32"/>
          <w:highlight w:val="none"/>
          <w:lang w:val="en-US" w:eastAsia="zh-CN"/>
        </w:rPr>
        <w:t>注射泵、</w:t>
      </w:r>
      <w:r>
        <w:rPr>
          <w:rFonts w:hint="eastAsia" w:eastAsia="仿宋_GB2312"/>
          <w:color w:val="auto"/>
          <w:kern w:val="0"/>
          <w:sz w:val="32"/>
          <w:szCs w:val="32"/>
          <w:highlight w:val="none"/>
        </w:rPr>
        <w:t>振动</w:t>
      </w:r>
      <w:r>
        <w:rPr>
          <w:rFonts w:hint="eastAsia" w:eastAsia="仿宋_GB2312"/>
          <w:color w:val="auto"/>
          <w:kern w:val="0"/>
          <w:sz w:val="32"/>
          <w:szCs w:val="32"/>
          <w:highlight w:val="none"/>
          <w:lang w:val="en-US" w:eastAsia="zh-CN"/>
        </w:rPr>
        <w:t>驱动</w:t>
      </w:r>
      <w:r>
        <w:rPr>
          <w:rFonts w:hint="eastAsia" w:eastAsia="仿宋_GB2312"/>
          <w:color w:val="auto"/>
          <w:kern w:val="0"/>
          <w:sz w:val="32"/>
          <w:szCs w:val="32"/>
          <w:highlight w:val="none"/>
        </w:rPr>
        <w:t>装置、</w:t>
      </w:r>
      <w:r>
        <w:rPr>
          <w:rFonts w:hint="eastAsia" w:eastAsia="仿宋_GB2312"/>
          <w:color w:val="auto"/>
          <w:kern w:val="0"/>
          <w:sz w:val="32"/>
          <w:szCs w:val="32"/>
          <w:highlight w:val="none"/>
          <w:lang w:val="en-US" w:eastAsia="zh-CN"/>
        </w:rPr>
        <w:t>液滴平板芯片</w:t>
      </w:r>
      <w:r>
        <w:rPr>
          <w:rFonts w:hint="eastAsia" w:eastAsia="仿宋_GB2312"/>
          <w:color w:val="auto"/>
          <w:kern w:val="0"/>
          <w:sz w:val="32"/>
          <w:szCs w:val="32"/>
          <w:highlight w:val="none"/>
        </w:rPr>
        <w:t>和控制</w:t>
      </w:r>
      <w:r>
        <w:rPr>
          <w:rFonts w:hint="eastAsia" w:eastAsia="仿宋_GB2312"/>
          <w:color w:val="auto"/>
          <w:kern w:val="0"/>
          <w:sz w:val="32"/>
          <w:szCs w:val="32"/>
          <w:highlight w:val="none"/>
          <w:lang w:val="en-US" w:eastAsia="zh-CN"/>
        </w:rPr>
        <w:t>装置</w:t>
      </w:r>
      <w:r>
        <w:rPr>
          <w:rFonts w:hint="eastAsia" w:eastAsia="仿宋_GB2312"/>
          <w:color w:val="auto"/>
          <w:kern w:val="0"/>
          <w:sz w:val="32"/>
          <w:szCs w:val="32"/>
          <w:highlight w:val="none"/>
          <w:lang w:eastAsia="zh-CN"/>
        </w:rPr>
        <w:t>等；</w:t>
      </w:r>
      <w:r>
        <w:rPr>
          <w:rFonts w:hint="eastAsia" w:eastAsia="仿宋_GB2312"/>
          <w:color w:val="auto"/>
          <w:kern w:val="0"/>
          <w:sz w:val="32"/>
          <w:szCs w:val="32"/>
          <w:highlight w:val="none"/>
          <w:lang w:val="en-US" w:eastAsia="zh-CN"/>
        </w:rPr>
        <w:t>阶梯乳化式液滴生成模块：一般包括压盖组件、压力气路系统和配套芯片等；流动聚焦式微液滴</w:t>
      </w:r>
      <w:r>
        <w:rPr>
          <w:rFonts w:hint="eastAsia" w:eastAsia="仿宋_GB2312"/>
          <w:color w:val="auto"/>
          <w:kern w:val="0"/>
          <w:sz w:val="32"/>
          <w:szCs w:val="32"/>
          <w:highlight w:val="none"/>
        </w:rPr>
        <w:t>生成模块：</w:t>
      </w:r>
      <w:r>
        <w:rPr>
          <w:rFonts w:hint="eastAsia" w:eastAsia="仿宋_GB2312"/>
          <w:color w:val="auto"/>
          <w:kern w:val="0"/>
          <w:sz w:val="32"/>
          <w:szCs w:val="32"/>
          <w:highlight w:val="none"/>
          <w:lang w:val="en-US" w:eastAsia="zh-CN"/>
        </w:rPr>
        <w:t>一般包括精密压力源、气密接口和压力传感器等。微孔法上样仪器的结构一般包括移液机械臂、加样针、纳米孔芯片装载装置等。</w:t>
      </w:r>
    </w:p>
    <w:p>
      <w:pPr>
        <w:spacing w:line="520" w:lineRule="atLeast"/>
        <w:ind w:firstLine="640" w:firstLineChars="200"/>
        <w:rPr>
          <w:rFonts w:hint="eastAsia" w:eastAsia="仿宋_GB2312"/>
          <w:color w:val="auto"/>
          <w:kern w:val="0"/>
          <w:sz w:val="32"/>
          <w:szCs w:val="32"/>
          <w:highlight w:val="yellow"/>
          <w:lang w:val="en-US" w:eastAsia="zh-CN"/>
        </w:rPr>
      </w:pPr>
      <w:r>
        <w:rPr>
          <w:rFonts w:hint="eastAsia" w:eastAsia="仿宋_GB2312"/>
          <w:color w:val="auto"/>
          <w:kern w:val="0"/>
          <w:sz w:val="32"/>
          <w:szCs w:val="32"/>
          <w:highlight w:val="none"/>
          <w:lang w:val="en-US" w:eastAsia="zh-CN"/>
        </w:rPr>
        <w:t>2.2 PCR扩增模块：一般</w:t>
      </w:r>
      <w:r>
        <w:rPr>
          <w:rFonts w:hint="eastAsia" w:eastAsia="仿宋_GB2312"/>
          <w:color w:val="auto"/>
          <w:kern w:val="0"/>
          <w:sz w:val="32"/>
          <w:szCs w:val="32"/>
          <w:highlight w:val="none"/>
        </w:rPr>
        <w:t>包括加热</w:t>
      </w:r>
      <w:r>
        <w:rPr>
          <w:rFonts w:hint="eastAsia" w:eastAsia="仿宋_GB2312"/>
          <w:color w:val="auto"/>
          <w:kern w:val="0"/>
          <w:sz w:val="32"/>
          <w:szCs w:val="32"/>
          <w:highlight w:val="none"/>
          <w:lang w:val="en-US" w:eastAsia="zh-CN"/>
        </w:rPr>
        <w:t>部件</w:t>
      </w:r>
      <w:r>
        <w:rPr>
          <w:rFonts w:hint="eastAsia" w:eastAsia="仿宋_GB2312"/>
          <w:color w:val="auto"/>
          <w:kern w:val="0"/>
          <w:sz w:val="32"/>
          <w:szCs w:val="32"/>
          <w:highlight w:val="none"/>
        </w:rPr>
        <w:t>、温度传感器、散热器及其他辅助元器件等</w:t>
      </w:r>
      <w:r>
        <w:rPr>
          <w:rFonts w:hint="eastAsia" w:eastAsia="仿宋_GB2312"/>
          <w:color w:val="auto"/>
          <w:kern w:val="0"/>
          <w:sz w:val="32"/>
          <w:szCs w:val="32"/>
          <w:highlight w:val="none"/>
          <w:lang w:eastAsia="zh-CN"/>
        </w:rPr>
        <w:t>，主要</w:t>
      </w:r>
      <w:r>
        <w:rPr>
          <w:rFonts w:hint="eastAsia" w:eastAsia="仿宋_GB2312"/>
          <w:color w:val="auto"/>
          <w:kern w:val="0"/>
          <w:sz w:val="32"/>
          <w:szCs w:val="32"/>
          <w:highlight w:val="none"/>
        </w:rPr>
        <w:t>功能是</w:t>
      </w:r>
      <w:r>
        <w:rPr>
          <w:rFonts w:hint="eastAsia" w:eastAsia="仿宋_GB2312"/>
          <w:color w:val="auto"/>
          <w:kern w:val="0"/>
          <w:sz w:val="32"/>
          <w:szCs w:val="32"/>
          <w:highlight w:val="none"/>
          <w:lang w:eastAsia="zh-CN"/>
        </w:rPr>
        <w:t>通过升降温控制，</w:t>
      </w:r>
      <w:r>
        <w:rPr>
          <w:rFonts w:hint="eastAsia" w:eastAsia="仿宋_GB2312"/>
          <w:color w:val="auto"/>
          <w:kern w:val="0"/>
          <w:sz w:val="32"/>
          <w:szCs w:val="32"/>
          <w:highlight w:val="none"/>
        </w:rPr>
        <w:t>为核酸扩增提供合适的温度</w:t>
      </w:r>
      <w:r>
        <w:rPr>
          <w:rFonts w:hint="eastAsia" w:eastAsia="仿宋_GB2312"/>
          <w:color w:val="auto"/>
          <w:kern w:val="0"/>
          <w:sz w:val="32"/>
          <w:szCs w:val="32"/>
          <w:highlight w:val="none"/>
          <w:lang w:eastAsia="zh-CN"/>
        </w:rPr>
        <w:t>或温度循环</w:t>
      </w:r>
      <w:r>
        <w:rPr>
          <w:rFonts w:hint="eastAsia" w:eastAsia="仿宋_GB2312"/>
          <w:color w:val="auto"/>
          <w:kern w:val="0"/>
          <w:sz w:val="32"/>
          <w:szCs w:val="32"/>
          <w:highlight w:val="none"/>
        </w:rPr>
        <w:t>环境。</w:t>
      </w:r>
      <w:r>
        <w:rPr>
          <w:rFonts w:hint="eastAsia" w:eastAsia="仿宋_GB2312"/>
          <w:color w:val="auto"/>
          <w:kern w:val="0"/>
          <w:sz w:val="32"/>
          <w:szCs w:val="32"/>
          <w:highlight w:val="none"/>
          <w:lang w:val="en-US" w:eastAsia="zh-CN"/>
        </w:rPr>
        <w:t xml:space="preserve"> </w:t>
      </w:r>
    </w:p>
    <w:p>
      <w:pPr>
        <w:spacing w:line="520" w:lineRule="atLeast"/>
        <w:ind w:firstLine="640" w:firstLineChars="200"/>
        <w:rPr>
          <w:rFonts w:hint="eastAsia" w:eastAsia="仿宋_GB2312"/>
          <w:color w:val="auto"/>
          <w:kern w:val="0"/>
          <w:sz w:val="32"/>
          <w:szCs w:val="32"/>
          <w:highlight w:val="none"/>
          <w:lang w:val="en-US" w:eastAsia="zh-CN"/>
        </w:rPr>
      </w:pPr>
      <w:r>
        <w:rPr>
          <w:rFonts w:hint="eastAsia" w:eastAsia="仿宋_GB2312"/>
          <w:color w:val="auto"/>
          <w:kern w:val="0"/>
          <w:sz w:val="32"/>
          <w:szCs w:val="32"/>
          <w:highlight w:val="none"/>
          <w:lang w:val="en-US" w:eastAsia="zh-CN"/>
        </w:rPr>
        <w:t>2.3荧光检测模块：主要功能是根据程序设定进行荧光信号的激发、传导及信号转化和采集。一般由激发光源、光路系统、光电转换器、信号放大器检测器等组成。激发光源可以为卤钨灯光源、离子激发器、发光二极管(LED)等光源。根据可检测的荧光通道数量及荧光基团的荧光光谱特性，可安装不同波长的滤光片。检测器有超低温光电耦合(CCD)或互补金属氧化物半导体(CMOS)成像系统、光电二极管(PDT)和光电信增管(PMT)等。根据不同荧光染料的最佳波长设计出拥有多个激发发射波长的多通道荧光检测系统。</w:t>
      </w:r>
    </w:p>
    <w:p>
      <w:pPr>
        <w:spacing w:line="520" w:lineRule="atLeast"/>
        <w:ind w:firstLine="640" w:firstLineChars="200"/>
        <w:rPr>
          <w:rFonts w:hint="eastAsia" w:eastAsia="仿宋_GB2312"/>
          <w:color w:val="auto"/>
          <w:kern w:val="0"/>
          <w:sz w:val="32"/>
          <w:szCs w:val="32"/>
          <w:highlight w:val="none"/>
          <w:lang w:val="en-US" w:eastAsia="zh-CN"/>
        </w:rPr>
      </w:pPr>
      <w:r>
        <w:rPr>
          <w:rFonts w:hint="eastAsia" w:eastAsia="仿宋_GB2312"/>
          <w:color w:val="auto"/>
          <w:kern w:val="0"/>
          <w:sz w:val="32"/>
          <w:szCs w:val="32"/>
          <w:highlight w:val="none"/>
          <w:lang w:val="en-US" w:eastAsia="zh-CN"/>
        </w:rPr>
        <w:t>根据检测方法不同，目前数字PCR的荧光检测模块主要分为流式荧光法和荧光成像法。二者在信号转化和采集等部分会存在差异，需根据产品的具体情况予以明确模块的结构和组成。</w:t>
      </w:r>
    </w:p>
    <w:p>
      <w:pPr>
        <w:spacing w:line="520" w:lineRule="atLeast"/>
        <w:ind w:firstLine="640" w:firstLineChars="200"/>
        <w:rPr>
          <w:rFonts w:hint="eastAsia" w:eastAsia="仿宋_GB2312"/>
          <w:color w:val="auto"/>
          <w:kern w:val="0"/>
          <w:sz w:val="32"/>
          <w:szCs w:val="32"/>
          <w:highlight w:val="yellow"/>
          <w:lang w:val="en-US" w:eastAsia="zh-CN"/>
        </w:rPr>
      </w:pPr>
      <w:r>
        <w:rPr>
          <w:rFonts w:hint="eastAsia" w:eastAsia="仿宋_GB2312"/>
          <w:color w:val="auto"/>
          <w:kern w:val="0"/>
          <w:sz w:val="32"/>
          <w:szCs w:val="32"/>
          <w:highlight w:val="none"/>
          <w:lang w:val="en-US" w:eastAsia="zh-CN"/>
        </w:rPr>
        <w:t>2.4控制模块：一般包括主</w:t>
      </w:r>
      <w:r>
        <w:rPr>
          <w:rFonts w:hint="default" w:eastAsia="仿宋_GB2312"/>
          <w:color w:val="auto"/>
          <w:kern w:val="0"/>
          <w:sz w:val="32"/>
          <w:szCs w:val="32"/>
          <w:highlight w:val="none"/>
          <w:lang w:val="en-US" w:eastAsia="zh-CN"/>
        </w:rPr>
        <w:t>控</w:t>
      </w:r>
      <w:r>
        <w:rPr>
          <w:rFonts w:hint="eastAsia" w:eastAsia="仿宋_GB2312"/>
          <w:color w:val="auto"/>
          <w:kern w:val="0"/>
          <w:sz w:val="32"/>
          <w:szCs w:val="32"/>
          <w:highlight w:val="none"/>
          <w:lang w:val="en-US" w:eastAsia="zh-CN"/>
        </w:rPr>
        <w:t>板、机械控制板、</w:t>
      </w:r>
      <w:r>
        <w:rPr>
          <w:rFonts w:hint="default" w:eastAsia="仿宋_GB2312"/>
          <w:color w:val="auto"/>
          <w:kern w:val="0"/>
          <w:sz w:val="32"/>
          <w:szCs w:val="32"/>
          <w:highlight w:val="none"/>
          <w:lang w:val="en-US" w:eastAsia="zh-CN"/>
        </w:rPr>
        <w:t>温度控制板</w:t>
      </w:r>
      <w:r>
        <w:rPr>
          <w:rFonts w:hint="eastAsia" w:eastAsia="仿宋_GB2312"/>
          <w:color w:val="auto"/>
          <w:kern w:val="0"/>
          <w:sz w:val="32"/>
          <w:szCs w:val="32"/>
          <w:highlight w:val="none"/>
          <w:lang w:val="en-US" w:eastAsia="zh-CN"/>
        </w:rPr>
        <w:t>、光源控制板等，控制系统各个模块的工作，实现机械部件运动、升降温控制、光源的开关及切换等功能，同时监测各模块的状态并获取检测数据；</w:t>
      </w:r>
    </w:p>
    <w:p>
      <w:pPr>
        <w:spacing w:line="520" w:lineRule="atLeast"/>
        <w:ind w:firstLine="640" w:firstLineChars="200"/>
        <w:rPr>
          <w:rFonts w:hint="eastAsia" w:eastAsia="仿宋_GB2312"/>
          <w:color w:val="auto"/>
          <w:kern w:val="0"/>
          <w:sz w:val="32"/>
          <w:szCs w:val="32"/>
          <w:highlight w:val="none"/>
          <w:lang w:val="en-US" w:eastAsia="zh-CN"/>
        </w:rPr>
      </w:pPr>
      <w:r>
        <w:rPr>
          <w:rFonts w:hint="eastAsia" w:eastAsia="仿宋_GB2312"/>
          <w:color w:val="auto"/>
          <w:kern w:val="0"/>
          <w:sz w:val="32"/>
          <w:szCs w:val="32"/>
          <w:highlight w:val="none"/>
          <w:lang w:val="en-US" w:eastAsia="zh-CN"/>
        </w:rPr>
        <w:t>2.5机械模块：一般包括电机、导轨、驱动座、连杆等元器件，主要功能是在软件的协同作用下，通过传动部件实现对各部件相关运动的操作控制，如控制样本的进出、芯片的转移、机械臂运动、特定部件的位移等。</w:t>
      </w:r>
    </w:p>
    <w:p>
      <w:pPr>
        <w:spacing w:line="520" w:lineRule="atLeast"/>
        <w:ind w:firstLine="640" w:firstLineChars="200"/>
        <w:rPr>
          <w:rFonts w:hint="eastAsia" w:eastAsia="仿宋_GB2312"/>
          <w:color w:val="auto"/>
          <w:kern w:val="0"/>
          <w:sz w:val="32"/>
          <w:szCs w:val="32"/>
          <w:highlight w:val="none"/>
          <w:lang w:val="en-US" w:eastAsia="zh-CN"/>
        </w:rPr>
      </w:pPr>
      <w:r>
        <w:rPr>
          <w:rFonts w:hint="eastAsia" w:eastAsia="仿宋_GB2312"/>
          <w:color w:val="auto"/>
          <w:kern w:val="0"/>
          <w:sz w:val="32"/>
          <w:szCs w:val="32"/>
          <w:highlight w:val="none"/>
          <w:lang w:val="en-US" w:eastAsia="zh-CN"/>
        </w:rPr>
        <w:t>2.6电源模块：由适配器和开关电源等组件组成，主要功能是为设备内的各模块提供电能，将交流电转换后直接输出直流电。</w:t>
      </w:r>
    </w:p>
    <w:p>
      <w:pPr>
        <w:spacing w:line="520" w:lineRule="atLeast"/>
        <w:ind w:firstLine="640" w:firstLineChars="200"/>
        <w:rPr>
          <w:rFonts w:hint="eastAsia" w:eastAsia="仿宋_GB2312"/>
          <w:color w:val="auto"/>
          <w:kern w:val="0"/>
          <w:sz w:val="32"/>
          <w:szCs w:val="32"/>
          <w:highlight w:val="none"/>
          <w:lang w:val="en-US" w:eastAsia="zh-CN"/>
        </w:rPr>
      </w:pPr>
      <w:r>
        <w:rPr>
          <w:rFonts w:hint="eastAsia" w:eastAsia="仿宋_GB2312"/>
          <w:color w:val="auto"/>
          <w:kern w:val="0"/>
          <w:sz w:val="32"/>
          <w:szCs w:val="32"/>
          <w:highlight w:val="none"/>
          <w:lang w:val="en-US" w:eastAsia="zh-CN"/>
        </w:rPr>
        <w:t>2.7软件：安装在申报产品上和/或配套使用的计算机上，可分为控制软件和数据处理软件。控制软件主要作用是支持计算机与硬件的通讯，解析并传递两者间的指令、状态监测及检测数据；数据处理软件提供用户交互的界面，主要通过人机交互，完成信息录入和系统设置、运行检测程序、下达控制指令、完成数据采集和数据分析等功能。</w:t>
      </w:r>
    </w:p>
    <w:p>
      <w:pPr>
        <w:spacing w:line="520" w:lineRule="atLeast"/>
        <w:ind w:firstLine="640"/>
        <w:rPr>
          <w:color w:val="auto"/>
        </w:rPr>
      </w:pPr>
      <w:r>
        <w:rPr>
          <w:rFonts w:ascii="Times New Roman" w:hAnsi="Times New Roman" w:eastAsia="仿宋_GB2312"/>
          <w:color w:val="auto"/>
          <w:kern w:val="0"/>
          <w:sz w:val="32"/>
          <w:szCs w:val="32"/>
        </w:rPr>
        <w:t>申请人应当根据拟申报产品的具体特征，结合结构示意图，详细描述各组成模块的功能和结构；说明各模块和部件之间的物理连接和功能交互；如模块/关键部件由外部采购，应列出详细信息，包含名称、型号、制造商、质控要求等。关键部件一般为影响申报产品性能的主要部件，</w:t>
      </w:r>
      <w:r>
        <w:rPr>
          <w:rFonts w:ascii="Times New Roman" w:hAnsi="Times New Roman" w:eastAsia="仿宋_GB2312"/>
          <w:color w:val="auto"/>
          <w:kern w:val="0"/>
          <w:sz w:val="32"/>
          <w:szCs w:val="32"/>
          <w:highlight w:val="none"/>
        </w:rPr>
        <w:t>如压力传感器、温度传感器、</w:t>
      </w:r>
      <w:r>
        <w:rPr>
          <w:rFonts w:hint="eastAsia" w:eastAsia="仿宋_GB2312"/>
          <w:color w:val="auto"/>
          <w:kern w:val="0"/>
          <w:sz w:val="32"/>
          <w:szCs w:val="32"/>
          <w:highlight w:val="none"/>
          <w:lang w:val="en-US" w:eastAsia="zh-CN"/>
        </w:rPr>
        <w:t>图像采集器</w:t>
      </w:r>
      <w:r>
        <w:rPr>
          <w:rFonts w:hint="eastAsia" w:ascii="Times New Roman" w:hAnsi="Times New Roman" w:eastAsia="仿宋_GB2312"/>
          <w:color w:val="auto"/>
          <w:kern w:val="0"/>
          <w:sz w:val="32"/>
          <w:szCs w:val="32"/>
          <w:highlight w:val="none"/>
        </w:rPr>
        <w:t>、</w:t>
      </w:r>
      <w:r>
        <w:rPr>
          <w:rFonts w:ascii="Times New Roman" w:hAnsi="Times New Roman" w:eastAsia="仿宋_GB2312"/>
          <w:color w:val="auto"/>
          <w:kern w:val="0"/>
          <w:sz w:val="32"/>
          <w:szCs w:val="32"/>
          <w:highlight w:val="none"/>
        </w:rPr>
        <w:t>滤光</w:t>
      </w:r>
      <w:r>
        <w:rPr>
          <w:rFonts w:hint="eastAsia" w:ascii="Times New Roman" w:hAnsi="Times New Roman" w:eastAsia="仿宋_GB2312"/>
          <w:color w:val="auto"/>
          <w:kern w:val="0"/>
          <w:sz w:val="32"/>
          <w:szCs w:val="32"/>
          <w:highlight w:val="none"/>
        </w:rPr>
        <w:t>分光组件、微孔/液滴</w:t>
      </w:r>
      <w:r>
        <w:rPr>
          <w:rFonts w:ascii="Times New Roman" w:hAnsi="Times New Roman" w:eastAsia="仿宋_GB2312"/>
          <w:color w:val="auto"/>
          <w:kern w:val="0"/>
          <w:sz w:val="32"/>
          <w:szCs w:val="32"/>
          <w:highlight w:val="none"/>
        </w:rPr>
        <w:t>微流控芯片等。</w:t>
      </w:r>
    </w:p>
    <w:p>
      <w:pPr>
        <w:spacing w:line="520" w:lineRule="atLeast"/>
        <w:ind w:firstLine="640"/>
        <w:rPr>
          <w:rFonts w:hint="default" w:ascii="Times New Roman" w:hAnsi="Times New Roman" w:eastAsia="仿宋_GB2312"/>
          <w:color w:val="auto"/>
          <w:kern w:val="0"/>
          <w:sz w:val="32"/>
          <w:szCs w:val="32"/>
          <w:lang w:val="en-US" w:eastAsia="zh-CN"/>
        </w:rPr>
      </w:pPr>
      <w:r>
        <w:rPr>
          <w:rFonts w:hint="eastAsia" w:eastAsia="仿宋_GB2312"/>
          <w:color w:val="auto"/>
          <w:kern w:val="0"/>
          <w:sz w:val="32"/>
          <w:szCs w:val="32"/>
          <w:lang w:val="en-US" w:eastAsia="zh-CN"/>
        </w:rPr>
        <w:t>申请人应当结合图示详细描述配套芯片的结构，</w:t>
      </w:r>
      <w:r>
        <w:rPr>
          <w:rFonts w:hint="eastAsia" w:eastAsia="仿宋_GB2312"/>
          <w:color w:val="auto"/>
          <w:kern w:val="0"/>
          <w:sz w:val="32"/>
          <w:szCs w:val="32"/>
          <w:highlight w:val="none"/>
          <w:lang w:val="en-US" w:eastAsia="zh-CN"/>
        </w:rPr>
        <w:t>介绍芯片结构外观、材料、关键尺寸，包含的化学成分：如油相成分</w:t>
      </w:r>
      <w:r>
        <w:rPr>
          <w:rFonts w:hint="eastAsia" w:eastAsia="仿宋_GB2312"/>
          <w:color w:val="auto"/>
          <w:kern w:val="0"/>
          <w:sz w:val="32"/>
          <w:szCs w:val="32"/>
          <w:lang w:val="en-US" w:eastAsia="zh-CN"/>
        </w:rPr>
        <w:t>、活性剂等，结合芯片的结构描述反应单元制备和检测的原理。</w:t>
      </w:r>
    </w:p>
    <w:p>
      <w:pPr>
        <w:numPr>
          <w:ilvl w:val="0"/>
          <w:numId w:val="0"/>
        </w:numPr>
        <w:spacing w:line="520" w:lineRule="atLeast"/>
        <w:ind w:leftChars="200"/>
        <w:rPr>
          <w:rFonts w:hint="eastAsia" w:eastAsia="仿宋_GB2312"/>
          <w:color w:val="auto"/>
          <w:spacing w:val="-1"/>
          <w:sz w:val="32"/>
          <w:szCs w:val="32"/>
        </w:rPr>
      </w:pPr>
      <w:r>
        <w:rPr>
          <w:rFonts w:hint="eastAsia" w:eastAsia="仿宋_GB2312"/>
          <w:color w:val="auto"/>
          <w:spacing w:val="-1"/>
          <w:sz w:val="32"/>
          <w:szCs w:val="32"/>
          <w:lang w:val="en-US" w:eastAsia="zh-CN"/>
        </w:rPr>
        <w:t xml:space="preserve"> 3.</w:t>
      </w:r>
      <w:r>
        <w:rPr>
          <w:rFonts w:hint="eastAsia" w:eastAsia="仿宋_GB2312"/>
          <w:color w:val="auto"/>
          <w:spacing w:val="-1"/>
          <w:sz w:val="32"/>
          <w:szCs w:val="32"/>
        </w:rPr>
        <w:t>适用范围</w:t>
      </w:r>
    </w:p>
    <w:p>
      <w:pPr>
        <w:autoSpaceDE w:val="0"/>
        <w:autoSpaceDN w:val="0"/>
        <w:adjustRightInd w:val="0"/>
        <w:spacing w:line="520" w:lineRule="atLeast"/>
        <w:ind w:firstLine="640"/>
        <w:rPr>
          <w:rFonts w:ascii="Times New Roman" w:hAnsi="Times New Roman" w:eastAsia="仿宋_GB2312"/>
          <w:color w:val="auto"/>
          <w:kern w:val="0"/>
          <w:sz w:val="32"/>
          <w:szCs w:val="32"/>
        </w:rPr>
      </w:pPr>
      <w:r>
        <w:rPr>
          <w:rFonts w:hint="eastAsia" w:eastAsia="仿宋_GB2312"/>
          <w:color w:val="auto"/>
          <w:kern w:val="0"/>
          <w:sz w:val="32"/>
          <w:szCs w:val="32"/>
          <w:lang w:val="en-US" w:eastAsia="zh-CN"/>
        </w:rPr>
        <w:t>3</w:t>
      </w:r>
      <w:r>
        <w:rPr>
          <w:rFonts w:ascii="Times New Roman" w:hAnsi="Times New Roman" w:eastAsia="仿宋_GB2312"/>
          <w:color w:val="auto"/>
          <w:kern w:val="0"/>
          <w:sz w:val="32"/>
          <w:szCs w:val="32"/>
        </w:rPr>
        <w:t>.1</w:t>
      </w:r>
      <w:r>
        <w:rPr>
          <w:rFonts w:hint="eastAsia" w:ascii="Times New Roman" w:hAnsi="Times New Roman" w:eastAsia="仿宋_GB2312"/>
          <w:color w:val="auto"/>
          <w:kern w:val="0"/>
          <w:sz w:val="32"/>
          <w:szCs w:val="32"/>
        </w:rPr>
        <w:t>明确写明申报产品的预期用途，建议采用以下形式描述：</w:t>
      </w:r>
      <w:r>
        <w:rPr>
          <w:rFonts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rPr>
        <w:t>该产品基于</w:t>
      </w:r>
      <w:r>
        <w:rPr>
          <w:rFonts w:ascii="Times New Roman" w:hAnsi="Times New Roman" w:eastAsia="仿宋_GB2312"/>
          <w:color w:val="auto"/>
          <w:kern w:val="0"/>
          <w:sz w:val="32"/>
          <w:szCs w:val="32"/>
        </w:rPr>
        <w:t>××</w:t>
      </w:r>
      <w:r>
        <w:rPr>
          <w:rFonts w:hint="eastAsia" w:eastAsia="仿宋_GB2312"/>
          <w:color w:val="auto"/>
          <w:kern w:val="0"/>
          <w:sz w:val="32"/>
          <w:szCs w:val="32"/>
          <w:lang w:val="en-US" w:eastAsia="zh-CN"/>
        </w:rPr>
        <w:t>反应单元制备和</w:t>
      </w:r>
      <w:r>
        <w:rPr>
          <w:rFonts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rPr>
        <w:t>检测</w:t>
      </w:r>
      <w:r>
        <w:rPr>
          <w:rFonts w:hint="eastAsia" w:eastAsia="仿宋_GB2312"/>
          <w:color w:val="auto"/>
          <w:kern w:val="0"/>
          <w:sz w:val="32"/>
          <w:szCs w:val="32"/>
          <w:lang w:val="en-US" w:eastAsia="zh-CN"/>
        </w:rPr>
        <w:t>法</w:t>
      </w:r>
      <w:r>
        <w:rPr>
          <w:rFonts w:hint="eastAsia" w:ascii="Times New Roman" w:hAnsi="Times New Roman" w:eastAsia="仿宋_GB2312"/>
          <w:color w:val="auto"/>
          <w:kern w:val="0"/>
          <w:sz w:val="32"/>
          <w:szCs w:val="32"/>
        </w:rPr>
        <w:t>，与配套的检测试剂</w:t>
      </w:r>
      <w:r>
        <w:rPr>
          <w:rFonts w:hint="eastAsia" w:eastAsia="仿宋_GB2312"/>
          <w:color w:val="auto"/>
          <w:kern w:val="0"/>
          <w:sz w:val="32"/>
          <w:szCs w:val="32"/>
          <w:lang w:val="en-US" w:eastAsia="zh-CN"/>
        </w:rPr>
        <w:t>和</w:t>
      </w:r>
      <w:r>
        <w:rPr>
          <w:rFonts w:ascii="Times New Roman" w:hAnsi="Times New Roman" w:eastAsia="仿宋_GB2312"/>
          <w:color w:val="auto"/>
          <w:kern w:val="0"/>
          <w:sz w:val="32"/>
          <w:szCs w:val="32"/>
        </w:rPr>
        <w:t>×××</w:t>
      </w:r>
      <w:r>
        <w:rPr>
          <w:rFonts w:hint="eastAsia" w:eastAsia="仿宋_GB2312"/>
          <w:color w:val="auto"/>
          <w:kern w:val="0"/>
          <w:sz w:val="32"/>
          <w:szCs w:val="32"/>
          <w:lang w:val="en-US" w:eastAsia="zh-CN"/>
        </w:rPr>
        <w:t>芯片</w:t>
      </w:r>
      <w:r>
        <w:rPr>
          <w:rFonts w:hint="eastAsia" w:ascii="Times New Roman" w:hAnsi="Times New Roman" w:eastAsia="仿宋_GB2312"/>
          <w:color w:val="auto"/>
          <w:kern w:val="0"/>
          <w:sz w:val="32"/>
          <w:szCs w:val="32"/>
        </w:rPr>
        <w:t>共同使用，在临床上用于对来源于人体样本中的靶核酸（</w:t>
      </w:r>
      <w:r>
        <w:rPr>
          <w:rFonts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rPr>
        <w:t>）进行定性、定量检测，包括</w:t>
      </w:r>
      <w:r>
        <w:rPr>
          <w:rFonts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rPr>
        <w:t>项目</w:t>
      </w:r>
      <w:r>
        <w:rPr>
          <w:rFonts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rPr>
        <w:t>。其中，</w:t>
      </w:r>
      <w:r>
        <w:rPr>
          <w:rFonts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rPr>
        <w:t>应当写明</w:t>
      </w:r>
      <w:r>
        <w:rPr>
          <w:rFonts w:hint="eastAsia" w:eastAsia="仿宋_GB2312"/>
          <w:color w:val="auto"/>
          <w:kern w:val="0"/>
          <w:sz w:val="32"/>
          <w:szCs w:val="32"/>
          <w:lang w:val="en-US" w:eastAsia="zh-CN"/>
        </w:rPr>
        <w:t>反应单元制备和荧光读取的方法</w:t>
      </w:r>
      <w:r>
        <w:rPr>
          <w:rFonts w:hint="eastAsia" w:ascii="Times New Roman" w:hAnsi="Times New Roman" w:eastAsia="仿宋_GB2312"/>
          <w:color w:val="auto"/>
          <w:kern w:val="0"/>
          <w:sz w:val="32"/>
          <w:szCs w:val="32"/>
        </w:rPr>
        <w:t>；</w:t>
      </w:r>
      <w:r>
        <w:rPr>
          <w:rFonts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rPr>
        <w:t>应当写明</w:t>
      </w:r>
      <w:r>
        <w:rPr>
          <w:rFonts w:hint="eastAsia" w:eastAsia="仿宋_GB2312"/>
          <w:color w:val="auto"/>
          <w:kern w:val="0"/>
          <w:sz w:val="32"/>
          <w:szCs w:val="32"/>
          <w:lang w:val="en-US" w:eastAsia="zh-CN"/>
        </w:rPr>
        <w:t>配套使用的芯片类型；</w:t>
      </w:r>
      <w:r>
        <w:rPr>
          <w:rFonts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rPr>
        <w:t>应当写明靶核酸类型，如</w:t>
      </w:r>
      <w:r>
        <w:rPr>
          <w:rFonts w:ascii="Times New Roman" w:hAnsi="Times New Roman" w:eastAsia="仿宋_GB2312"/>
          <w:color w:val="auto"/>
          <w:kern w:val="0"/>
          <w:sz w:val="32"/>
          <w:szCs w:val="32"/>
        </w:rPr>
        <w:t>DNA/RNA</w:t>
      </w:r>
      <w:r>
        <w:rPr>
          <w:rFonts w:hint="eastAsia" w:ascii="Times New Roman" w:hAnsi="Times New Roman" w:eastAsia="仿宋_GB2312"/>
          <w:color w:val="auto"/>
          <w:kern w:val="0"/>
          <w:sz w:val="32"/>
          <w:szCs w:val="32"/>
        </w:rPr>
        <w:t>；</w:t>
      </w:r>
      <w:r>
        <w:rPr>
          <w:rFonts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rPr>
        <w:t>项目应当根据研究资料的提交情况写明申报产品可以检测的被分析物的大类名称，如病原体、人类基因等</w:t>
      </w:r>
      <w:r>
        <w:rPr>
          <w:rFonts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rPr>
        <w:t>。</w:t>
      </w:r>
    </w:p>
    <w:p>
      <w:pPr>
        <w:numPr>
          <w:ilvl w:val="0"/>
          <w:numId w:val="0"/>
        </w:numPr>
        <w:spacing w:line="520" w:lineRule="atLeast"/>
        <w:ind w:firstLine="632"/>
        <w:rPr>
          <w:rFonts w:hint="eastAsia" w:eastAsia="仿宋_GB2312"/>
          <w:color w:val="auto"/>
          <w:kern w:val="0"/>
          <w:sz w:val="32"/>
          <w:szCs w:val="32"/>
          <w:lang w:eastAsia="zh-CN"/>
        </w:rPr>
      </w:pPr>
      <w:r>
        <w:rPr>
          <w:rFonts w:hint="eastAsia" w:eastAsia="仿宋_GB2312"/>
          <w:color w:val="auto"/>
          <w:spacing w:val="-1"/>
          <w:sz w:val="32"/>
          <w:szCs w:val="32"/>
          <w:lang w:val="en-US" w:eastAsia="zh-CN"/>
        </w:rPr>
        <w:t>3</w:t>
      </w:r>
      <w:r>
        <w:rPr>
          <w:rFonts w:ascii="Times New Roman" w:hAnsi="Times New Roman" w:eastAsia="仿宋_GB2312"/>
          <w:color w:val="auto"/>
          <w:kern w:val="0"/>
          <w:sz w:val="32"/>
          <w:szCs w:val="32"/>
        </w:rPr>
        <w:t>.2</w:t>
      </w:r>
      <w:r>
        <w:rPr>
          <w:rFonts w:hint="eastAsia" w:ascii="Times New Roman" w:hAnsi="Times New Roman" w:eastAsia="仿宋_GB2312"/>
          <w:color w:val="auto"/>
          <w:kern w:val="0"/>
          <w:sz w:val="32"/>
          <w:szCs w:val="32"/>
        </w:rPr>
        <w:t>明确写明预期使用环境，包括申报产品预期使用的地点，如医疗机构符合要求的临床基因扩增检测实验室，以及可能会影响其安全性和有效性的环境条件，也即申报产品的正常工作条件，包括空间要求、气压、温度、湿度、海拔高度、电源要求等</w:t>
      </w:r>
      <w:r>
        <w:rPr>
          <w:rFonts w:hint="eastAsia" w:eastAsia="仿宋_GB2312"/>
          <w:color w:val="auto"/>
          <w:kern w:val="0"/>
          <w:sz w:val="32"/>
          <w:szCs w:val="32"/>
          <w:lang w:eastAsia="zh-CN"/>
        </w:rPr>
        <w:t>。</w:t>
      </w:r>
    </w:p>
    <w:p>
      <w:pPr>
        <w:spacing w:line="520" w:lineRule="atLeast"/>
        <w:ind w:firstLine="640"/>
        <w:rPr>
          <w:rFonts w:ascii="Times New Roman" w:hAnsi="Times New Roman" w:eastAsia="仿宋_GB2312"/>
          <w:color w:val="auto"/>
          <w:kern w:val="0"/>
          <w:sz w:val="32"/>
          <w:szCs w:val="32"/>
        </w:rPr>
      </w:pPr>
      <w:r>
        <w:rPr>
          <w:rFonts w:hint="eastAsia" w:eastAsia="仿宋_GB2312"/>
          <w:color w:val="auto"/>
          <w:kern w:val="0"/>
          <w:sz w:val="32"/>
          <w:szCs w:val="32"/>
          <w:lang w:val="en-US" w:eastAsia="zh-CN"/>
        </w:rPr>
        <w:t>3</w:t>
      </w:r>
      <w:r>
        <w:rPr>
          <w:rFonts w:ascii="Times New Roman" w:hAnsi="Times New Roman" w:eastAsia="仿宋_GB2312"/>
          <w:color w:val="auto"/>
          <w:kern w:val="0"/>
          <w:sz w:val="32"/>
          <w:szCs w:val="32"/>
        </w:rPr>
        <w:t>.3</w:t>
      </w:r>
      <w:r>
        <w:rPr>
          <w:rFonts w:hint="eastAsia" w:ascii="Times New Roman" w:hAnsi="Times New Roman" w:eastAsia="仿宋_GB2312"/>
          <w:color w:val="auto"/>
          <w:kern w:val="0"/>
          <w:sz w:val="32"/>
          <w:szCs w:val="32"/>
        </w:rPr>
        <w:t>明确写明目标用户为经专业培训的医疗机构的检验人员，并写明相关人员操作申报产品应当具备的基本能力要求和资格。</w:t>
      </w:r>
    </w:p>
    <w:p>
      <w:pPr>
        <w:adjustRightInd w:val="0"/>
        <w:snapToGrid w:val="0"/>
        <w:spacing w:line="520" w:lineRule="atLeast"/>
        <w:ind w:firstLine="640"/>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4.</w:t>
      </w:r>
      <w:r>
        <w:rPr>
          <w:rFonts w:hint="eastAsia" w:ascii="Times New Roman" w:hAnsi="Times New Roman" w:eastAsia="仿宋_GB2312"/>
          <w:color w:val="auto"/>
          <w:sz w:val="32"/>
          <w:szCs w:val="32"/>
        </w:rPr>
        <w:t>包装</w:t>
      </w:r>
    </w:p>
    <w:p>
      <w:pPr>
        <w:adjustRightInd w:val="0"/>
        <w:snapToGrid w:val="0"/>
        <w:spacing w:line="520" w:lineRule="atLeast"/>
        <w:ind w:firstLine="640"/>
        <w:rPr>
          <w:rFonts w:ascii="Times New Roman" w:hAnsi="Times New Roman" w:eastAsia="仿宋_GB2312"/>
          <w:color w:val="auto"/>
          <w:kern w:val="0"/>
          <w:sz w:val="32"/>
          <w:szCs w:val="32"/>
        </w:rPr>
      </w:pPr>
      <w:r>
        <w:rPr>
          <w:rFonts w:hint="eastAsia" w:ascii="Times New Roman" w:hAnsi="Times New Roman" w:eastAsia="仿宋_GB2312"/>
          <w:color w:val="auto"/>
          <w:sz w:val="32"/>
          <w:szCs w:val="32"/>
        </w:rPr>
        <w:t>概述产品包装信息及与该产品一起销售的配件包装信息，含配件清单</w:t>
      </w:r>
      <w:r>
        <w:rPr>
          <w:rFonts w:hint="eastAsia" w:ascii="Times New Roman" w:hAnsi="Times New Roman" w:eastAsia="仿宋_GB2312"/>
          <w:color w:val="auto"/>
          <w:kern w:val="0"/>
          <w:sz w:val="32"/>
          <w:szCs w:val="32"/>
        </w:rPr>
        <w:t>。</w:t>
      </w:r>
    </w:p>
    <w:p>
      <w:pPr>
        <w:numPr>
          <w:ilvl w:val="0"/>
          <w:numId w:val="0"/>
        </w:numPr>
        <w:spacing w:line="520" w:lineRule="atLeast"/>
        <w:ind w:firstLine="632"/>
        <w:rPr>
          <w:color w:val="auto"/>
        </w:rPr>
      </w:pPr>
      <w:r>
        <w:rPr>
          <w:rFonts w:hint="eastAsia" w:eastAsia="仿宋_GB2312"/>
          <w:color w:val="auto"/>
          <w:kern w:val="0"/>
          <w:sz w:val="32"/>
          <w:szCs w:val="32"/>
          <w:lang w:val="en-US" w:eastAsia="zh-CN"/>
        </w:rPr>
        <w:t>明确包装中是否包含配套芯片。</w:t>
      </w:r>
    </w:p>
    <w:p>
      <w:pPr>
        <w:spacing w:line="520" w:lineRule="atLeast"/>
        <w:ind w:right="-67" w:rightChars="-32" w:firstLine="640" w:firstLineChars="200"/>
        <w:rPr>
          <w:rFonts w:ascii="Times New Roman" w:hAnsi="Times New Roman" w:eastAsia="仿宋_GB2312" w:cs="Times New Roman"/>
          <w:color w:val="auto"/>
          <w:sz w:val="32"/>
          <w:szCs w:val="32"/>
        </w:rPr>
      </w:pPr>
      <w:r>
        <w:rPr>
          <w:rFonts w:hint="eastAsia" w:eastAsia="仿宋_GB2312" w:cs="Times New Roman"/>
          <w:color w:val="auto"/>
          <w:sz w:val="32"/>
          <w:szCs w:val="32"/>
          <w:lang w:val="en-US" w:eastAsia="zh-CN"/>
        </w:rPr>
        <w:t>5</w:t>
      </w:r>
      <w:r>
        <w:rPr>
          <w:rFonts w:ascii="Times New Roman" w:hAnsi="Times New Roman" w:eastAsia="仿宋_GB2312" w:cs="Times New Roman"/>
          <w:color w:val="auto"/>
          <w:sz w:val="32"/>
          <w:szCs w:val="32"/>
        </w:rPr>
        <w:t>.与申报产品联合使用的信息</w:t>
      </w:r>
    </w:p>
    <w:p>
      <w:pPr>
        <w:spacing w:line="520" w:lineRule="atLeast"/>
        <w:ind w:right="-67" w:rightChars="-32" w:firstLine="640" w:firstLineChars="200"/>
        <w:rPr>
          <w:rFonts w:hint="default"/>
          <w:color w:val="auto"/>
          <w:lang w:val="en-US" w:eastAsia="zh-CN"/>
        </w:rPr>
      </w:pPr>
      <w:r>
        <w:rPr>
          <w:rFonts w:ascii="Times New Roman" w:hAnsi="Times New Roman" w:eastAsia="仿宋_GB2312" w:cs="Times New Roman"/>
          <w:color w:val="auto"/>
          <w:sz w:val="32"/>
          <w:szCs w:val="32"/>
        </w:rPr>
        <w:t>申报产品一般与</w:t>
      </w:r>
      <w:r>
        <w:rPr>
          <w:rFonts w:hint="eastAsia" w:eastAsia="仿宋_GB2312" w:cs="Times New Roman"/>
          <w:color w:val="auto"/>
          <w:sz w:val="32"/>
          <w:szCs w:val="32"/>
          <w:lang w:val="en-US" w:eastAsia="zh-CN"/>
        </w:rPr>
        <w:t>核酸提取仪、数字PCR检测试剂联合使用。</w:t>
      </w:r>
      <w:r>
        <w:rPr>
          <w:rFonts w:ascii="Times New Roman" w:hAnsi="Times New Roman" w:eastAsia="仿宋_GB2312" w:cs="Times New Roman"/>
          <w:color w:val="auto"/>
          <w:sz w:val="32"/>
          <w:szCs w:val="32"/>
        </w:rPr>
        <w:t>申报产品</w:t>
      </w:r>
      <w:r>
        <w:rPr>
          <w:rFonts w:hint="eastAsia" w:eastAsia="仿宋_GB2312" w:cs="Times New Roman"/>
          <w:color w:val="auto"/>
          <w:sz w:val="32"/>
          <w:szCs w:val="32"/>
          <w:lang w:val="en-US" w:eastAsia="zh-CN"/>
        </w:rPr>
        <w:t>结构组成中不包含扩增仪时，</w:t>
      </w:r>
      <w:r>
        <w:rPr>
          <w:rFonts w:ascii="Times New Roman" w:hAnsi="Times New Roman" w:eastAsia="仿宋_GB2312" w:cs="Times New Roman"/>
          <w:color w:val="auto"/>
          <w:sz w:val="32"/>
          <w:szCs w:val="32"/>
        </w:rPr>
        <w:t>与</w:t>
      </w:r>
      <w:r>
        <w:rPr>
          <w:rFonts w:hint="eastAsia" w:eastAsia="仿宋_GB2312" w:cs="Times New Roman"/>
          <w:color w:val="auto"/>
          <w:sz w:val="32"/>
          <w:szCs w:val="32"/>
          <w:lang w:val="en-US" w:eastAsia="zh-CN"/>
        </w:rPr>
        <w:t>PCR扩增仪</w:t>
      </w:r>
      <w:r>
        <w:rPr>
          <w:rFonts w:ascii="Times New Roman" w:hAnsi="Times New Roman" w:eastAsia="仿宋_GB2312" w:cs="Times New Roman"/>
          <w:color w:val="auto"/>
          <w:sz w:val="32"/>
          <w:szCs w:val="32"/>
        </w:rPr>
        <w:t>联用</w:t>
      </w: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须明确配套PCR扩增仪的型号和上市信息</w:t>
      </w:r>
      <w:r>
        <w:rPr>
          <w:rFonts w:ascii="Times New Roman" w:hAnsi="Times New Roman" w:eastAsia="仿宋_GB2312" w:cs="Times New Roman"/>
          <w:color w:val="auto"/>
          <w:sz w:val="32"/>
          <w:szCs w:val="32"/>
        </w:rPr>
        <w:t>。</w:t>
      </w:r>
    </w:p>
    <w:p>
      <w:pPr>
        <w:spacing w:line="520" w:lineRule="atLeast"/>
        <w:ind w:right="-67" w:rightChars="-32" w:firstLine="640" w:firstLineChars="200"/>
        <w:rPr>
          <w:rFonts w:eastAsia="楷体_GB2312"/>
          <w:color w:val="auto"/>
          <w:sz w:val="32"/>
          <w:szCs w:val="32"/>
        </w:rPr>
      </w:pPr>
      <w:r>
        <w:rPr>
          <w:rFonts w:eastAsia="楷体_GB2312"/>
          <w:color w:val="auto"/>
          <w:sz w:val="32"/>
          <w:szCs w:val="32"/>
        </w:rPr>
        <w:t>（三）</w:t>
      </w:r>
      <w:r>
        <w:rPr>
          <w:rFonts w:hint="eastAsia" w:eastAsia="楷体_GB2312"/>
          <w:color w:val="auto"/>
          <w:sz w:val="32"/>
          <w:szCs w:val="32"/>
        </w:rPr>
        <w:t>非临床资料</w:t>
      </w:r>
    </w:p>
    <w:p>
      <w:pPr>
        <w:spacing w:line="520" w:lineRule="atLeast"/>
        <w:ind w:firstLine="640" w:firstLineChars="200"/>
        <w:rPr>
          <w:rFonts w:eastAsia="仿宋_GB2312"/>
          <w:color w:val="auto"/>
          <w:sz w:val="32"/>
          <w:szCs w:val="32"/>
          <w:highlight w:val="none"/>
        </w:rPr>
      </w:pPr>
      <w:r>
        <w:rPr>
          <w:rFonts w:eastAsia="仿宋_GB2312"/>
          <w:color w:val="auto"/>
          <w:sz w:val="32"/>
          <w:szCs w:val="32"/>
          <w:highlight w:val="none"/>
        </w:rPr>
        <w:t>1.产品风险管理资料</w:t>
      </w:r>
    </w:p>
    <w:p>
      <w:pPr>
        <w:spacing w:line="520" w:lineRule="atLeast"/>
        <w:ind w:firstLine="640" w:firstLineChars="200"/>
        <w:rPr>
          <w:rFonts w:eastAsia="仿宋_GB2312"/>
          <w:color w:val="auto"/>
          <w:kern w:val="0"/>
          <w:sz w:val="32"/>
          <w:szCs w:val="32"/>
          <w:highlight w:val="none"/>
        </w:rPr>
      </w:pPr>
      <w:r>
        <w:rPr>
          <w:rFonts w:eastAsia="仿宋_GB2312"/>
          <w:color w:val="auto"/>
          <w:kern w:val="0"/>
          <w:sz w:val="32"/>
          <w:szCs w:val="32"/>
          <w:highlight w:val="none"/>
        </w:rPr>
        <w:t>申请人可参考GB/T 42062及</w:t>
      </w:r>
      <w:bookmarkStart w:id="0" w:name="OLE_LINK1"/>
      <w:bookmarkStart w:id="1" w:name="OLE_LINK2"/>
      <w:r>
        <w:rPr>
          <w:rFonts w:eastAsia="仿宋_GB2312"/>
          <w:color w:val="auto"/>
          <w:kern w:val="0"/>
          <w:sz w:val="32"/>
          <w:szCs w:val="32"/>
          <w:highlight w:val="none"/>
        </w:rPr>
        <w:t>YY/T 1437</w:t>
      </w:r>
      <w:bookmarkEnd w:id="0"/>
      <w:bookmarkEnd w:id="1"/>
      <w:r>
        <w:rPr>
          <w:rFonts w:eastAsia="仿宋_GB2312"/>
          <w:color w:val="auto"/>
          <w:kern w:val="0"/>
          <w:sz w:val="32"/>
          <w:szCs w:val="32"/>
          <w:highlight w:val="none"/>
        </w:rPr>
        <w:t>标准对产品进行全生命周期风险管理，提交风险管理资料。</w:t>
      </w:r>
      <w:r>
        <w:rPr>
          <w:rFonts w:hint="eastAsia" w:eastAsia="仿宋_GB2312"/>
          <w:color w:val="auto"/>
          <w:kern w:val="0"/>
          <w:sz w:val="32"/>
          <w:szCs w:val="32"/>
          <w:highlight w:val="none"/>
        </w:rPr>
        <w:t>申请人应</w:t>
      </w:r>
      <w:r>
        <w:rPr>
          <w:rFonts w:eastAsia="仿宋_GB2312"/>
          <w:color w:val="auto"/>
          <w:kern w:val="0"/>
          <w:sz w:val="32"/>
          <w:szCs w:val="32"/>
          <w:highlight w:val="none"/>
        </w:rPr>
        <w:t>结合</w:t>
      </w:r>
      <w:r>
        <w:rPr>
          <w:rFonts w:hint="eastAsia" w:eastAsia="仿宋_GB2312"/>
          <w:color w:val="auto"/>
          <w:kern w:val="0"/>
          <w:sz w:val="32"/>
          <w:szCs w:val="32"/>
          <w:highlight w:val="none"/>
        </w:rPr>
        <w:t>申报</w:t>
      </w:r>
      <w:r>
        <w:rPr>
          <w:rFonts w:eastAsia="仿宋_GB2312"/>
          <w:color w:val="auto"/>
          <w:kern w:val="0"/>
          <w:sz w:val="32"/>
          <w:szCs w:val="32"/>
          <w:highlight w:val="none"/>
        </w:rPr>
        <w:t>产品</w:t>
      </w:r>
      <w:r>
        <w:rPr>
          <w:rFonts w:hint="eastAsia" w:eastAsia="仿宋_GB2312"/>
          <w:color w:val="auto"/>
          <w:kern w:val="0"/>
          <w:sz w:val="32"/>
          <w:szCs w:val="32"/>
          <w:highlight w:val="none"/>
        </w:rPr>
        <w:t>的</w:t>
      </w:r>
      <w:r>
        <w:rPr>
          <w:rFonts w:eastAsia="仿宋_GB2312"/>
          <w:color w:val="auto"/>
          <w:kern w:val="0"/>
          <w:sz w:val="32"/>
          <w:szCs w:val="32"/>
          <w:highlight w:val="none"/>
        </w:rPr>
        <w:t>设计特点、临床用途及使用场景，充分识别与安全有关的特征，进行风险分析、评价及控制。应确保各风险的可追溯性，提供各风险及综合剩余风险的可接受准则，确认各风险及综合剩余风险可接受。</w:t>
      </w:r>
    </w:p>
    <w:p>
      <w:pPr>
        <w:spacing w:line="520" w:lineRule="atLeast"/>
        <w:ind w:firstLine="640" w:firstLineChars="200"/>
        <w:rPr>
          <w:rFonts w:eastAsia="仿宋_GB2312"/>
          <w:color w:val="auto"/>
          <w:kern w:val="0"/>
          <w:sz w:val="32"/>
          <w:szCs w:val="32"/>
          <w:highlight w:val="none"/>
        </w:rPr>
      </w:pPr>
      <w:r>
        <w:rPr>
          <w:rFonts w:hint="eastAsia" w:eastAsia="仿宋_GB2312"/>
          <w:color w:val="auto"/>
          <w:kern w:val="0"/>
          <w:sz w:val="32"/>
          <w:szCs w:val="32"/>
          <w:highlight w:val="none"/>
        </w:rPr>
        <w:t>数字P</w:t>
      </w:r>
      <w:r>
        <w:rPr>
          <w:rFonts w:eastAsia="仿宋_GB2312"/>
          <w:color w:val="auto"/>
          <w:kern w:val="0"/>
          <w:sz w:val="32"/>
          <w:szCs w:val="32"/>
          <w:highlight w:val="none"/>
        </w:rPr>
        <w:t>CR</w:t>
      </w:r>
      <w:r>
        <w:rPr>
          <w:rFonts w:hint="eastAsia" w:eastAsia="仿宋_GB2312"/>
          <w:color w:val="auto"/>
          <w:kern w:val="0"/>
          <w:sz w:val="32"/>
          <w:szCs w:val="32"/>
          <w:highlight w:val="none"/>
        </w:rPr>
        <w:t>分析</w:t>
      </w:r>
      <w:r>
        <w:rPr>
          <w:rFonts w:hint="eastAsia" w:eastAsia="仿宋_GB2312"/>
          <w:color w:val="auto"/>
          <w:kern w:val="0"/>
          <w:sz w:val="32"/>
          <w:szCs w:val="32"/>
          <w:highlight w:val="none"/>
          <w:lang w:val="en-US" w:eastAsia="zh-CN"/>
        </w:rPr>
        <w:t>仪</w:t>
      </w:r>
      <w:r>
        <w:rPr>
          <w:rFonts w:eastAsia="仿宋_GB2312"/>
          <w:color w:val="auto"/>
          <w:kern w:val="0"/>
          <w:sz w:val="32"/>
          <w:szCs w:val="32"/>
          <w:highlight w:val="none"/>
        </w:rPr>
        <w:t>可能存在的危险大致可包括</w:t>
      </w:r>
      <w:r>
        <w:rPr>
          <w:rFonts w:hint="eastAsia" w:eastAsia="仿宋_GB2312"/>
          <w:color w:val="auto"/>
          <w:kern w:val="0"/>
          <w:sz w:val="32"/>
          <w:szCs w:val="32"/>
          <w:highlight w:val="none"/>
        </w:rPr>
        <w:t>六</w:t>
      </w:r>
      <w:r>
        <w:rPr>
          <w:rFonts w:eastAsia="仿宋_GB2312"/>
          <w:color w:val="auto"/>
          <w:kern w:val="0"/>
          <w:sz w:val="32"/>
          <w:szCs w:val="32"/>
          <w:highlight w:val="none"/>
        </w:rPr>
        <w:t>个方面，即：能量危险、生物学和化学危险、操作危险、信息危险、软件危险</w:t>
      </w:r>
      <w:r>
        <w:rPr>
          <w:rFonts w:hint="eastAsia" w:eastAsia="仿宋_GB2312"/>
          <w:color w:val="auto"/>
          <w:kern w:val="0"/>
          <w:sz w:val="32"/>
          <w:szCs w:val="32"/>
          <w:highlight w:val="none"/>
        </w:rPr>
        <w:t>、性能相关的危险</w:t>
      </w:r>
      <w:r>
        <w:rPr>
          <w:rFonts w:eastAsia="仿宋_GB2312"/>
          <w:color w:val="auto"/>
          <w:kern w:val="0"/>
          <w:sz w:val="32"/>
          <w:szCs w:val="32"/>
          <w:highlight w:val="none"/>
        </w:rPr>
        <w:t>。</w:t>
      </w:r>
    </w:p>
    <w:p>
      <w:pPr>
        <w:spacing w:line="520" w:lineRule="atLeast"/>
        <w:ind w:right="-67" w:rightChars="-32" w:firstLine="640" w:firstLineChars="200"/>
        <w:rPr>
          <w:rFonts w:ascii="Times New Roman" w:hAnsi="Times New Roman" w:eastAsia="仿宋_GB2312" w:cs="Times New Roman"/>
          <w:color w:val="auto"/>
          <w:sz w:val="32"/>
          <w:szCs w:val="32"/>
        </w:rPr>
      </w:pPr>
      <w:r>
        <w:rPr>
          <w:rFonts w:hint="eastAsia" w:eastAsia="仿宋_GB2312"/>
          <w:color w:val="auto"/>
          <w:kern w:val="0"/>
          <w:sz w:val="32"/>
          <w:szCs w:val="32"/>
          <w:highlight w:val="none"/>
        </w:rPr>
        <w:t>数字P</w:t>
      </w:r>
      <w:r>
        <w:rPr>
          <w:rFonts w:eastAsia="仿宋_GB2312"/>
          <w:color w:val="auto"/>
          <w:kern w:val="0"/>
          <w:sz w:val="32"/>
          <w:szCs w:val="32"/>
          <w:highlight w:val="none"/>
        </w:rPr>
        <w:t>CR</w:t>
      </w:r>
      <w:r>
        <w:rPr>
          <w:rFonts w:hint="eastAsia" w:eastAsia="仿宋_GB2312"/>
          <w:color w:val="auto"/>
          <w:kern w:val="0"/>
          <w:sz w:val="32"/>
          <w:szCs w:val="32"/>
          <w:highlight w:val="none"/>
        </w:rPr>
        <w:t>分析</w:t>
      </w:r>
      <w:r>
        <w:rPr>
          <w:rFonts w:hint="eastAsia" w:eastAsia="仿宋_GB2312"/>
          <w:color w:val="auto"/>
          <w:kern w:val="0"/>
          <w:sz w:val="32"/>
          <w:szCs w:val="32"/>
          <w:highlight w:val="none"/>
          <w:lang w:val="en-US" w:eastAsia="zh-CN"/>
        </w:rPr>
        <w:t>仪</w:t>
      </w:r>
      <w:r>
        <w:rPr>
          <w:rFonts w:ascii="Times New Roman" w:hAnsi="Times New Roman" w:eastAsia="仿宋_GB2312" w:cs="Times New Roman"/>
          <w:color w:val="auto"/>
          <w:sz w:val="32"/>
          <w:szCs w:val="32"/>
        </w:rPr>
        <w:t>常见的危险示例见下表：</w:t>
      </w:r>
    </w:p>
    <w:p>
      <w:pPr>
        <w:spacing w:line="520" w:lineRule="atLeast"/>
        <w:ind w:firstLine="640" w:firstLineChars="200"/>
        <w:rPr>
          <w:rFonts w:eastAsia="仿宋_GB2312"/>
          <w:color w:val="auto"/>
          <w:kern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20" w:lineRule="atLeast"/>
        <w:jc w:val="center"/>
        <w:textAlignment w:val="auto"/>
        <w:rPr>
          <w:rFonts w:hint="default" w:ascii="Times New Roman" w:hAnsi="Times New Roman" w:eastAsia="黑体" w:cs="Times New Roman"/>
          <w:color w:val="auto"/>
          <w:kern w:val="2"/>
          <w:sz w:val="28"/>
          <w:szCs w:val="28"/>
          <w:lang w:val="en-US" w:eastAsia="zh-CN" w:bidi="ar-SA"/>
        </w:rPr>
      </w:pPr>
      <w:r>
        <w:rPr>
          <w:rFonts w:hint="eastAsia" w:ascii="Times New Roman" w:hAnsi="Times New Roman" w:eastAsia="黑体" w:cs="Times New Roman"/>
          <w:color w:val="auto"/>
          <w:kern w:val="2"/>
          <w:sz w:val="28"/>
          <w:szCs w:val="28"/>
          <w:lang w:val="en-US" w:eastAsia="zh-CN" w:bidi="ar-SA"/>
        </w:rPr>
        <w:t>表1 数字PCR分析</w:t>
      </w:r>
      <w:r>
        <w:rPr>
          <w:rFonts w:hint="eastAsia" w:eastAsia="仿宋_GB2312"/>
          <w:color w:val="auto"/>
          <w:kern w:val="0"/>
          <w:sz w:val="32"/>
          <w:szCs w:val="32"/>
          <w:highlight w:val="none"/>
          <w:lang w:val="en-US" w:eastAsia="zh-CN"/>
        </w:rPr>
        <w:t>仪</w:t>
      </w:r>
      <w:r>
        <w:rPr>
          <w:rFonts w:hint="eastAsia" w:ascii="Times New Roman" w:hAnsi="Times New Roman" w:eastAsia="黑体" w:cs="Times New Roman"/>
          <w:color w:val="auto"/>
          <w:kern w:val="2"/>
          <w:sz w:val="28"/>
          <w:szCs w:val="28"/>
          <w:lang w:val="en-US" w:eastAsia="zh-CN" w:bidi="ar-SA"/>
        </w:rPr>
        <w:t>常见</w:t>
      </w:r>
      <w:r>
        <w:rPr>
          <w:rFonts w:hint="eastAsia" w:eastAsia="黑体" w:cs="Times New Roman"/>
          <w:color w:val="auto"/>
          <w:kern w:val="2"/>
          <w:sz w:val="28"/>
          <w:szCs w:val="28"/>
          <w:lang w:val="en-US" w:eastAsia="zh-CN" w:bidi="ar-SA"/>
        </w:rPr>
        <w:t>的</w:t>
      </w:r>
      <w:r>
        <w:rPr>
          <w:rFonts w:hint="eastAsia" w:ascii="Times New Roman" w:hAnsi="Times New Roman" w:eastAsia="黑体" w:cs="Times New Roman"/>
          <w:color w:val="auto"/>
          <w:kern w:val="2"/>
          <w:sz w:val="28"/>
          <w:szCs w:val="28"/>
          <w:lang w:val="en-US" w:eastAsia="zh-CN" w:bidi="ar-SA"/>
        </w:rPr>
        <w:t>危险</w:t>
      </w:r>
      <w:r>
        <w:rPr>
          <w:rFonts w:hint="eastAsia" w:eastAsia="黑体" w:cs="Times New Roman"/>
          <w:color w:val="auto"/>
          <w:kern w:val="2"/>
          <w:sz w:val="28"/>
          <w:szCs w:val="28"/>
          <w:lang w:val="en-US" w:eastAsia="zh-CN" w:bidi="ar-SA"/>
        </w:rPr>
        <w:t>示例</w:t>
      </w:r>
    </w:p>
    <w:tbl>
      <w:tblPr>
        <w:tblStyle w:val="11"/>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536"/>
        <w:gridCol w:w="1858"/>
        <w:gridCol w:w="54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0" w:hRule="atLeast"/>
        </w:trPr>
        <w:tc>
          <w:tcPr>
            <w:tcW w:w="1693" w:type="dxa"/>
            <w:vAlign w:val="center"/>
          </w:tcPr>
          <w:p>
            <w:pPr>
              <w:keepNext w:val="0"/>
              <w:keepLines w:val="0"/>
              <w:pageBreakBefore w:val="0"/>
              <w:widowControl w:val="0"/>
              <w:kinsoku/>
              <w:wordWrap/>
              <w:overflowPunct/>
              <w:topLinePunct w:val="0"/>
              <w:autoSpaceDE/>
              <w:autoSpaceDN/>
              <w:bidi w:val="0"/>
              <w:adjustRightInd w:val="0"/>
              <w:snapToGrid w:val="0"/>
              <w:spacing w:line="520" w:lineRule="atLeast"/>
              <w:ind w:firstLine="0" w:firstLineChars="0"/>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危险分类</w:t>
            </w:r>
          </w:p>
        </w:tc>
        <w:tc>
          <w:tcPr>
            <w:tcW w:w="1985" w:type="dxa"/>
            <w:vAlign w:val="center"/>
          </w:tcPr>
          <w:p>
            <w:pPr>
              <w:keepNext w:val="0"/>
              <w:keepLines w:val="0"/>
              <w:pageBreakBefore w:val="0"/>
              <w:widowControl w:val="0"/>
              <w:kinsoku/>
              <w:wordWrap/>
              <w:overflowPunct/>
              <w:topLinePunct w:val="0"/>
              <w:autoSpaceDE/>
              <w:autoSpaceDN/>
              <w:bidi w:val="0"/>
              <w:adjustRightInd w:val="0"/>
              <w:snapToGrid w:val="0"/>
              <w:spacing w:line="520" w:lineRule="atLeast"/>
              <w:ind w:firstLine="0" w:firstLineChars="0"/>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危险原因分类</w:t>
            </w:r>
          </w:p>
        </w:tc>
        <w:tc>
          <w:tcPr>
            <w:tcW w:w="6041" w:type="dxa"/>
            <w:vAlign w:val="center"/>
          </w:tcPr>
          <w:p>
            <w:pPr>
              <w:keepNext w:val="0"/>
              <w:keepLines w:val="0"/>
              <w:pageBreakBefore w:val="0"/>
              <w:widowControl w:val="0"/>
              <w:kinsoku/>
              <w:wordWrap/>
              <w:overflowPunct/>
              <w:topLinePunct w:val="0"/>
              <w:autoSpaceDE/>
              <w:autoSpaceDN/>
              <w:bidi w:val="0"/>
              <w:adjustRightInd w:val="0"/>
              <w:snapToGrid w:val="0"/>
              <w:spacing w:line="520" w:lineRule="atLeast"/>
              <w:ind w:firstLine="560"/>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危险示例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restart"/>
            <w:vAlign w:val="center"/>
          </w:tcPr>
          <w:p>
            <w:pPr>
              <w:snapToGrid w:val="0"/>
              <w:spacing w:line="520" w:lineRule="atLeast"/>
              <w:ind w:firstLine="0" w:firstLineChars="0"/>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能量危险</w:t>
            </w:r>
          </w:p>
        </w:tc>
        <w:tc>
          <w:tcPr>
            <w:tcW w:w="1985" w:type="dxa"/>
            <w:vMerge w:val="restart"/>
            <w:vAlign w:val="center"/>
          </w:tcPr>
          <w:p>
            <w:pPr>
              <w:snapToGrid w:val="0"/>
              <w:spacing w:line="520" w:lineRule="atLeast"/>
              <w:ind w:firstLine="0" w:firstLineChars="0"/>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电气危险</w:t>
            </w:r>
          </w:p>
        </w:tc>
        <w:tc>
          <w:tcPr>
            <w:tcW w:w="6041" w:type="dxa"/>
          </w:tcPr>
          <w:p>
            <w:pPr>
              <w:snapToGrid w:val="0"/>
              <w:spacing w:line="520" w:lineRule="atLeast"/>
              <w:ind w:firstLine="56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产品异常或经未经培训人员拆卸设备，导致产生漏电流对操作者造成电击损伤的危险。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pPr>
              <w:snapToGrid w:val="0"/>
              <w:spacing w:line="520" w:lineRule="atLeast"/>
              <w:ind w:firstLine="560"/>
              <w:rPr>
                <w:rFonts w:hint="eastAsia" w:ascii="仿宋_GB2312" w:hAnsi="仿宋_GB2312" w:eastAsia="仿宋_GB2312" w:cs="仿宋_GB2312"/>
                <w:color w:val="auto"/>
                <w:kern w:val="0"/>
                <w:sz w:val="28"/>
                <w:szCs w:val="28"/>
                <w:highlight w:val="none"/>
              </w:rPr>
            </w:pPr>
          </w:p>
        </w:tc>
        <w:tc>
          <w:tcPr>
            <w:tcW w:w="1985" w:type="dxa"/>
            <w:vMerge w:val="continue"/>
          </w:tcPr>
          <w:p>
            <w:pPr>
              <w:snapToGrid w:val="0"/>
              <w:spacing w:line="520" w:lineRule="atLeast"/>
              <w:ind w:firstLine="560"/>
              <w:rPr>
                <w:rFonts w:hint="eastAsia" w:ascii="仿宋_GB2312" w:hAnsi="仿宋_GB2312" w:eastAsia="仿宋_GB2312" w:cs="仿宋_GB2312"/>
                <w:color w:val="auto"/>
                <w:kern w:val="0"/>
                <w:sz w:val="28"/>
                <w:szCs w:val="28"/>
                <w:highlight w:val="none"/>
              </w:rPr>
            </w:pPr>
          </w:p>
        </w:tc>
        <w:tc>
          <w:tcPr>
            <w:tcW w:w="6041" w:type="dxa"/>
          </w:tcPr>
          <w:p>
            <w:pPr>
              <w:snapToGrid w:val="0"/>
              <w:spacing w:line="520" w:lineRule="atLeast"/>
              <w:ind w:firstLine="56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清洁和消毒过程中，对电气部件造成损坏的危险。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pPr>
              <w:snapToGrid w:val="0"/>
              <w:spacing w:line="520" w:lineRule="atLeast"/>
              <w:ind w:firstLine="560"/>
              <w:rPr>
                <w:rFonts w:hint="eastAsia" w:ascii="仿宋_GB2312" w:hAnsi="仿宋_GB2312" w:eastAsia="仿宋_GB2312" w:cs="仿宋_GB2312"/>
                <w:color w:val="auto"/>
                <w:kern w:val="0"/>
                <w:sz w:val="28"/>
                <w:szCs w:val="28"/>
                <w:highlight w:val="none"/>
              </w:rPr>
            </w:pPr>
          </w:p>
        </w:tc>
        <w:tc>
          <w:tcPr>
            <w:tcW w:w="1985" w:type="dxa"/>
            <w:vMerge w:val="restart"/>
            <w:vAlign w:val="center"/>
          </w:tcPr>
          <w:p>
            <w:pPr>
              <w:snapToGrid w:val="0"/>
              <w:spacing w:line="520" w:lineRule="atLeast"/>
              <w:ind w:firstLine="0" w:firstLineChars="0"/>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电场或磁场危险</w:t>
            </w:r>
          </w:p>
        </w:tc>
        <w:tc>
          <w:tcPr>
            <w:tcW w:w="6041" w:type="dxa"/>
          </w:tcPr>
          <w:p>
            <w:pPr>
              <w:snapToGrid w:val="0"/>
              <w:spacing w:line="520" w:lineRule="atLeast"/>
              <w:ind w:firstLine="56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在强电磁辐射源周围使用，可能对申报产品产生电磁干扰的危险。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pPr>
              <w:snapToGrid w:val="0"/>
              <w:spacing w:line="520" w:lineRule="atLeast"/>
              <w:ind w:firstLine="560"/>
              <w:rPr>
                <w:rFonts w:hint="eastAsia" w:ascii="仿宋_GB2312" w:hAnsi="仿宋_GB2312" w:eastAsia="仿宋_GB2312" w:cs="仿宋_GB2312"/>
                <w:color w:val="auto"/>
                <w:kern w:val="0"/>
                <w:sz w:val="28"/>
                <w:szCs w:val="28"/>
                <w:highlight w:val="none"/>
              </w:rPr>
            </w:pPr>
          </w:p>
        </w:tc>
        <w:tc>
          <w:tcPr>
            <w:tcW w:w="1985" w:type="dxa"/>
            <w:vMerge w:val="continue"/>
          </w:tcPr>
          <w:p>
            <w:pPr>
              <w:snapToGrid w:val="0"/>
              <w:spacing w:line="520" w:lineRule="atLeast"/>
              <w:ind w:firstLine="560"/>
              <w:rPr>
                <w:rFonts w:hint="eastAsia" w:ascii="仿宋_GB2312" w:hAnsi="仿宋_GB2312" w:eastAsia="仿宋_GB2312" w:cs="仿宋_GB2312"/>
                <w:color w:val="auto"/>
                <w:kern w:val="0"/>
                <w:sz w:val="28"/>
                <w:szCs w:val="28"/>
                <w:highlight w:val="none"/>
              </w:rPr>
            </w:pPr>
          </w:p>
        </w:tc>
        <w:tc>
          <w:tcPr>
            <w:tcW w:w="6041" w:type="dxa"/>
          </w:tcPr>
          <w:p>
            <w:pPr>
              <w:snapToGrid w:val="0"/>
              <w:spacing w:line="520" w:lineRule="atLeast"/>
              <w:ind w:firstLine="56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静电放电可能对申报产品产生干扰的危险。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pPr>
              <w:snapToGrid w:val="0"/>
              <w:spacing w:line="520" w:lineRule="atLeast"/>
              <w:ind w:firstLine="560"/>
              <w:rPr>
                <w:rFonts w:hint="eastAsia" w:ascii="仿宋_GB2312" w:hAnsi="仿宋_GB2312" w:eastAsia="仿宋_GB2312" w:cs="仿宋_GB2312"/>
                <w:color w:val="auto"/>
                <w:kern w:val="0"/>
                <w:sz w:val="28"/>
                <w:szCs w:val="28"/>
                <w:highlight w:val="none"/>
              </w:rPr>
            </w:pPr>
          </w:p>
        </w:tc>
        <w:tc>
          <w:tcPr>
            <w:tcW w:w="1985" w:type="dxa"/>
            <w:vMerge w:val="continue"/>
          </w:tcPr>
          <w:p>
            <w:pPr>
              <w:snapToGrid w:val="0"/>
              <w:spacing w:line="520" w:lineRule="atLeast"/>
              <w:ind w:firstLine="560"/>
              <w:rPr>
                <w:rFonts w:hint="eastAsia" w:ascii="仿宋_GB2312" w:hAnsi="仿宋_GB2312" w:eastAsia="仿宋_GB2312" w:cs="仿宋_GB2312"/>
                <w:color w:val="auto"/>
                <w:kern w:val="0"/>
                <w:sz w:val="28"/>
                <w:szCs w:val="28"/>
                <w:highlight w:val="none"/>
              </w:rPr>
            </w:pPr>
          </w:p>
        </w:tc>
        <w:tc>
          <w:tcPr>
            <w:tcW w:w="6041" w:type="dxa"/>
          </w:tcPr>
          <w:p>
            <w:pPr>
              <w:snapToGrid w:val="0"/>
              <w:spacing w:line="520" w:lineRule="atLeast"/>
              <w:ind w:firstLine="56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申报产品正常工作中产生的电磁场对可能共同使用的其他设备的影响等引发的危险。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pPr>
              <w:snapToGrid w:val="0"/>
              <w:spacing w:line="520" w:lineRule="atLeast"/>
              <w:ind w:firstLine="560"/>
              <w:rPr>
                <w:rFonts w:hint="eastAsia" w:ascii="仿宋_GB2312" w:hAnsi="仿宋_GB2312" w:eastAsia="仿宋_GB2312" w:cs="仿宋_GB2312"/>
                <w:color w:val="auto"/>
                <w:kern w:val="0"/>
                <w:sz w:val="28"/>
                <w:szCs w:val="28"/>
                <w:highlight w:val="none"/>
              </w:rPr>
            </w:pPr>
          </w:p>
        </w:tc>
        <w:tc>
          <w:tcPr>
            <w:tcW w:w="1985" w:type="dxa"/>
            <w:vAlign w:val="center"/>
          </w:tcPr>
          <w:p>
            <w:pPr>
              <w:snapToGrid w:val="0"/>
              <w:spacing w:line="520" w:lineRule="atLeast"/>
              <w:ind w:firstLine="0" w:firstLineChars="0"/>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热能危险</w:t>
            </w:r>
          </w:p>
        </w:tc>
        <w:tc>
          <w:tcPr>
            <w:tcW w:w="6041" w:type="dxa"/>
          </w:tcPr>
          <w:p>
            <w:pPr>
              <w:snapToGrid w:val="0"/>
              <w:spacing w:line="520" w:lineRule="atLeast"/>
              <w:ind w:firstLine="56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工作过程中会产生热能，如果电路老化、使用时间过长、防护不当等，使热能聚集，可能对操作者造成热能伤害。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pPr>
              <w:snapToGrid w:val="0"/>
              <w:spacing w:line="520" w:lineRule="atLeast"/>
              <w:ind w:firstLine="560"/>
              <w:rPr>
                <w:rFonts w:hint="eastAsia" w:ascii="仿宋_GB2312" w:hAnsi="仿宋_GB2312" w:eastAsia="仿宋_GB2312" w:cs="仿宋_GB2312"/>
                <w:color w:val="auto"/>
                <w:kern w:val="0"/>
                <w:sz w:val="28"/>
                <w:szCs w:val="28"/>
                <w:highlight w:val="none"/>
              </w:rPr>
            </w:pPr>
          </w:p>
        </w:tc>
        <w:tc>
          <w:tcPr>
            <w:tcW w:w="1985" w:type="dxa"/>
            <w:vMerge w:val="restart"/>
            <w:vAlign w:val="center"/>
          </w:tcPr>
          <w:p>
            <w:pPr>
              <w:snapToGrid w:val="0"/>
              <w:spacing w:line="520" w:lineRule="atLeast"/>
              <w:ind w:firstLine="198" w:firstLineChars="71"/>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机械危险</w:t>
            </w:r>
          </w:p>
        </w:tc>
        <w:tc>
          <w:tcPr>
            <w:tcW w:w="6041" w:type="dxa"/>
          </w:tcPr>
          <w:p>
            <w:pPr>
              <w:snapToGrid w:val="0"/>
              <w:spacing w:line="520" w:lineRule="atLeast"/>
              <w:ind w:firstLine="56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坠落、碰撞等导致机械部件松动，使仪器不能正常运行、检测结果错误、误差过大或显示异常等的危险。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pPr>
              <w:snapToGrid w:val="0"/>
              <w:spacing w:line="520" w:lineRule="atLeast"/>
              <w:ind w:firstLine="560"/>
              <w:rPr>
                <w:rFonts w:hint="eastAsia" w:ascii="仿宋_GB2312" w:hAnsi="仿宋_GB2312" w:eastAsia="仿宋_GB2312" w:cs="仿宋_GB2312"/>
                <w:color w:val="auto"/>
                <w:kern w:val="0"/>
                <w:sz w:val="28"/>
                <w:szCs w:val="28"/>
                <w:highlight w:val="none"/>
              </w:rPr>
            </w:pPr>
          </w:p>
        </w:tc>
        <w:tc>
          <w:tcPr>
            <w:tcW w:w="1985" w:type="dxa"/>
            <w:vMerge w:val="continue"/>
            <w:vAlign w:val="center"/>
          </w:tcPr>
          <w:p>
            <w:pPr>
              <w:snapToGrid w:val="0"/>
              <w:spacing w:line="520" w:lineRule="atLeast"/>
              <w:ind w:firstLine="560"/>
              <w:rPr>
                <w:rFonts w:hint="eastAsia" w:ascii="仿宋_GB2312" w:hAnsi="仿宋_GB2312" w:eastAsia="仿宋_GB2312" w:cs="仿宋_GB2312"/>
                <w:color w:val="auto"/>
                <w:kern w:val="0"/>
                <w:sz w:val="28"/>
                <w:szCs w:val="28"/>
                <w:highlight w:val="none"/>
              </w:rPr>
            </w:pPr>
          </w:p>
        </w:tc>
        <w:tc>
          <w:tcPr>
            <w:tcW w:w="6041" w:type="dxa"/>
          </w:tcPr>
          <w:p>
            <w:pPr>
              <w:snapToGrid w:val="0"/>
              <w:spacing w:line="520" w:lineRule="atLeast"/>
              <w:ind w:firstLine="56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运行过程中机械部件振动过大，导致仪器误差过大或显示异常的危险。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pPr>
              <w:snapToGrid w:val="0"/>
              <w:spacing w:line="520" w:lineRule="atLeast"/>
              <w:ind w:firstLine="560"/>
              <w:rPr>
                <w:rFonts w:hint="eastAsia" w:ascii="仿宋_GB2312" w:hAnsi="仿宋_GB2312" w:eastAsia="仿宋_GB2312" w:cs="仿宋_GB2312"/>
                <w:color w:val="auto"/>
                <w:kern w:val="0"/>
                <w:sz w:val="28"/>
                <w:szCs w:val="28"/>
                <w:highlight w:val="none"/>
              </w:rPr>
            </w:pPr>
          </w:p>
        </w:tc>
        <w:tc>
          <w:tcPr>
            <w:tcW w:w="1985" w:type="dxa"/>
            <w:vMerge w:val="continue"/>
            <w:vAlign w:val="center"/>
          </w:tcPr>
          <w:p>
            <w:pPr>
              <w:snapToGrid w:val="0"/>
              <w:spacing w:line="520" w:lineRule="atLeast"/>
              <w:ind w:firstLine="560"/>
              <w:rPr>
                <w:rFonts w:hint="eastAsia" w:ascii="仿宋_GB2312" w:hAnsi="仿宋_GB2312" w:eastAsia="仿宋_GB2312" w:cs="仿宋_GB2312"/>
                <w:color w:val="auto"/>
                <w:kern w:val="0"/>
                <w:sz w:val="28"/>
                <w:szCs w:val="28"/>
                <w:highlight w:val="none"/>
              </w:rPr>
            </w:pPr>
          </w:p>
        </w:tc>
        <w:tc>
          <w:tcPr>
            <w:tcW w:w="6041" w:type="dxa"/>
          </w:tcPr>
          <w:p>
            <w:pPr>
              <w:snapToGrid w:val="0"/>
              <w:spacing w:line="520" w:lineRule="atLeast"/>
              <w:ind w:firstLine="56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部件运动过程中触碰导致机械部件复位故障，测量位置不准，结果异常的危险。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restart"/>
            <w:vAlign w:val="center"/>
          </w:tcPr>
          <w:p>
            <w:pPr>
              <w:snapToGrid w:val="0"/>
              <w:spacing w:line="520" w:lineRule="atLeast"/>
              <w:ind w:firstLine="0" w:firstLineChars="0"/>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生物和化学危险</w:t>
            </w:r>
          </w:p>
        </w:tc>
        <w:tc>
          <w:tcPr>
            <w:tcW w:w="1985" w:type="dxa"/>
            <w:vMerge w:val="restart"/>
            <w:vAlign w:val="center"/>
          </w:tcPr>
          <w:p>
            <w:pPr>
              <w:snapToGrid w:val="0"/>
              <w:spacing w:line="520" w:lineRule="atLeast"/>
              <w:ind w:firstLine="0" w:firstLineChars="0"/>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毒性物质和化学物质</w:t>
            </w:r>
          </w:p>
        </w:tc>
        <w:tc>
          <w:tcPr>
            <w:tcW w:w="6041" w:type="dxa"/>
          </w:tcPr>
          <w:p>
            <w:pPr>
              <w:snapToGrid w:val="0"/>
              <w:spacing w:line="520" w:lineRule="atLeast"/>
              <w:ind w:firstLine="56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漏液或检测完成后的剩余样本、试剂、废液或废弃物等处理不当引起的环境污染或交叉污染。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pPr>
              <w:snapToGrid w:val="0"/>
              <w:spacing w:line="520" w:lineRule="atLeast"/>
              <w:ind w:firstLine="560"/>
              <w:rPr>
                <w:rFonts w:hint="eastAsia" w:ascii="仿宋_GB2312" w:hAnsi="仿宋_GB2312" w:eastAsia="仿宋_GB2312" w:cs="仿宋_GB2312"/>
                <w:color w:val="auto"/>
                <w:kern w:val="0"/>
                <w:sz w:val="28"/>
                <w:szCs w:val="28"/>
                <w:highlight w:val="none"/>
              </w:rPr>
            </w:pPr>
          </w:p>
        </w:tc>
        <w:tc>
          <w:tcPr>
            <w:tcW w:w="1985" w:type="dxa"/>
            <w:vMerge w:val="continue"/>
            <w:vAlign w:val="center"/>
          </w:tcPr>
          <w:p>
            <w:pPr>
              <w:snapToGrid w:val="0"/>
              <w:spacing w:line="520" w:lineRule="atLeast"/>
              <w:ind w:firstLine="560"/>
              <w:rPr>
                <w:rFonts w:hint="eastAsia" w:ascii="仿宋_GB2312" w:hAnsi="仿宋_GB2312" w:eastAsia="仿宋_GB2312" w:cs="仿宋_GB2312"/>
                <w:color w:val="auto"/>
                <w:kern w:val="0"/>
                <w:sz w:val="28"/>
                <w:szCs w:val="28"/>
                <w:highlight w:val="none"/>
              </w:rPr>
            </w:pPr>
          </w:p>
        </w:tc>
        <w:tc>
          <w:tcPr>
            <w:tcW w:w="6041" w:type="dxa"/>
          </w:tcPr>
          <w:p>
            <w:pPr>
              <w:snapToGrid w:val="0"/>
              <w:spacing w:line="520" w:lineRule="atLeast"/>
              <w:ind w:firstLine="56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直接接触试剂、样本残留物或其他工作溶液可能导致皮肤刺激或过敏反应。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pPr>
              <w:snapToGrid w:val="0"/>
              <w:spacing w:line="520" w:lineRule="atLeast"/>
              <w:ind w:firstLine="560"/>
              <w:rPr>
                <w:rFonts w:hint="eastAsia" w:ascii="仿宋_GB2312" w:hAnsi="仿宋_GB2312" w:eastAsia="仿宋_GB2312" w:cs="仿宋_GB2312"/>
                <w:color w:val="auto"/>
                <w:kern w:val="0"/>
                <w:sz w:val="28"/>
                <w:szCs w:val="28"/>
                <w:highlight w:val="none"/>
              </w:rPr>
            </w:pPr>
          </w:p>
        </w:tc>
        <w:tc>
          <w:tcPr>
            <w:tcW w:w="1985" w:type="dxa"/>
            <w:vAlign w:val="center"/>
          </w:tcPr>
          <w:p>
            <w:pPr>
              <w:snapToGrid w:val="0"/>
              <w:spacing w:line="520" w:lineRule="atLeast"/>
              <w:ind w:firstLine="198" w:firstLineChars="71"/>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病原体感染</w:t>
            </w:r>
          </w:p>
        </w:tc>
        <w:tc>
          <w:tcPr>
            <w:tcW w:w="6041" w:type="dxa"/>
          </w:tcPr>
          <w:p>
            <w:pPr>
              <w:snapToGrid w:val="0"/>
              <w:spacing w:line="520" w:lineRule="atLeast"/>
              <w:ind w:firstLine="56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加样过程中，样本飞溅导致操作人员接触具有潜在传染性的病原体，从而造成感染的风险。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restart"/>
            <w:vAlign w:val="center"/>
          </w:tcPr>
          <w:p>
            <w:pPr>
              <w:snapToGrid w:val="0"/>
              <w:spacing w:line="520" w:lineRule="atLeast"/>
              <w:ind w:firstLine="0" w:firstLineChars="0"/>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操作危险</w:t>
            </w:r>
          </w:p>
        </w:tc>
        <w:tc>
          <w:tcPr>
            <w:tcW w:w="1985" w:type="dxa"/>
            <w:vAlign w:val="center"/>
          </w:tcPr>
          <w:p>
            <w:pPr>
              <w:snapToGrid w:val="0"/>
              <w:spacing w:line="520" w:lineRule="atLeast"/>
              <w:ind w:firstLine="56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安装不当</w:t>
            </w:r>
          </w:p>
        </w:tc>
        <w:tc>
          <w:tcPr>
            <w:tcW w:w="6041" w:type="dxa"/>
          </w:tcPr>
          <w:p>
            <w:pPr>
              <w:snapToGrid w:val="0"/>
              <w:spacing w:line="520" w:lineRule="atLeast"/>
              <w:ind w:firstLine="56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由于仪器安装不当或未对仪器的安装使用环境（包括温湿度、气体条件等）进行充分评估导致仪器不能正常运行的危险。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pPr>
              <w:snapToGrid w:val="0"/>
              <w:spacing w:line="520" w:lineRule="atLeast"/>
              <w:ind w:firstLine="560"/>
              <w:rPr>
                <w:rFonts w:hint="eastAsia" w:ascii="仿宋_GB2312" w:hAnsi="仿宋_GB2312" w:eastAsia="仿宋_GB2312" w:cs="仿宋_GB2312"/>
                <w:color w:val="auto"/>
                <w:kern w:val="0"/>
                <w:sz w:val="28"/>
                <w:szCs w:val="28"/>
                <w:highlight w:val="none"/>
              </w:rPr>
            </w:pPr>
          </w:p>
        </w:tc>
        <w:tc>
          <w:tcPr>
            <w:tcW w:w="1985" w:type="dxa"/>
            <w:vMerge w:val="restart"/>
            <w:vAlign w:val="center"/>
          </w:tcPr>
          <w:p>
            <w:pPr>
              <w:snapToGrid w:val="0"/>
              <w:spacing w:line="520" w:lineRule="atLeast"/>
              <w:ind w:firstLine="56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操作不当</w:t>
            </w:r>
          </w:p>
        </w:tc>
        <w:tc>
          <w:tcPr>
            <w:tcW w:w="6041" w:type="dxa"/>
          </w:tcPr>
          <w:p>
            <w:pPr>
              <w:snapToGrid w:val="0"/>
              <w:spacing w:line="520" w:lineRule="atLeast"/>
              <w:ind w:firstLine="56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未对使用者进行培训或者使用者未按说明书中的要求进行操作，造成的检测失败、检测结果不准确。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pPr>
              <w:snapToGrid w:val="0"/>
              <w:spacing w:line="520" w:lineRule="atLeast"/>
              <w:ind w:firstLine="560"/>
              <w:rPr>
                <w:rFonts w:hint="eastAsia" w:ascii="仿宋_GB2312" w:hAnsi="仿宋_GB2312" w:eastAsia="仿宋_GB2312" w:cs="仿宋_GB2312"/>
                <w:color w:val="auto"/>
                <w:kern w:val="0"/>
                <w:sz w:val="28"/>
                <w:szCs w:val="28"/>
                <w:highlight w:val="none"/>
              </w:rPr>
            </w:pPr>
          </w:p>
        </w:tc>
        <w:tc>
          <w:tcPr>
            <w:tcW w:w="1985" w:type="dxa"/>
            <w:vMerge w:val="continue"/>
          </w:tcPr>
          <w:p>
            <w:pPr>
              <w:snapToGrid w:val="0"/>
              <w:spacing w:line="520" w:lineRule="atLeast"/>
              <w:ind w:firstLine="560"/>
              <w:rPr>
                <w:rFonts w:hint="eastAsia" w:ascii="仿宋_GB2312" w:hAnsi="仿宋_GB2312" w:eastAsia="仿宋_GB2312" w:cs="仿宋_GB2312"/>
                <w:color w:val="auto"/>
                <w:kern w:val="0"/>
                <w:sz w:val="28"/>
                <w:szCs w:val="28"/>
                <w:highlight w:val="none"/>
              </w:rPr>
            </w:pPr>
          </w:p>
        </w:tc>
        <w:tc>
          <w:tcPr>
            <w:tcW w:w="6041" w:type="dxa"/>
          </w:tcPr>
          <w:p>
            <w:pPr>
              <w:snapToGrid w:val="0"/>
              <w:spacing w:line="520" w:lineRule="atLeast"/>
              <w:ind w:firstLine="56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使用与设备不相匹配的芯片、试剂等，造成的检测失败、检测结果不准确。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pPr>
              <w:snapToGrid w:val="0"/>
              <w:spacing w:line="520" w:lineRule="atLeast"/>
              <w:ind w:firstLine="560"/>
              <w:rPr>
                <w:rFonts w:hint="eastAsia" w:ascii="仿宋_GB2312" w:hAnsi="仿宋_GB2312" w:eastAsia="仿宋_GB2312" w:cs="仿宋_GB2312"/>
                <w:color w:val="auto"/>
                <w:kern w:val="0"/>
                <w:sz w:val="28"/>
                <w:szCs w:val="28"/>
                <w:highlight w:val="none"/>
              </w:rPr>
            </w:pPr>
          </w:p>
        </w:tc>
        <w:tc>
          <w:tcPr>
            <w:tcW w:w="1985" w:type="dxa"/>
            <w:vMerge w:val="continue"/>
          </w:tcPr>
          <w:p>
            <w:pPr>
              <w:snapToGrid w:val="0"/>
              <w:spacing w:line="520" w:lineRule="atLeast"/>
              <w:ind w:firstLine="560"/>
              <w:rPr>
                <w:rFonts w:hint="eastAsia" w:ascii="仿宋_GB2312" w:hAnsi="仿宋_GB2312" w:eastAsia="仿宋_GB2312" w:cs="仿宋_GB2312"/>
                <w:color w:val="auto"/>
                <w:kern w:val="0"/>
                <w:sz w:val="28"/>
                <w:szCs w:val="28"/>
                <w:highlight w:val="none"/>
              </w:rPr>
            </w:pPr>
          </w:p>
        </w:tc>
        <w:tc>
          <w:tcPr>
            <w:tcW w:w="6041" w:type="dxa"/>
          </w:tcPr>
          <w:p>
            <w:pPr>
              <w:snapToGrid w:val="0"/>
              <w:spacing w:line="520" w:lineRule="atLeast"/>
              <w:ind w:firstLine="56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在过热、过冷或过湿的环境条件下使用产品，造成检测结果不准确，产品寿命降低。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pPr>
              <w:snapToGrid w:val="0"/>
              <w:spacing w:line="520" w:lineRule="atLeast"/>
              <w:ind w:firstLine="560"/>
              <w:rPr>
                <w:rFonts w:hint="eastAsia" w:ascii="仿宋_GB2312" w:hAnsi="仿宋_GB2312" w:eastAsia="仿宋_GB2312" w:cs="仿宋_GB2312"/>
                <w:color w:val="auto"/>
                <w:kern w:val="0"/>
                <w:sz w:val="28"/>
                <w:szCs w:val="28"/>
                <w:highlight w:val="none"/>
              </w:rPr>
            </w:pPr>
          </w:p>
        </w:tc>
        <w:tc>
          <w:tcPr>
            <w:tcW w:w="1985" w:type="dxa"/>
            <w:vMerge w:val="continue"/>
          </w:tcPr>
          <w:p>
            <w:pPr>
              <w:snapToGrid w:val="0"/>
              <w:spacing w:line="520" w:lineRule="atLeast"/>
              <w:ind w:firstLine="560"/>
              <w:rPr>
                <w:rFonts w:hint="eastAsia" w:ascii="仿宋_GB2312" w:hAnsi="仿宋_GB2312" w:eastAsia="仿宋_GB2312" w:cs="仿宋_GB2312"/>
                <w:color w:val="auto"/>
                <w:kern w:val="0"/>
                <w:sz w:val="28"/>
                <w:szCs w:val="28"/>
                <w:highlight w:val="none"/>
              </w:rPr>
            </w:pPr>
          </w:p>
        </w:tc>
        <w:tc>
          <w:tcPr>
            <w:tcW w:w="6041" w:type="dxa"/>
          </w:tcPr>
          <w:p>
            <w:pPr>
              <w:snapToGrid w:val="0"/>
              <w:spacing w:line="520" w:lineRule="atLeast"/>
              <w:ind w:firstLine="56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eastAsia="zh-CN"/>
              </w:rPr>
              <w:t>如</w:t>
            </w:r>
            <w:r>
              <w:rPr>
                <w:rFonts w:hint="eastAsia" w:ascii="仿宋_GB2312" w:hAnsi="仿宋_GB2312" w:eastAsia="仿宋_GB2312" w:cs="仿宋_GB2312"/>
                <w:color w:val="auto"/>
                <w:kern w:val="0"/>
                <w:sz w:val="28"/>
                <w:szCs w:val="28"/>
                <w:highlight w:val="none"/>
              </w:rPr>
              <w:t>部件在使用前或使用中需要进行连接或重新连接，连接故障可能带来风险。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pPr>
              <w:snapToGrid w:val="0"/>
              <w:spacing w:line="520" w:lineRule="atLeast"/>
              <w:ind w:firstLine="560"/>
              <w:rPr>
                <w:rFonts w:hint="eastAsia" w:ascii="仿宋_GB2312" w:hAnsi="仿宋_GB2312" w:eastAsia="仿宋_GB2312" w:cs="仿宋_GB2312"/>
                <w:color w:val="auto"/>
                <w:kern w:val="0"/>
                <w:sz w:val="28"/>
                <w:szCs w:val="28"/>
                <w:highlight w:val="none"/>
              </w:rPr>
            </w:pPr>
          </w:p>
        </w:tc>
        <w:tc>
          <w:tcPr>
            <w:tcW w:w="1985" w:type="dxa"/>
            <w:vMerge w:val="continue"/>
          </w:tcPr>
          <w:p>
            <w:pPr>
              <w:snapToGrid w:val="0"/>
              <w:spacing w:line="520" w:lineRule="atLeast"/>
              <w:ind w:firstLine="560"/>
              <w:rPr>
                <w:rFonts w:hint="eastAsia" w:ascii="仿宋_GB2312" w:hAnsi="仿宋_GB2312" w:eastAsia="仿宋_GB2312" w:cs="仿宋_GB2312"/>
                <w:color w:val="auto"/>
                <w:kern w:val="0"/>
                <w:sz w:val="28"/>
                <w:szCs w:val="28"/>
                <w:highlight w:val="none"/>
              </w:rPr>
            </w:pPr>
          </w:p>
        </w:tc>
        <w:tc>
          <w:tcPr>
            <w:tcW w:w="6041" w:type="dxa"/>
          </w:tcPr>
          <w:p>
            <w:pPr>
              <w:snapToGrid w:val="0"/>
              <w:spacing w:line="520" w:lineRule="atLeast"/>
              <w:ind w:firstLine="56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产品超期使用，仪器出现疲劳或部件老化导致性能下降或不能正常运行。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pPr>
              <w:snapToGrid w:val="0"/>
              <w:spacing w:line="520" w:lineRule="atLeast"/>
              <w:ind w:firstLine="560"/>
              <w:rPr>
                <w:rFonts w:hint="eastAsia" w:ascii="仿宋_GB2312" w:hAnsi="仿宋_GB2312" w:eastAsia="仿宋_GB2312" w:cs="仿宋_GB2312"/>
                <w:color w:val="auto"/>
                <w:kern w:val="0"/>
                <w:sz w:val="28"/>
                <w:szCs w:val="28"/>
                <w:highlight w:val="none"/>
              </w:rPr>
            </w:pPr>
          </w:p>
        </w:tc>
        <w:tc>
          <w:tcPr>
            <w:tcW w:w="1985" w:type="dxa"/>
            <w:vMerge w:val="continue"/>
          </w:tcPr>
          <w:p>
            <w:pPr>
              <w:snapToGrid w:val="0"/>
              <w:spacing w:line="520" w:lineRule="atLeast"/>
              <w:ind w:firstLine="560"/>
              <w:rPr>
                <w:rFonts w:hint="eastAsia" w:ascii="仿宋_GB2312" w:hAnsi="仿宋_GB2312" w:eastAsia="仿宋_GB2312" w:cs="仿宋_GB2312"/>
                <w:color w:val="auto"/>
                <w:kern w:val="0"/>
                <w:sz w:val="28"/>
                <w:szCs w:val="28"/>
                <w:highlight w:val="none"/>
              </w:rPr>
            </w:pPr>
          </w:p>
        </w:tc>
        <w:tc>
          <w:tcPr>
            <w:tcW w:w="6041" w:type="dxa"/>
          </w:tcPr>
          <w:p>
            <w:pPr>
              <w:snapToGrid w:val="0"/>
              <w:spacing w:line="520" w:lineRule="atLeast"/>
              <w:ind w:firstLine="56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试剂或耗材（如矿物油）混用，可能导致检测结果不准确。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pPr>
              <w:snapToGrid w:val="0"/>
              <w:spacing w:line="520" w:lineRule="atLeast"/>
              <w:ind w:firstLine="560"/>
              <w:rPr>
                <w:rFonts w:hint="eastAsia" w:ascii="仿宋_GB2312" w:hAnsi="仿宋_GB2312" w:eastAsia="仿宋_GB2312" w:cs="仿宋_GB2312"/>
                <w:color w:val="auto"/>
                <w:kern w:val="0"/>
                <w:sz w:val="28"/>
                <w:szCs w:val="28"/>
                <w:highlight w:val="none"/>
              </w:rPr>
            </w:pPr>
          </w:p>
        </w:tc>
        <w:tc>
          <w:tcPr>
            <w:tcW w:w="1985" w:type="dxa"/>
            <w:vMerge w:val="continue"/>
          </w:tcPr>
          <w:p>
            <w:pPr>
              <w:snapToGrid w:val="0"/>
              <w:spacing w:line="520" w:lineRule="atLeast"/>
              <w:ind w:firstLine="560"/>
              <w:rPr>
                <w:rFonts w:hint="eastAsia" w:ascii="仿宋_GB2312" w:hAnsi="仿宋_GB2312" w:eastAsia="仿宋_GB2312" w:cs="仿宋_GB2312"/>
                <w:color w:val="auto"/>
                <w:kern w:val="0"/>
                <w:sz w:val="28"/>
                <w:szCs w:val="28"/>
                <w:highlight w:val="none"/>
              </w:rPr>
            </w:pPr>
          </w:p>
        </w:tc>
        <w:tc>
          <w:tcPr>
            <w:tcW w:w="6041" w:type="dxa"/>
          </w:tcPr>
          <w:p>
            <w:pPr>
              <w:snapToGrid w:val="0"/>
              <w:spacing w:line="520" w:lineRule="atLeast"/>
              <w:ind w:firstLine="56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芯片处理不当，芯片上出现划痕、指纹、灰尘或其他人为因素导致的芯片损坏会影响信号采集，导致结果不准确或无效。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pPr>
              <w:snapToGrid w:val="0"/>
              <w:spacing w:line="520" w:lineRule="atLeast"/>
              <w:ind w:firstLine="560"/>
              <w:rPr>
                <w:rFonts w:hint="eastAsia" w:ascii="仿宋_GB2312" w:hAnsi="仿宋_GB2312" w:eastAsia="仿宋_GB2312" w:cs="仿宋_GB2312"/>
                <w:color w:val="auto"/>
                <w:kern w:val="0"/>
                <w:sz w:val="28"/>
                <w:szCs w:val="28"/>
                <w:highlight w:val="none"/>
              </w:rPr>
            </w:pPr>
          </w:p>
        </w:tc>
        <w:tc>
          <w:tcPr>
            <w:tcW w:w="1985" w:type="dxa"/>
            <w:vMerge w:val="continue"/>
          </w:tcPr>
          <w:p>
            <w:pPr>
              <w:snapToGrid w:val="0"/>
              <w:spacing w:line="520" w:lineRule="atLeast"/>
              <w:ind w:firstLine="560"/>
              <w:rPr>
                <w:rFonts w:hint="eastAsia" w:ascii="仿宋_GB2312" w:hAnsi="仿宋_GB2312" w:eastAsia="仿宋_GB2312" w:cs="仿宋_GB2312"/>
                <w:color w:val="auto"/>
                <w:kern w:val="0"/>
                <w:sz w:val="28"/>
                <w:szCs w:val="28"/>
                <w:highlight w:val="none"/>
              </w:rPr>
            </w:pPr>
          </w:p>
        </w:tc>
        <w:tc>
          <w:tcPr>
            <w:tcW w:w="6041" w:type="dxa"/>
          </w:tcPr>
          <w:p>
            <w:pPr>
              <w:snapToGrid w:val="0"/>
              <w:spacing w:line="520" w:lineRule="atLeast"/>
              <w:ind w:firstLine="56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一次性使用耗材（如芯片、矿物油等）被重复使用可能带来的风险。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pPr>
              <w:snapToGrid w:val="0"/>
              <w:spacing w:line="520" w:lineRule="atLeast"/>
              <w:ind w:firstLine="560"/>
              <w:rPr>
                <w:rFonts w:hint="eastAsia" w:ascii="仿宋_GB2312" w:hAnsi="仿宋_GB2312" w:eastAsia="仿宋_GB2312" w:cs="仿宋_GB2312"/>
                <w:color w:val="auto"/>
                <w:kern w:val="0"/>
                <w:sz w:val="28"/>
                <w:szCs w:val="28"/>
                <w:highlight w:val="none"/>
              </w:rPr>
            </w:pPr>
          </w:p>
        </w:tc>
        <w:tc>
          <w:tcPr>
            <w:tcW w:w="1985" w:type="dxa"/>
          </w:tcPr>
          <w:p>
            <w:pPr>
              <w:snapToGrid w:val="0"/>
              <w:spacing w:line="520" w:lineRule="atLeast"/>
              <w:ind w:firstLine="56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维护不当</w:t>
            </w:r>
          </w:p>
        </w:tc>
        <w:tc>
          <w:tcPr>
            <w:tcW w:w="6041" w:type="dxa"/>
          </w:tcPr>
          <w:p>
            <w:pPr>
              <w:snapToGrid w:val="0"/>
              <w:spacing w:line="520" w:lineRule="atLeast"/>
              <w:ind w:firstLine="56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未按产品说明书的规定对申报产品进行保养清洁、未按产品说明书的规定及时更换元器件，造成的产品检测结果不准确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restart"/>
          </w:tcPr>
          <w:p>
            <w:pPr>
              <w:snapToGrid w:val="0"/>
              <w:spacing w:line="520" w:lineRule="atLeast"/>
              <w:ind w:firstLine="0" w:firstLineChars="0"/>
              <w:jc w:val="center"/>
              <w:rPr>
                <w:rFonts w:hint="eastAsia" w:ascii="仿宋_GB2312" w:hAnsi="仿宋_GB2312" w:eastAsia="仿宋_GB2312" w:cs="仿宋_GB2312"/>
                <w:color w:val="auto"/>
                <w:kern w:val="0"/>
                <w:sz w:val="28"/>
                <w:szCs w:val="28"/>
                <w:highlight w:val="none"/>
              </w:rPr>
            </w:pPr>
          </w:p>
          <w:p>
            <w:pPr>
              <w:snapToGrid w:val="0"/>
              <w:spacing w:line="520" w:lineRule="atLeast"/>
              <w:ind w:firstLine="0" w:firstLineChars="0"/>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性能相关的危险</w:t>
            </w:r>
          </w:p>
        </w:tc>
        <w:tc>
          <w:tcPr>
            <w:tcW w:w="1985" w:type="dxa"/>
            <w:vMerge w:val="restart"/>
          </w:tcPr>
          <w:p>
            <w:pPr>
              <w:snapToGrid w:val="0"/>
              <w:spacing w:line="520" w:lineRule="atLeast"/>
              <w:ind w:firstLine="560"/>
              <w:rPr>
                <w:rFonts w:hint="eastAsia" w:ascii="仿宋_GB2312" w:hAnsi="仿宋_GB2312" w:eastAsia="仿宋_GB2312" w:cs="仿宋_GB2312"/>
                <w:color w:val="auto"/>
                <w:kern w:val="0"/>
                <w:sz w:val="28"/>
                <w:szCs w:val="28"/>
                <w:highlight w:val="none"/>
              </w:rPr>
            </w:pPr>
          </w:p>
          <w:p>
            <w:pPr>
              <w:snapToGrid w:val="0"/>
              <w:spacing w:line="520" w:lineRule="atLeast"/>
              <w:ind w:firstLine="560"/>
              <w:rPr>
                <w:rFonts w:hint="eastAsia" w:ascii="仿宋_GB2312" w:hAnsi="仿宋_GB2312" w:eastAsia="仿宋_GB2312" w:cs="仿宋_GB2312"/>
                <w:color w:val="auto"/>
                <w:kern w:val="0"/>
                <w:sz w:val="28"/>
                <w:szCs w:val="28"/>
                <w:highlight w:val="none"/>
              </w:rPr>
            </w:pPr>
          </w:p>
          <w:p>
            <w:pPr>
              <w:snapToGrid w:val="0"/>
              <w:spacing w:line="520" w:lineRule="atLeast"/>
              <w:ind w:firstLine="56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功能失效</w:t>
            </w:r>
          </w:p>
        </w:tc>
        <w:tc>
          <w:tcPr>
            <w:tcW w:w="6041" w:type="dxa"/>
          </w:tcPr>
          <w:p>
            <w:pPr>
              <w:snapToGrid w:val="0"/>
              <w:spacing w:line="520" w:lineRule="atLeast"/>
              <w:ind w:firstLine="56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微液滴不能正常产生或不能产生有效的微液滴数量，导致检测结果不准确。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pPr>
              <w:snapToGrid w:val="0"/>
              <w:spacing w:line="520" w:lineRule="atLeast"/>
              <w:ind w:firstLine="0" w:firstLineChars="0"/>
              <w:rPr>
                <w:rFonts w:hint="eastAsia" w:ascii="仿宋_GB2312" w:hAnsi="仿宋_GB2312" w:eastAsia="仿宋_GB2312" w:cs="仿宋_GB2312"/>
                <w:color w:val="auto"/>
                <w:kern w:val="0"/>
                <w:sz w:val="28"/>
                <w:szCs w:val="28"/>
                <w:highlight w:val="none"/>
              </w:rPr>
            </w:pPr>
          </w:p>
        </w:tc>
        <w:tc>
          <w:tcPr>
            <w:tcW w:w="1985" w:type="dxa"/>
            <w:vMerge w:val="continue"/>
          </w:tcPr>
          <w:p>
            <w:pPr>
              <w:snapToGrid w:val="0"/>
              <w:spacing w:line="520" w:lineRule="atLeast"/>
              <w:ind w:firstLine="560"/>
              <w:rPr>
                <w:rFonts w:hint="eastAsia" w:ascii="仿宋_GB2312" w:hAnsi="仿宋_GB2312" w:eastAsia="仿宋_GB2312" w:cs="仿宋_GB2312"/>
                <w:color w:val="auto"/>
                <w:kern w:val="0"/>
                <w:sz w:val="28"/>
                <w:szCs w:val="28"/>
                <w:highlight w:val="none"/>
              </w:rPr>
            </w:pPr>
          </w:p>
        </w:tc>
        <w:tc>
          <w:tcPr>
            <w:tcW w:w="6041" w:type="dxa"/>
          </w:tcPr>
          <w:p>
            <w:pPr>
              <w:snapToGrid w:val="0"/>
              <w:spacing w:line="520" w:lineRule="atLeast"/>
              <w:ind w:firstLine="56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扩增过程中产生微液滴异常融合、气泡等情况，影响阳性微液滴判读，进而影响检测结果的准确性。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restart"/>
            <w:vAlign w:val="center"/>
          </w:tcPr>
          <w:p>
            <w:pPr>
              <w:snapToGrid w:val="0"/>
              <w:spacing w:line="520" w:lineRule="atLeast"/>
              <w:ind w:firstLine="0" w:firstLineChars="0"/>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信息危险</w:t>
            </w:r>
          </w:p>
        </w:tc>
        <w:tc>
          <w:tcPr>
            <w:tcW w:w="1985" w:type="dxa"/>
            <w:vMerge w:val="restart"/>
            <w:vAlign w:val="center"/>
          </w:tcPr>
          <w:p>
            <w:pPr>
              <w:snapToGrid w:val="0"/>
              <w:spacing w:line="520" w:lineRule="atLeast"/>
              <w:ind w:firstLine="0" w:firstLineChars="0"/>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标识、标志不足</w:t>
            </w:r>
          </w:p>
        </w:tc>
        <w:tc>
          <w:tcPr>
            <w:tcW w:w="6041" w:type="dxa"/>
          </w:tcPr>
          <w:p>
            <w:pPr>
              <w:snapToGrid w:val="0"/>
              <w:spacing w:line="520" w:lineRule="atLeast"/>
              <w:ind w:firstLine="56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标记缺少或不正确，标记的位置不正确，不能被正确的识别</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pPr>
              <w:snapToGrid w:val="0"/>
              <w:spacing w:line="520" w:lineRule="atLeast"/>
              <w:ind w:firstLine="560"/>
              <w:rPr>
                <w:rFonts w:hint="eastAsia" w:ascii="仿宋_GB2312" w:hAnsi="仿宋_GB2312" w:eastAsia="仿宋_GB2312" w:cs="仿宋_GB2312"/>
                <w:color w:val="auto"/>
                <w:kern w:val="0"/>
                <w:sz w:val="28"/>
                <w:szCs w:val="28"/>
                <w:highlight w:val="none"/>
              </w:rPr>
            </w:pPr>
          </w:p>
        </w:tc>
        <w:tc>
          <w:tcPr>
            <w:tcW w:w="1985" w:type="dxa"/>
            <w:vMerge w:val="continue"/>
          </w:tcPr>
          <w:p>
            <w:pPr>
              <w:snapToGrid w:val="0"/>
              <w:spacing w:line="520" w:lineRule="atLeast"/>
              <w:ind w:firstLine="560"/>
              <w:rPr>
                <w:rFonts w:hint="eastAsia" w:ascii="仿宋_GB2312" w:hAnsi="仿宋_GB2312" w:eastAsia="仿宋_GB2312" w:cs="仿宋_GB2312"/>
                <w:color w:val="auto"/>
                <w:kern w:val="0"/>
                <w:sz w:val="28"/>
                <w:szCs w:val="28"/>
                <w:highlight w:val="none"/>
              </w:rPr>
            </w:pPr>
          </w:p>
        </w:tc>
        <w:tc>
          <w:tcPr>
            <w:tcW w:w="6041" w:type="dxa"/>
          </w:tcPr>
          <w:p>
            <w:pPr>
              <w:snapToGrid w:val="0"/>
              <w:spacing w:line="520" w:lineRule="atLeast"/>
              <w:ind w:firstLine="56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不能永久贴牢和清晰可辨，不能耐受温度、摩擦及正常使用时可能遇到的溶剂和试剂的影响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pPr>
              <w:snapToGrid w:val="0"/>
              <w:spacing w:line="520" w:lineRule="atLeast"/>
              <w:ind w:firstLine="560"/>
              <w:rPr>
                <w:rFonts w:hint="eastAsia" w:ascii="仿宋_GB2312" w:hAnsi="仿宋_GB2312" w:eastAsia="仿宋_GB2312" w:cs="仿宋_GB2312"/>
                <w:color w:val="auto"/>
                <w:kern w:val="0"/>
                <w:sz w:val="28"/>
                <w:szCs w:val="28"/>
                <w:highlight w:val="none"/>
              </w:rPr>
            </w:pPr>
          </w:p>
        </w:tc>
        <w:tc>
          <w:tcPr>
            <w:tcW w:w="1985" w:type="dxa"/>
            <w:vMerge w:val="restart"/>
            <w:vAlign w:val="center"/>
          </w:tcPr>
          <w:p>
            <w:pPr>
              <w:snapToGrid w:val="0"/>
              <w:spacing w:line="520" w:lineRule="atLeast"/>
              <w:ind w:firstLine="0" w:firstLineChars="0"/>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说明书内容不足</w:t>
            </w:r>
          </w:p>
        </w:tc>
        <w:tc>
          <w:tcPr>
            <w:tcW w:w="6041" w:type="dxa"/>
          </w:tcPr>
          <w:p>
            <w:pPr>
              <w:snapToGrid w:val="0"/>
              <w:spacing w:line="520" w:lineRule="atLeast"/>
              <w:ind w:firstLine="56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产品操作说明不够清晰、局限性未充分说明或缺少必要的步骤描述导致不能正常使用仪器。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pPr>
              <w:snapToGrid w:val="0"/>
              <w:spacing w:line="520" w:lineRule="atLeast"/>
              <w:ind w:firstLine="560"/>
              <w:rPr>
                <w:rFonts w:hint="eastAsia" w:ascii="仿宋_GB2312" w:hAnsi="仿宋_GB2312" w:eastAsia="仿宋_GB2312" w:cs="仿宋_GB2312"/>
                <w:color w:val="auto"/>
                <w:kern w:val="0"/>
                <w:sz w:val="28"/>
                <w:szCs w:val="28"/>
                <w:highlight w:val="none"/>
              </w:rPr>
            </w:pPr>
          </w:p>
        </w:tc>
        <w:tc>
          <w:tcPr>
            <w:tcW w:w="1985" w:type="dxa"/>
            <w:vMerge w:val="continue"/>
          </w:tcPr>
          <w:p>
            <w:pPr>
              <w:snapToGrid w:val="0"/>
              <w:spacing w:line="520" w:lineRule="atLeast"/>
              <w:ind w:firstLine="560"/>
              <w:rPr>
                <w:rFonts w:hint="eastAsia" w:ascii="仿宋_GB2312" w:hAnsi="仿宋_GB2312" w:eastAsia="仿宋_GB2312" w:cs="仿宋_GB2312"/>
                <w:color w:val="auto"/>
                <w:kern w:val="0"/>
                <w:sz w:val="28"/>
                <w:szCs w:val="28"/>
                <w:highlight w:val="none"/>
              </w:rPr>
            </w:pPr>
          </w:p>
        </w:tc>
        <w:tc>
          <w:tcPr>
            <w:tcW w:w="6041" w:type="dxa"/>
          </w:tcPr>
          <w:p>
            <w:pPr>
              <w:snapToGrid w:val="0"/>
              <w:spacing w:line="520" w:lineRule="atLeast"/>
              <w:ind w:firstLine="56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未对不正确的操作、与其他设备共同使用时易产生的危险（源）进行警告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pPr>
              <w:snapToGrid w:val="0"/>
              <w:spacing w:line="520" w:lineRule="atLeast"/>
              <w:ind w:firstLine="560"/>
              <w:rPr>
                <w:rFonts w:hint="eastAsia" w:ascii="仿宋_GB2312" w:hAnsi="仿宋_GB2312" w:eastAsia="仿宋_GB2312" w:cs="仿宋_GB2312"/>
                <w:color w:val="auto"/>
                <w:kern w:val="0"/>
                <w:sz w:val="28"/>
                <w:szCs w:val="28"/>
                <w:highlight w:val="none"/>
              </w:rPr>
            </w:pPr>
          </w:p>
        </w:tc>
        <w:tc>
          <w:tcPr>
            <w:tcW w:w="1985" w:type="dxa"/>
            <w:vMerge w:val="continue"/>
          </w:tcPr>
          <w:p>
            <w:pPr>
              <w:snapToGrid w:val="0"/>
              <w:spacing w:line="520" w:lineRule="atLeast"/>
              <w:ind w:firstLine="560"/>
              <w:rPr>
                <w:rFonts w:hint="eastAsia" w:ascii="仿宋_GB2312" w:hAnsi="仿宋_GB2312" w:eastAsia="仿宋_GB2312" w:cs="仿宋_GB2312"/>
                <w:color w:val="auto"/>
                <w:kern w:val="0"/>
                <w:sz w:val="28"/>
                <w:szCs w:val="28"/>
                <w:highlight w:val="none"/>
              </w:rPr>
            </w:pPr>
          </w:p>
        </w:tc>
        <w:tc>
          <w:tcPr>
            <w:tcW w:w="6041" w:type="dxa"/>
          </w:tcPr>
          <w:p>
            <w:pPr>
              <w:snapToGrid w:val="0"/>
              <w:spacing w:line="520" w:lineRule="atLeast"/>
              <w:ind w:firstLine="56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未正确标示包装储运条件、消毒方法、维护信息、对所有标识警告符号的阐述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pPr>
              <w:snapToGrid w:val="0"/>
              <w:spacing w:line="520" w:lineRule="atLeast"/>
              <w:ind w:firstLine="560"/>
              <w:rPr>
                <w:rFonts w:hint="eastAsia" w:ascii="仿宋_GB2312" w:hAnsi="仿宋_GB2312" w:eastAsia="仿宋_GB2312" w:cs="仿宋_GB2312"/>
                <w:color w:val="auto"/>
                <w:kern w:val="0"/>
                <w:sz w:val="28"/>
                <w:szCs w:val="28"/>
                <w:highlight w:val="none"/>
              </w:rPr>
            </w:pPr>
          </w:p>
        </w:tc>
        <w:tc>
          <w:tcPr>
            <w:tcW w:w="1985" w:type="dxa"/>
            <w:vMerge w:val="continue"/>
          </w:tcPr>
          <w:p>
            <w:pPr>
              <w:snapToGrid w:val="0"/>
              <w:spacing w:line="520" w:lineRule="atLeast"/>
              <w:ind w:firstLine="560"/>
              <w:rPr>
                <w:rFonts w:hint="eastAsia" w:ascii="仿宋_GB2312" w:hAnsi="仿宋_GB2312" w:eastAsia="仿宋_GB2312" w:cs="仿宋_GB2312"/>
                <w:color w:val="auto"/>
                <w:kern w:val="0"/>
                <w:sz w:val="28"/>
                <w:szCs w:val="28"/>
                <w:highlight w:val="none"/>
              </w:rPr>
            </w:pPr>
          </w:p>
        </w:tc>
        <w:tc>
          <w:tcPr>
            <w:tcW w:w="6041" w:type="dxa"/>
          </w:tcPr>
          <w:p>
            <w:pPr>
              <w:snapToGrid w:val="0"/>
              <w:spacing w:line="520" w:lineRule="atLeast"/>
              <w:ind w:firstLine="56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 xml:space="preserve">未对合理可预见的误用进行警告等引发的危险（源）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pPr>
              <w:snapToGrid w:val="0"/>
              <w:spacing w:line="520" w:lineRule="atLeast"/>
              <w:ind w:firstLine="560"/>
              <w:rPr>
                <w:rFonts w:hint="eastAsia" w:ascii="仿宋_GB2312" w:hAnsi="仿宋_GB2312" w:eastAsia="仿宋_GB2312" w:cs="仿宋_GB2312"/>
                <w:color w:val="auto"/>
                <w:kern w:val="0"/>
                <w:sz w:val="28"/>
                <w:szCs w:val="28"/>
                <w:highlight w:val="none"/>
              </w:rPr>
            </w:pPr>
          </w:p>
        </w:tc>
        <w:tc>
          <w:tcPr>
            <w:tcW w:w="1985" w:type="dxa"/>
            <w:vMerge w:val="continue"/>
          </w:tcPr>
          <w:p>
            <w:pPr>
              <w:snapToGrid w:val="0"/>
              <w:spacing w:line="520" w:lineRule="atLeast"/>
              <w:ind w:firstLine="560"/>
              <w:rPr>
                <w:rFonts w:hint="eastAsia" w:ascii="仿宋_GB2312" w:hAnsi="仿宋_GB2312" w:eastAsia="仿宋_GB2312" w:cs="仿宋_GB2312"/>
                <w:color w:val="auto"/>
                <w:kern w:val="0"/>
                <w:sz w:val="28"/>
                <w:szCs w:val="28"/>
                <w:highlight w:val="none"/>
              </w:rPr>
            </w:pPr>
          </w:p>
        </w:tc>
        <w:tc>
          <w:tcPr>
            <w:tcW w:w="6041" w:type="dxa"/>
          </w:tcPr>
          <w:p>
            <w:pPr>
              <w:snapToGrid w:val="0"/>
              <w:spacing w:line="520" w:lineRule="atLeast"/>
              <w:ind w:firstLine="56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未明确报警信息，导致无法正确排除仪器故障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restart"/>
            <w:vAlign w:val="center"/>
          </w:tcPr>
          <w:p>
            <w:pPr>
              <w:snapToGrid w:val="0"/>
              <w:spacing w:line="520" w:lineRule="atLeast"/>
              <w:ind w:firstLine="0" w:firstLineChars="0"/>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软件危险</w:t>
            </w:r>
          </w:p>
        </w:tc>
        <w:tc>
          <w:tcPr>
            <w:tcW w:w="1985" w:type="dxa"/>
            <w:vAlign w:val="center"/>
          </w:tcPr>
          <w:p>
            <w:pPr>
              <w:snapToGrid w:val="0"/>
              <w:spacing w:line="520" w:lineRule="atLeast"/>
              <w:ind w:firstLine="0" w:firstLineChars="0"/>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软件设计/操作危险</w:t>
            </w:r>
          </w:p>
        </w:tc>
        <w:tc>
          <w:tcPr>
            <w:tcW w:w="6041" w:type="dxa"/>
          </w:tcPr>
          <w:p>
            <w:pPr>
              <w:snapToGrid w:val="0"/>
              <w:spacing w:line="520" w:lineRule="atLeast"/>
              <w:ind w:firstLine="56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 xml:space="preserve">软件设计用户界面项目选择或切换时不方便、界面设计存在缺陷、菜单提示不清晰导致检测结果出错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1693" w:type="dxa"/>
            <w:vMerge w:val="continue"/>
          </w:tcPr>
          <w:p>
            <w:pPr>
              <w:snapToGrid w:val="0"/>
              <w:spacing w:line="520" w:lineRule="atLeast"/>
              <w:ind w:firstLine="560"/>
              <w:rPr>
                <w:rFonts w:hint="eastAsia" w:ascii="仿宋_GB2312" w:hAnsi="仿宋_GB2312" w:eastAsia="仿宋_GB2312" w:cs="仿宋_GB2312"/>
                <w:color w:val="auto"/>
                <w:kern w:val="0"/>
                <w:sz w:val="28"/>
                <w:szCs w:val="28"/>
                <w:highlight w:val="none"/>
              </w:rPr>
            </w:pPr>
          </w:p>
        </w:tc>
        <w:tc>
          <w:tcPr>
            <w:tcW w:w="1985" w:type="dxa"/>
            <w:vMerge w:val="restart"/>
            <w:vAlign w:val="center"/>
          </w:tcPr>
          <w:p>
            <w:pPr>
              <w:snapToGrid w:val="0"/>
              <w:spacing w:before="156" w:line="520" w:lineRule="atLeast"/>
              <w:ind w:firstLine="0" w:firstLineChars="0"/>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网络安全危险</w:t>
            </w:r>
          </w:p>
        </w:tc>
        <w:tc>
          <w:tcPr>
            <w:tcW w:w="6041" w:type="dxa"/>
          </w:tcPr>
          <w:p>
            <w:pPr>
              <w:snapToGrid w:val="0"/>
              <w:spacing w:line="520" w:lineRule="atLeast"/>
              <w:ind w:firstLine="56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未经授权的人员查看和更改患者数据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pPr>
              <w:snapToGrid w:val="0"/>
              <w:spacing w:line="520" w:lineRule="atLeast"/>
              <w:ind w:firstLine="560"/>
              <w:rPr>
                <w:rFonts w:hint="eastAsia" w:ascii="仿宋_GB2312" w:hAnsi="仿宋_GB2312" w:eastAsia="仿宋_GB2312" w:cs="仿宋_GB2312"/>
                <w:color w:val="auto"/>
                <w:kern w:val="0"/>
                <w:sz w:val="28"/>
                <w:szCs w:val="28"/>
                <w:highlight w:val="none"/>
              </w:rPr>
            </w:pPr>
          </w:p>
        </w:tc>
        <w:tc>
          <w:tcPr>
            <w:tcW w:w="1985" w:type="dxa"/>
            <w:vMerge w:val="continue"/>
            <w:vAlign w:val="center"/>
          </w:tcPr>
          <w:p>
            <w:pPr>
              <w:snapToGrid w:val="0"/>
              <w:spacing w:line="520" w:lineRule="atLeast"/>
              <w:ind w:firstLine="560"/>
              <w:rPr>
                <w:rFonts w:hint="eastAsia" w:ascii="仿宋_GB2312" w:hAnsi="仿宋_GB2312" w:eastAsia="仿宋_GB2312" w:cs="仿宋_GB2312"/>
                <w:color w:val="auto"/>
                <w:kern w:val="0"/>
                <w:sz w:val="28"/>
                <w:szCs w:val="28"/>
                <w:highlight w:val="none"/>
              </w:rPr>
            </w:pPr>
          </w:p>
        </w:tc>
        <w:tc>
          <w:tcPr>
            <w:tcW w:w="6041" w:type="dxa"/>
          </w:tcPr>
          <w:p>
            <w:pPr>
              <w:snapToGrid w:val="0"/>
              <w:spacing w:line="520" w:lineRule="atLeast"/>
              <w:ind w:firstLine="56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数据交换时医疗器械相关数据未设计授权访问、修改、删除，无法保证数据的保密性、完整性和可得性</w:t>
            </w:r>
          </w:p>
        </w:tc>
      </w:tr>
    </w:tbl>
    <w:p>
      <w:pPr>
        <w:spacing w:line="520" w:lineRule="atLeast"/>
        <w:ind w:firstLine="640" w:firstLineChars="200"/>
        <w:rPr>
          <w:rFonts w:hint="eastAsia" w:eastAsia="仿宋_GB2312"/>
          <w:color w:val="auto"/>
          <w:kern w:val="0"/>
          <w:sz w:val="32"/>
          <w:szCs w:val="32"/>
          <w:highlight w:val="none"/>
        </w:rPr>
      </w:pPr>
    </w:p>
    <w:p>
      <w:pPr>
        <w:spacing w:line="520" w:lineRule="atLeast"/>
        <w:ind w:firstLine="640" w:firstLineChars="200"/>
        <w:rPr>
          <w:rFonts w:hint="default" w:eastAsia="仿宋_GB2312"/>
          <w:color w:val="auto"/>
          <w:spacing w:val="-1"/>
          <w:sz w:val="32"/>
          <w:szCs w:val="32"/>
          <w:lang w:val="en-US" w:eastAsia="zh-CN"/>
        </w:rPr>
      </w:pPr>
      <w:r>
        <w:rPr>
          <w:rFonts w:hint="eastAsia" w:eastAsia="仿宋_GB2312"/>
          <w:color w:val="auto"/>
          <w:kern w:val="0"/>
          <w:sz w:val="32"/>
          <w:szCs w:val="32"/>
          <w:highlight w:val="none"/>
        </w:rPr>
        <w:t>上表中所列风险未涵盖</w:t>
      </w:r>
      <w:r>
        <w:rPr>
          <w:rFonts w:hint="eastAsia" w:eastAsia="仿宋_GB2312"/>
          <w:color w:val="auto"/>
          <w:kern w:val="0"/>
          <w:sz w:val="32"/>
          <w:szCs w:val="32"/>
          <w:highlight w:val="none"/>
          <w:lang w:eastAsia="zh-CN"/>
        </w:rPr>
        <w:t>数字PCR分析仪</w:t>
      </w:r>
      <w:r>
        <w:rPr>
          <w:rFonts w:hint="eastAsia" w:eastAsia="仿宋_GB2312"/>
          <w:color w:val="auto"/>
          <w:kern w:val="0"/>
          <w:sz w:val="32"/>
          <w:szCs w:val="32"/>
          <w:highlight w:val="none"/>
        </w:rPr>
        <w:t>可能涉及的所有风险，仅为举例说明，其他未提及风险请申请人自行完善。</w:t>
      </w:r>
    </w:p>
    <w:p>
      <w:pPr>
        <w:keepNext w:val="0"/>
        <w:keepLines w:val="0"/>
        <w:pageBreakBefore w:val="0"/>
        <w:widowControl w:val="0"/>
        <w:kinsoku/>
        <w:wordWrap/>
        <w:overflowPunct/>
        <w:topLinePunct w:val="0"/>
        <w:autoSpaceDE/>
        <w:autoSpaceDN/>
        <w:bidi w:val="0"/>
        <w:adjustRightInd/>
        <w:snapToGrid/>
        <w:spacing w:line="520" w:lineRule="atLeast"/>
        <w:ind w:right="-67" w:rightChars="-32" w:firstLine="636" w:firstLineChars="200"/>
        <w:textAlignment w:val="auto"/>
        <w:rPr>
          <w:rFonts w:hint="eastAsia" w:eastAsia="仿宋_GB2312"/>
          <w:color w:val="auto"/>
          <w:spacing w:val="-1"/>
          <w:sz w:val="32"/>
          <w:szCs w:val="32"/>
          <w:lang w:val="en-US" w:eastAsia="zh-CN"/>
        </w:rPr>
      </w:pPr>
      <w:r>
        <w:rPr>
          <w:rFonts w:hint="eastAsia" w:eastAsia="仿宋_GB2312"/>
          <w:color w:val="auto"/>
          <w:spacing w:val="-1"/>
          <w:sz w:val="32"/>
          <w:szCs w:val="32"/>
          <w:lang w:val="en-US" w:eastAsia="zh-CN"/>
        </w:rPr>
        <w:t xml:space="preserve">2. </w:t>
      </w:r>
      <w:r>
        <w:rPr>
          <w:rFonts w:ascii="Times New Roman" w:hAnsi="Times New Roman" w:eastAsia="仿宋_GB2312"/>
          <w:color w:val="auto"/>
          <w:spacing w:val="-1"/>
          <w:sz w:val="32"/>
          <w:szCs w:val="32"/>
        </w:rPr>
        <w:t>产品技术要求</w:t>
      </w:r>
      <w:r>
        <w:rPr>
          <w:rFonts w:hint="eastAsia" w:eastAsia="仿宋_GB2312"/>
          <w:color w:val="auto"/>
          <w:spacing w:val="-1"/>
          <w:sz w:val="32"/>
          <w:szCs w:val="32"/>
          <w:lang w:val="en-US" w:eastAsia="zh-CN"/>
        </w:rPr>
        <w:t>及检验报告</w:t>
      </w:r>
    </w:p>
    <w:p>
      <w:pPr>
        <w:keepNext w:val="0"/>
        <w:keepLines w:val="0"/>
        <w:pageBreakBefore w:val="0"/>
        <w:widowControl w:val="0"/>
        <w:kinsoku/>
        <w:wordWrap/>
        <w:overflowPunct/>
        <w:topLinePunct w:val="0"/>
        <w:autoSpaceDE/>
        <w:autoSpaceDN/>
        <w:bidi w:val="0"/>
        <w:adjustRightInd/>
        <w:snapToGrid/>
        <w:spacing w:line="520" w:lineRule="atLeast"/>
        <w:ind w:right="-67" w:rightChars="-32" w:firstLine="636" w:firstLineChars="200"/>
        <w:textAlignment w:val="auto"/>
        <w:rPr>
          <w:rFonts w:hint="default" w:eastAsia="仿宋_GB2312"/>
          <w:color w:val="auto"/>
          <w:spacing w:val="-1"/>
          <w:sz w:val="32"/>
          <w:szCs w:val="32"/>
          <w:lang w:val="en-US" w:eastAsia="zh-CN"/>
        </w:rPr>
      </w:pPr>
      <w:r>
        <w:rPr>
          <w:rFonts w:hint="eastAsia" w:eastAsia="仿宋_GB2312"/>
          <w:color w:val="auto"/>
          <w:spacing w:val="-1"/>
          <w:sz w:val="32"/>
          <w:szCs w:val="32"/>
          <w:lang w:val="en-US" w:eastAsia="zh-CN"/>
        </w:rPr>
        <w:t>2.1 产品技术要求</w:t>
      </w:r>
    </w:p>
    <w:p>
      <w:pPr>
        <w:keepNext w:val="0"/>
        <w:keepLines w:val="0"/>
        <w:pageBreakBefore w:val="0"/>
        <w:widowControl w:val="0"/>
        <w:kinsoku/>
        <w:wordWrap/>
        <w:overflowPunct/>
        <w:topLinePunct w:val="0"/>
        <w:autoSpaceDE/>
        <w:autoSpaceDN/>
        <w:bidi w:val="0"/>
        <w:adjustRightInd/>
        <w:snapToGrid/>
        <w:spacing w:line="520" w:lineRule="atLeast"/>
        <w:ind w:right="-67" w:rightChars="-32" w:firstLine="640" w:firstLineChars="200"/>
        <w:textAlignment w:val="auto"/>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根据《医疗器械产品技术要求编写指导原则》的要求，</w:t>
      </w:r>
      <w:r>
        <w:rPr>
          <w:rFonts w:ascii="Times New Roman" w:hAnsi="Times New Roman" w:eastAsia="仿宋_GB2312"/>
          <w:color w:val="auto"/>
          <w:kern w:val="0"/>
          <w:sz w:val="32"/>
          <w:szCs w:val="32"/>
        </w:rPr>
        <w:t>产品技术要求的内容一般包括产品名称，型号、规格及其划分说明，性能指标，检验方法，术语（如适用）及附录。</w:t>
      </w:r>
    </w:p>
    <w:p>
      <w:pPr>
        <w:spacing w:line="520" w:lineRule="atLeast"/>
        <w:ind w:firstLine="640" w:firstLineChars="200"/>
        <w:rPr>
          <w:rFonts w:hint="eastAsia" w:ascii="Times New Roman" w:hAnsi="Times New Roman" w:eastAsia="仿宋_GB2312"/>
          <w:color w:val="auto"/>
          <w:kern w:val="0"/>
          <w:sz w:val="32"/>
          <w:szCs w:val="32"/>
          <w:lang w:val="en-US" w:eastAsia="zh-CN"/>
        </w:rPr>
      </w:pPr>
      <w:r>
        <w:rPr>
          <w:rFonts w:hint="eastAsia" w:eastAsia="仿宋_GB2312"/>
          <w:color w:val="auto"/>
          <w:kern w:val="0"/>
          <w:sz w:val="32"/>
          <w:szCs w:val="32"/>
          <w:lang w:val="en-US" w:eastAsia="zh-CN"/>
        </w:rPr>
        <w:t>2.1.1</w:t>
      </w:r>
      <w:r>
        <w:rPr>
          <w:rFonts w:ascii="Times New Roman" w:hAnsi="Times New Roman" w:eastAsia="仿宋_GB2312"/>
          <w:color w:val="auto"/>
          <w:kern w:val="0"/>
          <w:sz w:val="32"/>
          <w:szCs w:val="32"/>
        </w:rPr>
        <w:t>型号、规格</w:t>
      </w:r>
      <w:r>
        <w:rPr>
          <w:rFonts w:hint="eastAsia" w:eastAsia="仿宋_GB2312"/>
          <w:color w:val="auto"/>
          <w:kern w:val="0"/>
          <w:sz w:val="32"/>
          <w:szCs w:val="32"/>
          <w:lang w:val="en-US" w:eastAsia="zh-CN"/>
        </w:rPr>
        <w:t>及其划分说明</w:t>
      </w:r>
    </w:p>
    <w:p>
      <w:pPr>
        <w:spacing w:line="520" w:lineRule="atLeast"/>
        <w:ind w:firstLine="640" w:firstLineChars="200"/>
        <w:rPr>
          <w:rFonts w:hint="eastAsia" w:eastAsia="仿宋_GB2312"/>
          <w:color w:val="auto"/>
          <w:kern w:val="0"/>
          <w:sz w:val="32"/>
          <w:szCs w:val="32"/>
          <w:lang w:val="en-US" w:eastAsia="zh-CN"/>
        </w:rPr>
      </w:pPr>
      <w:r>
        <w:rPr>
          <w:rFonts w:ascii="Times New Roman" w:hAnsi="Times New Roman" w:eastAsia="仿宋_GB2312"/>
          <w:color w:val="auto"/>
          <w:kern w:val="0"/>
          <w:sz w:val="32"/>
          <w:szCs w:val="32"/>
        </w:rPr>
        <w:t>产品技术要求中应明确产品型号、规格。对同一注册单元中存在多种型号、规格的产品，应明确不同型号、规格的划分说明（推荐采用图示和/或表格的方式）</w:t>
      </w:r>
      <w:r>
        <w:rPr>
          <w:rFonts w:hint="eastAsia" w:eastAsia="仿宋_GB2312"/>
          <w:color w:val="auto"/>
          <w:kern w:val="0"/>
          <w:sz w:val="32"/>
          <w:szCs w:val="32"/>
          <w:lang w:eastAsia="zh-CN"/>
        </w:rPr>
        <w:t>。</w:t>
      </w:r>
      <w:r>
        <w:rPr>
          <w:rFonts w:hint="eastAsia" w:eastAsia="仿宋_GB2312"/>
          <w:color w:val="auto"/>
          <w:kern w:val="0"/>
          <w:sz w:val="32"/>
          <w:szCs w:val="32"/>
          <w:highlight w:val="none"/>
          <w:lang w:val="en-US" w:eastAsia="zh-CN"/>
        </w:rPr>
        <w:t>选配件的有无、配置/设置不同的情况，可以考虑划分为不同的规格。</w:t>
      </w:r>
    </w:p>
    <w:p>
      <w:pPr>
        <w:spacing w:line="520" w:lineRule="atLeast"/>
        <w:ind w:firstLine="640" w:firstLineChars="200"/>
        <w:rPr>
          <w:rFonts w:hint="default" w:eastAsia="仿宋_GB2312"/>
          <w:color w:val="auto"/>
          <w:sz w:val="32"/>
          <w:szCs w:val="32"/>
          <w:lang w:val="en-US" w:eastAsia="zh-CN"/>
        </w:rPr>
      </w:pPr>
      <w:r>
        <w:rPr>
          <w:rFonts w:hint="eastAsia" w:eastAsia="仿宋_GB2312"/>
          <w:color w:val="auto"/>
          <w:sz w:val="32"/>
          <w:szCs w:val="32"/>
          <w:lang w:val="en-US" w:eastAsia="zh-CN"/>
        </w:rPr>
        <w:t>明确数字PCR分析仪的基本性能参数，如样本/反应通量、上样体积、激发光源、荧光通道/多靶标检测能力等。明确配合使用芯片的型号、规格、材料、尺寸和结构。</w:t>
      </w:r>
    </w:p>
    <w:p>
      <w:pPr>
        <w:spacing w:line="520" w:lineRule="atLeas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明确软件</w:t>
      </w:r>
      <w:r>
        <w:rPr>
          <w:rFonts w:hint="eastAsia" w:eastAsia="仿宋_GB2312"/>
          <w:color w:val="auto"/>
          <w:sz w:val="32"/>
          <w:szCs w:val="32"/>
          <w:lang w:val="en-US" w:eastAsia="zh-CN"/>
        </w:rPr>
        <w:t>名称、</w:t>
      </w:r>
      <w:r>
        <w:rPr>
          <w:rFonts w:ascii="Times New Roman" w:hAnsi="Times New Roman" w:eastAsia="仿宋_GB2312"/>
          <w:color w:val="auto"/>
          <w:sz w:val="32"/>
          <w:szCs w:val="32"/>
        </w:rPr>
        <w:t>发布版本和软件完整版本命名规则</w:t>
      </w:r>
      <w:r>
        <w:rPr>
          <w:rFonts w:hint="eastAsia" w:eastAsia="仿宋_GB2312"/>
          <w:color w:val="auto"/>
          <w:sz w:val="32"/>
          <w:szCs w:val="32"/>
          <w:lang w:eastAsia="zh-CN"/>
        </w:rPr>
        <w:t>，</w:t>
      </w:r>
      <w:r>
        <w:rPr>
          <w:rFonts w:hint="eastAsia" w:eastAsia="仿宋_GB2312"/>
          <w:color w:val="auto"/>
          <w:sz w:val="32"/>
          <w:szCs w:val="32"/>
          <w:lang w:val="en-US" w:eastAsia="zh-CN"/>
        </w:rPr>
        <w:t>含有多个</w:t>
      </w:r>
      <w:r>
        <w:rPr>
          <w:rFonts w:hint="eastAsia" w:eastAsia="仿宋_GB2312"/>
          <w:color w:val="auto"/>
          <w:sz w:val="32"/>
          <w:szCs w:val="32"/>
          <w:lang w:eastAsia="zh-CN"/>
        </w:rPr>
        <w:t>软件</w:t>
      </w:r>
      <w:r>
        <w:rPr>
          <w:rFonts w:hint="eastAsia" w:eastAsia="仿宋_GB2312"/>
          <w:color w:val="auto"/>
          <w:sz w:val="32"/>
          <w:szCs w:val="32"/>
          <w:lang w:val="en-US" w:eastAsia="zh-CN"/>
        </w:rPr>
        <w:t>组成</w:t>
      </w:r>
      <w:r>
        <w:rPr>
          <w:rFonts w:hint="eastAsia" w:eastAsia="仿宋_GB2312"/>
          <w:color w:val="auto"/>
          <w:sz w:val="32"/>
          <w:szCs w:val="32"/>
          <w:lang w:eastAsia="zh-CN"/>
        </w:rPr>
        <w:t>模块</w:t>
      </w:r>
      <w:r>
        <w:rPr>
          <w:rFonts w:hint="eastAsia" w:eastAsia="仿宋_GB2312"/>
          <w:color w:val="auto"/>
          <w:sz w:val="32"/>
          <w:szCs w:val="32"/>
          <w:lang w:val="en-US" w:eastAsia="zh-CN"/>
        </w:rPr>
        <w:t>的，各模块</w:t>
      </w:r>
      <w:r>
        <w:rPr>
          <w:rFonts w:hint="eastAsia" w:eastAsia="仿宋_GB2312"/>
          <w:color w:val="auto"/>
          <w:sz w:val="32"/>
          <w:szCs w:val="32"/>
          <w:lang w:eastAsia="zh-CN"/>
        </w:rPr>
        <w:t>若有单独的</w:t>
      </w:r>
      <w:r>
        <w:rPr>
          <w:rFonts w:hint="eastAsia" w:eastAsia="仿宋_GB2312"/>
          <w:color w:val="auto"/>
          <w:sz w:val="32"/>
          <w:szCs w:val="32"/>
          <w:lang w:val="en-US" w:eastAsia="zh-CN"/>
        </w:rPr>
        <w:t>软件</w:t>
      </w:r>
      <w:r>
        <w:rPr>
          <w:rFonts w:hint="eastAsia" w:eastAsia="仿宋_GB2312"/>
          <w:color w:val="auto"/>
          <w:sz w:val="32"/>
          <w:szCs w:val="32"/>
          <w:lang w:eastAsia="zh-CN"/>
        </w:rPr>
        <w:t>版本、版本命名规则均需说明。</w:t>
      </w:r>
    </w:p>
    <w:p>
      <w:pPr>
        <w:spacing w:line="520" w:lineRule="atLeast"/>
        <w:ind w:firstLine="640"/>
        <w:rPr>
          <w:rFonts w:hint="eastAsia" w:ascii="Times New Roman" w:hAnsi="Times New Roman" w:eastAsia="仿宋_GB2312"/>
          <w:color w:val="auto"/>
          <w:kern w:val="0"/>
          <w:sz w:val="32"/>
          <w:szCs w:val="32"/>
          <w:lang w:eastAsia="zh-CN"/>
        </w:rPr>
      </w:pPr>
      <w:r>
        <w:rPr>
          <w:rFonts w:hint="eastAsia" w:eastAsia="仿宋_GB2312"/>
          <w:color w:val="auto"/>
          <w:kern w:val="0"/>
          <w:sz w:val="32"/>
          <w:szCs w:val="32"/>
          <w:lang w:val="en-US" w:eastAsia="zh-CN"/>
        </w:rPr>
        <w:t>2.1.2</w:t>
      </w:r>
      <w:r>
        <w:rPr>
          <w:rFonts w:ascii="Times New Roman" w:hAnsi="Times New Roman" w:eastAsia="仿宋_GB2312"/>
          <w:color w:val="auto"/>
          <w:kern w:val="0"/>
          <w:sz w:val="32"/>
          <w:szCs w:val="32"/>
        </w:rPr>
        <w:t>性能指标</w:t>
      </w:r>
    </w:p>
    <w:p>
      <w:pPr>
        <w:pStyle w:val="2"/>
        <w:spacing w:line="520" w:lineRule="atLeast"/>
        <w:ind w:firstLine="640" w:firstLineChars="200"/>
        <w:jc w:val="both"/>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性能指标是指可进行客观判定的成品的功能性、安全性指标。应明确产品技术要求中各指标的确定依据、采用的标准或检验方法、采用的原因及理论基础。</w:t>
      </w:r>
    </w:p>
    <w:p>
      <w:pPr>
        <w:spacing w:line="520" w:lineRule="atLeast"/>
        <w:ind w:firstLine="640"/>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性能指标的制定应参考相关国家标准/行业标准并结合具体产品的设计特性、预期用途和质量控制水平且不应低于产品适用的强制性国家标准/行业标准要求</w:t>
      </w:r>
      <w:r>
        <w:rPr>
          <w:rFonts w:hint="eastAsia" w:ascii="Times New Roman" w:hAnsi="Times New Roman" w:eastAsia="仿宋_GB2312"/>
          <w:color w:val="auto"/>
          <w:kern w:val="0"/>
          <w:sz w:val="32"/>
          <w:szCs w:val="32"/>
          <w:lang w:eastAsia="zh-CN"/>
        </w:rPr>
        <w:t>。</w:t>
      </w:r>
      <w:r>
        <w:rPr>
          <w:rFonts w:hint="eastAsia" w:eastAsia="仿宋_GB2312"/>
          <w:color w:val="auto"/>
          <w:kern w:val="0"/>
          <w:sz w:val="32"/>
          <w:szCs w:val="32"/>
          <w:lang w:val="en-US" w:eastAsia="zh-CN"/>
        </w:rPr>
        <w:t>数字PCR分析仪</w:t>
      </w:r>
      <w:r>
        <w:rPr>
          <w:rFonts w:hint="eastAsia" w:ascii="Times New Roman" w:hAnsi="Times New Roman" w:eastAsia="仿宋_GB2312"/>
          <w:color w:val="auto"/>
          <w:kern w:val="0"/>
          <w:sz w:val="32"/>
          <w:szCs w:val="32"/>
          <w:lang w:val="en-US" w:eastAsia="zh-CN"/>
        </w:rPr>
        <w:t>适用标准</w:t>
      </w:r>
      <w:r>
        <w:rPr>
          <w:rFonts w:hint="eastAsia" w:ascii="Times New Roman" w:hAnsi="Times New Roman" w:eastAsia="仿宋_GB2312" w:cs="Times New Roman"/>
          <w:b w:val="0"/>
          <w:bCs w:val="0"/>
          <w:color w:val="auto"/>
          <w:kern w:val="0"/>
          <w:sz w:val="32"/>
          <w:szCs w:val="32"/>
          <w:lang w:val="en-US" w:eastAsia="zh-CN" w:bidi="ar-SA"/>
        </w:rPr>
        <w:t>YY/T</w:t>
      </w:r>
      <w:r>
        <w:rPr>
          <w:rFonts w:hint="eastAsia" w:eastAsia="仿宋_GB2312" w:cs="Times New Roman"/>
          <w:b w:val="0"/>
          <w:bCs w:val="0"/>
          <w:color w:val="auto"/>
          <w:kern w:val="0"/>
          <w:sz w:val="32"/>
          <w:szCs w:val="32"/>
          <w:lang w:val="en-US" w:eastAsia="zh-CN" w:bidi="ar-SA"/>
        </w:rPr>
        <w:t>1918</w:t>
      </w:r>
      <w:r>
        <w:rPr>
          <w:rFonts w:hint="eastAsia" w:ascii="Times New Roman" w:hAnsi="Times New Roman" w:eastAsia="仿宋_GB2312" w:cs="Times New Roman"/>
          <w:b w:val="0"/>
          <w:bCs w:val="0"/>
          <w:color w:val="auto"/>
          <w:kern w:val="0"/>
          <w:sz w:val="32"/>
          <w:szCs w:val="32"/>
          <w:lang w:val="en-US" w:eastAsia="zh-CN" w:bidi="ar-SA"/>
        </w:rPr>
        <w:t>数字聚合酶链反应分析系统</w:t>
      </w:r>
      <w:r>
        <w:rPr>
          <w:rFonts w:hint="eastAsia" w:ascii="Times New Roman" w:hAnsi="Times New Roman" w:eastAsia="仿宋_GB2312"/>
          <w:color w:val="auto"/>
          <w:kern w:val="0"/>
          <w:sz w:val="32"/>
          <w:szCs w:val="32"/>
          <w:lang w:eastAsia="zh-CN"/>
        </w:rPr>
        <w:t>，</w:t>
      </w:r>
      <w:r>
        <w:rPr>
          <w:rFonts w:ascii="Times New Roman" w:hAnsi="Times New Roman" w:eastAsia="仿宋_GB2312"/>
          <w:color w:val="auto"/>
          <w:kern w:val="0"/>
          <w:sz w:val="32"/>
          <w:szCs w:val="32"/>
        </w:rPr>
        <w:t>产品</w:t>
      </w:r>
      <w:r>
        <w:rPr>
          <w:rFonts w:hint="eastAsia" w:eastAsia="仿宋_GB2312"/>
          <w:color w:val="auto"/>
          <w:kern w:val="0"/>
          <w:sz w:val="32"/>
          <w:szCs w:val="32"/>
          <w:lang w:val="en-US" w:eastAsia="zh-CN"/>
        </w:rPr>
        <w:t>功能性指标</w:t>
      </w:r>
      <w:r>
        <w:rPr>
          <w:rFonts w:ascii="Times New Roman" w:hAnsi="Times New Roman" w:eastAsia="仿宋_GB2312"/>
          <w:color w:val="auto"/>
          <w:kern w:val="0"/>
          <w:sz w:val="32"/>
          <w:szCs w:val="32"/>
        </w:rPr>
        <w:t>要求至少</w:t>
      </w:r>
      <w:r>
        <w:rPr>
          <w:rFonts w:hint="eastAsia" w:ascii="Times New Roman" w:hAnsi="Times New Roman" w:eastAsia="仿宋_GB2312"/>
          <w:color w:val="auto"/>
          <w:kern w:val="0"/>
          <w:sz w:val="32"/>
          <w:szCs w:val="32"/>
          <w:lang w:val="en-US" w:eastAsia="zh-CN"/>
        </w:rPr>
        <w:t>应</w:t>
      </w:r>
      <w:r>
        <w:rPr>
          <w:rFonts w:ascii="Times New Roman" w:hAnsi="Times New Roman" w:eastAsia="仿宋_GB2312"/>
          <w:color w:val="auto"/>
          <w:kern w:val="0"/>
          <w:sz w:val="32"/>
          <w:szCs w:val="32"/>
        </w:rPr>
        <w:t>包括</w:t>
      </w:r>
      <w:r>
        <w:rPr>
          <w:rFonts w:hint="eastAsia" w:eastAsia="仿宋_GB2312"/>
          <w:color w:val="auto"/>
          <w:kern w:val="0"/>
          <w:sz w:val="32"/>
          <w:szCs w:val="32"/>
          <w:lang w:val="en-US" w:eastAsia="zh-CN"/>
        </w:rPr>
        <w:t>反应单元均匀性（数量、体积）、温度控制（升降温控温精度、温度准确度、温度均匀性）、荧光强度重复性、荧光干扰、样本检测准确性、样本检测重复性、样本线性、荧光线性等</w:t>
      </w:r>
      <w:r>
        <w:rPr>
          <w:rFonts w:hint="eastAsia" w:ascii="Times New Roman" w:hAnsi="Times New Roman" w:eastAsia="仿宋_GB2312"/>
          <w:color w:val="auto"/>
          <w:kern w:val="0"/>
          <w:sz w:val="32"/>
          <w:szCs w:val="32"/>
          <w:lang w:val="en-US" w:eastAsia="zh-CN"/>
        </w:rPr>
        <w:t>。</w:t>
      </w:r>
      <w:r>
        <w:rPr>
          <w:rFonts w:ascii="Times New Roman" w:hAnsi="Times New Roman" w:eastAsia="仿宋_GB2312"/>
          <w:color w:val="auto"/>
          <w:kern w:val="0"/>
          <w:sz w:val="32"/>
          <w:szCs w:val="32"/>
        </w:rPr>
        <w:t>对于适用标准中的不适用项，应说明不适用条款的理由并提供依据。</w:t>
      </w:r>
    </w:p>
    <w:p>
      <w:pPr>
        <w:numPr>
          <w:ilvl w:val="0"/>
          <w:numId w:val="0"/>
        </w:numPr>
        <w:tabs>
          <w:tab w:val="left" w:pos="993"/>
        </w:tabs>
        <w:spacing w:line="520" w:lineRule="atLeast"/>
        <w:rPr>
          <w:rFonts w:hint="default" w:ascii="Times New Roman" w:hAnsi="Times New Roman" w:eastAsia="仿宋_GB2312"/>
          <w:color w:val="auto"/>
          <w:kern w:val="0"/>
          <w:sz w:val="32"/>
          <w:szCs w:val="32"/>
          <w:lang w:val="en-US" w:eastAsia="zh-CN"/>
        </w:rPr>
      </w:pPr>
      <w:r>
        <w:rPr>
          <w:rFonts w:hint="eastAsia" w:eastAsia="仿宋_GB2312"/>
          <w:color w:val="auto"/>
          <w:kern w:val="0"/>
          <w:sz w:val="32"/>
          <w:szCs w:val="32"/>
          <w:lang w:val="en-US" w:eastAsia="zh-CN"/>
        </w:rPr>
        <w:t xml:space="preserve">    安全性指标包括电气安全性能和电磁兼容性能，</w:t>
      </w:r>
      <w:r>
        <w:rPr>
          <w:rFonts w:hint="eastAsia" w:ascii="Times New Roman" w:hAnsi="Times New Roman" w:eastAsia="仿宋_GB2312"/>
          <w:color w:val="auto"/>
          <w:kern w:val="0"/>
          <w:sz w:val="32"/>
          <w:szCs w:val="32"/>
        </w:rPr>
        <w:t>电气安全性能</w:t>
      </w:r>
      <w:r>
        <w:rPr>
          <w:rFonts w:hint="eastAsia" w:ascii="Times New Roman" w:hAnsi="Times New Roman" w:eastAsia="仿宋_GB2312"/>
          <w:color w:val="auto"/>
          <w:kern w:val="0"/>
          <w:sz w:val="32"/>
          <w:szCs w:val="32"/>
          <w:highlight w:val="none"/>
        </w:rPr>
        <w:t>应符合</w:t>
      </w:r>
      <w:r>
        <w:rPr>
          <w:rFonts w:ascii="Times New Roman" w:hAnsi="Times New Roman" w:eastAsia="仿宋_GB2312"/>
          <w:color w:val="auto"/>
          <w:kern w:val="0"/>
          <w:sz w:val="32"/>
          <w:szCs w:val="32"/>
          <w:highlight w:val="none"/>
        </w:rPr>
        <w:t>GB 4793</w:t>
      </w:r>
      <w:r>
        <w:rPr>
          <w:rFonts w:hint="eastAsia" w:ascii="Times New Roman" w:hAnsi="Times New Roman" w:eastAsia="仿宋_GB2312"/>
          <w:color w:val="auto"/>
          <w:kern w:val="0"/>
          <w:sz w:val="32"/>
          <w:szCs w:val="32"/>
          <w:highlight w:val="none"/>
        </w:rPr>
        <w:t>的要求</w:t>
      </w:r>
      <w:r>
        <w:rPr>
          <w:rFonts w:hint="eastAsia" w:eastAsia="仿宋_GB2312"/>
          <w:color w:val="auto"/>
          <w:kern w:val="0"/>
          <w:sz w:val="32"/>
          <w:szCs w:val="32"/>
          <w:highlight w:val="none"/>
          <w:lang w:eastAsia="zh-CN"/>
        </w:rPr>
        <w:t>，</w:t>
      </w:r>
      <w:r>
        <w:rPr>
          <w:rFonts w:hint="eastAsia" w:eastAsia="仿宋_GB2312"/>
          <w:color w:val="auto"/>
          <w:kern w:val="0"/>
          <w:sz w:val="32"/>
          <w:szCs w:val="32"/>
          <w:highlight w:val="none"/>
          <w:lang w:val="en-US" w:eastAsia="zh-CN"/>
        </w:rPr>
        <w:t>建议符合GB/T42125.1、GB/T42125.2</w:t>
      </w:r>
      <w:r>
        <w:rPr>
          <w:rFonts w:hint="eastAsia" w:ascii="Times New Roman" w:hAnsi="Times New Roman" w:eastAsia="仿宋_GB2312"/>
          <w:color w:val="auto"/>
          <w:kern w:val="0"/>
          <w:sz w:val="32"/>
          <w:szCs w:val="32"/>
          <w:highlight w:val="none"/>
        </w:rPr>
        <w:t>、</w:t>
      </w:r>
      <w:r>
        <w:rPr>
          <w:rFonts w:ascii="Times New Roman" w:hAnsi="Times New Roman" w:eastAsia="仿宋_GB2312"/>
          <w:color w:val="auto"/>
          <w:kern w:val="0"/>
          <w:sz w:val="32"/>
          <w:szCs w:val="32"/>
          <w:highlight w:val="none"/>
        </w:rPr>
        <w:t>YY</w:t>
      </w:r>
      <w:r>
        <w:rPr>
          <w:rFonts w:hint="eastAsia" w:eastAsia="仿宋_GB2312"/>
          <w:color w:val="auto"/>
          <w:kern w:val="0"/>
          <w:sz w:val="32"/>
          <w:szCs w:val="32"/>
          <w:highlight w:val="none"/>
          <w:lang w:val="en-US" w:eastAsia="zh-CN"/>
        </w:rPr>
        <w:t>/T</w:t>
      </w:r>
      <w:r>
        <w:rPr>
          <w:rFonts w:ascii="Times New Roman" w:hAnsi="Times New Roman" w:eastAsia="仿宋_GB2312"/>
          <w:color w:val="auto"/>
          <w:kern w:val="0"/>
          <w:sz w:val="32"/>
          <w:szCs w:val="32"/>
          <w:highlight w:val="none"/>
        </w:rPr>
        <w:t xml:space="preserve"> 0648</w:t>
      </w:r>
      <w:r>
        <w:rPr>
          <w:rFonts w:hint="eastAsia" w:ascii="Times New Roman" w:hAnsi="Times New Roman" w:eastAsia="仿宋_GB2312"/>
          <w:color w:val="auto"/>
          <w:kern w:val="0"/>
          <w:sz w:val="32"/>
          <w:szCs w:val="32"/>
        </w:rPr>
        <w:t>的要求。电磁兼容性能应符合</w:t>
      </w:r>
      <w:r>
        <w:rPr>
          <w:rFonts w:ascii="Times New Roman" w:hAnsi="Times New Roman" w:eastAsia="仿宋_GB2312"/>
          <w:color w:val="auto"/>
          <w:kern w:val="0"/>
          <w:sz w:val="32"/>
          <w:szCs w:val="32"/>
        </w:rPr>
        <w:t>GB/T 18268.1</w:t>
      </w:r>
      <w:r>
        <w:rPr>
          <w:rFonts w:hint="eastAsia" w:ascii="Times New Roman" w:hAnsi="Times New Roman" w:eastAsia="仿宋_GB2312"/>
          <w:color w:val="auto"/>
          <w:kern w:val="0"/>
          <w:sz w:val="32"/>
          <w:szCs w:val="32"/>
        </w:rPr>
        <w:t>、</w:t>
      </w:r>
      <w:r>
        <w:rPr>
          <w:rFonts w:ascii="Times New Roman" w:hAnsi="Times New Roman" w:eastAsia="仿宋_GB2312"/>
          <w:color w:val="auto"/>
          <w:kern w:val="0"/>
          <w:sz w:val="32"/>
          <w:szCs w:val="32"/>
        </w:rPr>
        <w:t>GB/T 18268.26</w:t>
      </w:r>
      <w:r>
        <w:rPr>
          <w:rFonts w:hint="eastAsia" w:ascii="Times New Roman" w:hAnsi="Times New Roman" w:eastAsia="仿宋_GB2312"/>
          <w:color w:val="auto"/>
          <w:kern w:val="0"/>
          <w:sz w:val="32"/>
          <w:szCs w:val="32"/>
        </w:rPr>
        <w:t>的要求。</w:t>
      </w:r>
    </w:p>
    <w:p>
      <w:pPr>
        <w:numPr>
          <w:ilvl w:val="0"/>
          <w:numId w:val="0"/>
        </w:numPr>
        <w:tabs>
          <w:tab w:val="left" w:pos="993"/>
        </w:tabs>
        <w:spacing w:line="520" w:lineRule="atLeast"/>
        <w:rPr>
          <w:rFonts w:hint="eastAsia" w:eastAsia="仿宋_GB2312"/>
          <w:color w:val="auto"/>
          <w:kern w:val="0"/>
          <w:sz w:val="32"/>
          <w:szCs w:val="32"/>
          <w:lang w:eastAsia="zh-CN"/>
        </w:rPr>
      </w:pPr>
      <w:r>
        <w:rPr>
          <w:rFonts w:hint="eastAsia" w:eastAsia="仿宋_GB2312"/>
          <w:color w:val="auto"/>
          <w:kern w:val="0"/>
          <w:sz w:val="32"/>
          <w:szCs w:val="32"/>
          <w:lang w:val="en-US" w:eastAsia="zh-CN"/>
        </w:rPr>
        <w:t xml:space="preserve">    性能指标中还应明确软件</w:t>
      </w:r>
      <w:r>
        <w:rPr>
          <w:rFonts w:hint="eastAsia" w:ascii="Times New Roman" w:hAnsi="Times New Roman" w:eastAsia="仿宋_GB2312"/>
          <w:color w:val="auto"/>
          <w:kern w:val="0"/>
          <w:sz w:val="32"/>
          <w:szCs w:val="32"/>
        </w:rPr>
        <w:t>组件</w:t>
      </w:r>
      <w:r>
        <w:rPr>
          <w:rFonts w:hint="eastAsia" w:eastAsia="仿宋_GB2312"/>
          <w:color w:val="auto"/>
          <w:kern w:val="0"/>
          <w:sz w:val="32"/>
          <w:szCs w:val="32"/>
          <w:lang w:val="en-US" w:eastAsia="zh-CN"/>
        </w:rPr>
        <w:t>和网络安全的要求。</w:t>
      </w:r>
      <w:r>
        <w:rPr>
          <w:rFonts w:ascii="Times New Roman" w:hAnsi="Times New Roman" w:eastAsia="仿宋_GB2312" w:cs="Times New Roman"/>
          <w:color w:val="auto"/>
          <w:sz w:val="32"/>
          <w:szCs w:val="32"/>
        </w:rPr>
        <w:t>软件组件的性能指标包括功能、使用限制、接口、访问控制、运行环境、性能效率（若适用）等要求。其中，功能明确软件的全部核心功能（含安全功能）纲要，注明选装、自动功能，</w:t>
      </w:r>
      <w:r>
        <w:rPr>
          <w:rFonts w:hint="eastAsia" w:ascii="Times New Roman" w:hAnsi="Times New Roman" w:eastAsia="仿宋_GB2312" w:cs="Times New Roman"/>
          <w:color w:val="auto"/>
          <w:sz w:val="32"/>
          <w:szCs w:val="32"/>
        </w:rPr>
        <w:t>软件组件的功能可包含如样本信息设置、反应条件设置、荧光通道选择、数据处理分析、结果显示、用户管理等功能。</w:t>
      </w:r>
      <w:r>
        <w:rPr>
          <w:rFonts w:ascii="Times New Roman" w:hAnsi="Times New Roman" w:eastAsia="仿宋_GB2312" w:cs="Times New Roman"/>
          <w:color w:val="auto"/>
          <w:sz w:val="32"/>
          <w:szCs w:val="32"/>
        </w:rPr>
        <w:t>软件组件的性能指标要求具体参照《医疗器械软件注册审查指导原则》执行。</w:t>
      </w:r>
    </w:p>
    <w:p>
      <w:pPr>
        <w:spacing w:line="520" w:lineRule="atLeast"/>
        <w:ind w:firstLine="640"/>
        <w:rPr>
          <w:rFonts w:hint="default" w:ascii="Times New Roman" w:hAnsi="Times New Roman" w:eastAsia="仿宋_GB2312"/>
          <w:color w:val="auto"/>
          <w:kern w:val="0"/>
          <w:sz w:val="32"/>
          <w:szCs w:val="32"/>
          <w:lang w:val="en-US" w:eastAsia="zh-CN"/>
        </w:rPr>
      </w:pPr>
      <w:r>
        <w:rPr>
          <w:rFonts w:hint="eastAsia" w:eastAsia="仿宋_GB2312"/>
          <w:color w:val="auto"/>
          <w:kern w:val="0"/>
          <w:sz w:val="32"/>
          <w:szCs w:val="32"/>
          <w:lang w:val="en-US" w:eastAsia="zh-CN"/>
        </w:rPr>
        <w:t>2.1.3检验方法</w:t>
      </w:r>
    </w:p>
    <w:p>
      <w:pPr>
        <w:spacing w:line="520" w:lineRule="atLeast"/>
        <w:ind w:firstLine="640"/>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检验方法的制定应与相应的性能指标相适应</w:t>
      </w:r>
      <w:r>
        <w:rPr>
          <w:rFonts w:hint="eastAsia" w:eastAsia="仿宋_GB2312"/>
          <w:color w:val="auto"/>
          <w:kern w:val="0"/>
          <w:sz w:val="32"/>
          <w:szCs w:val="32"/>
          <w:lang w:eastAsia="zh-CN"/>
        </w:rPr>
        <w:t>，</w:t>
      </w:r>
      <w:r>
        <w:rPr>
          <w:rFonts w:ascii="Times New Roman" w:hAnsi="Times New Roman" w:eastAsia="仿宋_GB2312"/>
          <w:color w:val="auto"/>
          <w:kern w:val="0"/>
          <w:sz w:val="32"/>
          <w:szCs w:val="32"/>
        </w:rPr>
        <w:t>应优先考虑采用适用</w:t>
      </w:r>
      <w:r>
        <w:rPr>
          <w:rFonts w:hint="eastAsia" w:eastAsia="仿宋_GB2312"/>
          <w:color w:val="auto"/>
          <w:kern w:val="0"/>
          <w:sz w:val="32"/>
          <w:szCs w:val="32"/>
          <w:lang w:val="en-US" w:eastAsia="zh-CN"/>
        </w:rPr>
        <w:t>标准</w:t>
      </w:r>
      <w:r>
        <w:rPr>
          <w:rFonts w:ascii="Times New Roman" w:hAnsi="Times New Roman" w:eastAsia="仿宋_GB2312"/>
          <w:color w:val="auto"/>
          <w:kern w:val="0"/>
          <w:sz w:val="32"/>
          <w:szCs w:val="32"/>
        </w:rPr>
        <w:t>的检验方法，</w:t>
      </w:r>
      <w:r>
        <w:rPr>
          <w:rFonts w:hint="eastAsia" w:eastAsia="仿宋_GB2312"/>
          <w:color w:val="auto"/>
          <w:kern w:val="0"/>
          <w:sz w:val="32"/>
          <w:szCs w:val="32"/>
          <w:lang w:val="en-US" w:eastAsia="zh-CN"/>
        </w:rPr>
        <w:t>必要时</w:t>
      </w:r>
      <w:r>
        <w:rPr>
          <w:rFonts w:ascii="Times New Roman" w:hAnsi="Times New Roman" w:eastAsia="仿宋_GB2312"/>
          <w:color w:val="auto"/>
          <w:kern w:val="0"/>
          <w:sz w:val="32"/>
          <w:szCs w:val="32"/>
        </w:rPr>
        <w:t>进行方法学验证，并保证该方法具有可重现性和可操作性。</w:t>
      </w:r>
    </w:p>
    <w:p>
      <w:pPr>
        <w:spacing w:line="520" w:lineRule="atLeast"/>
        <w:ind w:firstLine="640"/>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检验方法中应明确说明</w:t>
      </w:r>
      <w:r>
        <w:rPr>
          <w:rFonts w:hint="eastAsia" w:eastAsia="仿宋_GB2312"/>
          <w:color w:val="auto"/>
          <w:kern w:val="0"/>
          <w:sz w:val="32"/>
          <w:szCs w:val="32"/>
          <w:lang w:val="en-US" w:eastAsia="zh-CN"/>
        </w:rPr>
        <w:t>被测物（如</w:t>
      </w:r>
      <w:r>
        <w:rPr>
          <w:rFonts w:ascii="Times New Roman" w:hAnsi="Times New Roman" w:eastAsia="仿宋_GB2312"/>
          <w:color w:val="auto"/>
          <w:kern w:val="0"/>
          <w:sz w:val="32"/>
          <w:szCs w:val="32"/>
        </w:rPr>
        <w:t>采用参考品/标准品、样本、</w:t>
      </w:r>
      <w:r>
        <w:rPr>
          <w:rFonts w:hint="eastAsia" w:eastAsia="仿宋_GB2312"/>
          <w:color w:val="auto"/>
          <w:kern w:val="0"/>
          <w:sz w:val="32"/>
          <w:szCs w:val="32"/>
          <w:lang w:val="en-US" w:eastAsia="zh-CN"/>
        </w:rPr>
        <w:t>标准荧光物质等）、浓度水平、</w:t>
      </w:r>
      <w:r>
        <w:rPr>
          <w:rFonts w:ascii="Times New Roman" w:hAnsi="Times New Roman" w:eastAsia="仿宋_GB2312"/>
          <w:color w:val="auto"/>
          <w:kern w:val="0"/>
          <w:sz w:val="32"/>
          <w:szCs w:val="32"/>
        </w:rPr>
        <w:t>试验次数、计算方法。</w:t>
      </w:r>
    </w:p>
    <w:p>
      <w:pPr>
        <w:spacing w:line="520" w:lineRule="atLeast"/>
        <w:ind w:firstLine="640"/>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2.1.4附录</w:t>
      </w:r>
    </w:p>
    <w:p>
      <w:pPr>
        <w:spacing w:line="520" w:lineRule="atLeast"/>
        <w:ind w:firstLine="640"/>
        <w:rPr>
          <w:rFonts w:hint="eastAsia"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附录为体外诊断及实验室设备基本安全特征，包括环境条件、设备的类别、电源、绝缘</w:t>
      </w:r>
      <w:r>
        <w:rPr>
          <w:rFonts w:hint="eastAsia" w:eastAsia="仿宋_GB2312"/>
          <w:color w:val="auto"/>
          <w:kern w:val="0"/>
          <w:sz w:val="32"/>
          <w:szCs w:val="32"/>
          <w:lang w:val="en-US" w:eastAsia="zh-CN"/>
        </w:rPr>
        <w:t>图和绝缘表</w:t>
      </w:r>
      <w:r>
        <w:rPr>
          <w:rFonts w:hint="eastAsia" w:ascii="Times New Roman" w:hAnsi="Times New Roman" w:eastAsia="仿宋_GB2312"/>
          <w:color w:val="auto"/>
          <w:kern w:val="0"/>
          <w:sz w:val="32"/>
          <w:szCs w:val="32"/>
        </w:rPr>
        <w:t>。</w:t>
      </w:r>
    </w:p>
    <w:p>
      <w:pPr>
        <w:spacing w:line="520" w:lineRule="atLeast"/>
        <w:ind w:firstLine="640"/>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2.2检验报告</w:t>
      </w:r>
    </w:p>
    <w:p>
      <w:pPr>
        <w:tabs>
          <w:tab w:val="left" w:pos="8040"/>
        </w:tabs>
        <w:spacing w:line="520" w:lineRule="atLeast"/>
        <w:ind w:firstLine="640" w:firstLineChars="200"/>
        <w:rPr>
          <w:rFonts w:hint="eastAsia" w:ascii="方正仿宋_GB2312" w:hAnsi="方正仿宋_GB2312" w:eastAsia="方正仿宋_GB2312" w:cs="方正仿宋_GB2312"/>
          <w:color w:val="auto"/>
          <w:kern w:val="0"/>
          <w:sz w:val="32"/>
          <w:szCs w:val="32"/>
          <w:highlight w:val="none"/>
        </w:rPr>
      </w:pPr>
      <w:r>
        <w:rPr>
          <w:rFonts w:hint="eastAsia" w:eastAsia="仿宋_GB2312"/>
          <w:color w:val="auto"/>
          <w:sz w:val="32"/>
          <w:szCs w:val="32"/>
        </w:rPr>
        <w:t>检验报告可以是申请人出具的自检报告，也可以是委托有资质的医疗器械检验机构出具的检验报告。如提交自检报告，应符合《医疗器械注册自检管理规定》相关要求。</w:t>
      </w:r>
    </w:p>
    <w:p>
      <w:pPr>
        <w:tabs>
          <w:tab w:val="left" w:pos="8040"/>
        </w:tabs>
        <w:spacing w:line="520" w:lineRule="atLeast"/>
        <w:ind w:firstLine="640" w:firstLineChars="200"/>
        <w:rPr>
          <w:rFonts w:hint="default" w:eastAsia="仿宋_GB2312"/>
          <w:color w:val="auto"/>
          <w:sz w:val="32"/>
          <w:szCs w:val="32"/>
          <w:lang w:val="en-US" w:eastAsia="zh-CN"/>
        </w:rPr>
      </w:pPr>
      <w:r>
        <w:rPr>
          <w:rFonts w:hint="eastAsia" w:eastAsia="仿宋_GB2312"/>
          <w:color w:val="auto"/>
          <w:sz w:val="32"/>
          <w:szCs w:val="32"/>
        </w:rPr>
        <w:t>同一注册单元内所检验的产品应当能够代表本注册单元内其他产品的安全性和有效性的典型产品。应考虑产品适用范围、性能指标、安全指标、结构组成等，选择功能最全、结构最复杂、风险最高的产品。</w:t>
      </w:r>
      <w:r>
        <w:rPr>
          <w:rFonts w:hint="eastAsia" w:eastAsia="仿宋_GB2312"/>
          <w:color w:val="auto"/>
          <w:sz w:val="32"/>
          <w:szCs w:val="32"/>
          <w:lang w:val="en-US" w:eastAsia="zh-CN"/>
        </w:rPr>
        <w:t>不同型号规格之间存在差异，典型型号的检验不能覆盖差异性的，应分别检验。</w:t>
      </w:r>
    </w:p>
    <w:p>
      <w:pPr>
        <w:numPr>
          <w:ilvl w:val="0"/>
          <w:numId w:val="0"/>
        </w:numPr>
        <w:spacing w:line="520" w:lineRule="atLeast"/>
        <w:rPr>
          <w:rFonts w:hint="default" w:eastAsia="仿宋_GB2312"/>
          <w:color w:val="auto"/>
          <w:kern w:val="0"/>
          <w:sz w:val="32"/>
          <w:szCs w:val="32"/>
          <w:lang w:val="en-US" w:eastAsia="zh-CN"/>
        </w:rPr>
      </w:pPr>
      <w:r>
        <w:rPr>
          <w:rFonts w:hint="eastAsia" w:eastAsia="仿宋_GB2312"/>
          <w:color w:val="auto"/>
          <w:kern w:val="0"/>
          <w:sz w:val="32"/>
          <w:szCs w:val="32"/>
          <w:lang w:val="en-US" w:eastAsia="zh-CN"/>
        </w:rPr>
        <w:t xml:space="preserve">    3.研究资料</w:t>
      </w:r>
    </w:p>
    <w:p>
      <w:pPr>
        <w:spacing w:line="520" w:lineRule="atLeast"/>
        <w:ind w:firstLine="640" w:firstLineChars="200"/>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根据申报产品适用范围和技术特征，提供非临床研究综述，逐项描述所开展的研究，概述研究方法和研究结论。</w:t>
      </w:r>
    </w:p>
    <w:p>
      <w:pPr>
        <w:spacing w:line="520" w:lineRule="atLeast"/>
        <w:ind w:firstLine="640" w:firstLineChars="200"/>
        <w:rPr>
          <w:rFonts w:ascii="Times New Roman" w:hAnsi="Times New Roman" w:eastAsia="仿宋_GB2312" w:cs="Times New Roman"/>
          <w:color w:val="auto"/>
          <w:sz w:val="32"/>
          <w:szCs w:val="32"/>
        </w:rPr>
      </w:pPr>
      <w:r>
        <w:rPr>
          <w:rFonts w:hint="eastAsia" w:eastAsia="仿宋_GB2312" w:cs="Times New Roman"/>
          <w:color w:val="auto"/>
          <w:sz w:val="32"/>
          <w:szCs w:val="32"/>
          <w:lang w:val="en-US" w:eastAsia="zh-CN"/>
        </w:rPr>
        <w:t>3.1产品性能</w:t>
      </w:r>
      <w:r>
        <w:rPr>
          <w:rFonts w:ascii="Times New Roman" w:hAnsi="Times New Roman" w:eastAsia="仿宋_GB2312" w:cs="Times New Roman"/>
          <w:color w:val="auto"/>
          <w:sz w:val="32"/>
          <w:szCs w:val="32"/>
        </w:rPr>
        <w:t>研究</w:t>
      </w:r>
    </w:p>
    <w:p>
      <w:pPr>
        <w:spacing w:line="520" w:lineRule="atLeast"/>
        <w:ind w:firstLine="640" w:firstLineChars="200"/>
        <w:rPr>
          <w:rFonts w:hint="eastAsia" w:eastAsia="仿宋_GB2312" w:cs="Times New Roman"/>
          <w:color w:val="auto"/>
          <w:sz w:val="32"/>
          <w:szCs w:val="32"/>
          <w:lang w:eastAsia="zh-CN"/>
        </w:rPr>
      </w:pPr>
      <w:r>
        <w:rPr>
          <w:rFonts w:hint="eastAsia" w:eastAsia="仿宋_GB2312" w:cs="Times New Roman"/>
          <w:color w:val="auto"/>
          <w:sz w:val="32"/>
          <w:szCs w:val="32"/>
          <w:lang w:val="en-US" w:eastAsia="zh-CN"/>
        </w:rPr>
        <w:t>主要描述</w:t>
      </w:r>
      <w:r>
        <w:rPr>
          <w:rFonts w:ascii="Times New Roman" w:hAnsi="Times New Roman" w:eastAsia="仿宋_GB2312" w:cs="Times New Roman"/>
          <w:color w:val="auto"/>
          <w:sz w:val="32"/>
          <w:szCs w:val="32"/>
        </w:rPr>
        <w:t>功能性指标、临床项目分析性能、安全性指标（如电气安全与电磁兼容）以及与质量控制相关的其他指标的确定</w:t>
      </w:r>
      <w:r>
        <w:rPr>
          <w:rFonts w:hint="eastAsia" w:eastAsia="仿宋_GB2312" w:cs="Times New Roman"/>
          <w:color w:val="auto"/>
          <w:sz w:val="32"/>
          <w:szCs w:val="32"/>
          <w:lang w:val="en-US" w:eastAsia="zh-CN"/>
        </w:rPr>
        <w:t>和验证研究</w:t>
      </w:r>
      <w:r>
        <w:rPr>
          <w:rFonts w:hint="eastAsia" w:eastAsia="仿宋_GB2312" w:cs="Times New Roman"/>
          <w:color w:val="auto"/>
          <w:sz w:val="32"/>
          <w:szCs w:val="32"/>
          <w:lang w:eastAsia="zh-CN"/>
        </w:rPr>
        <w:t>。</w:t>
      </w:r>
    </w:p>
    <w:p>
      <w:pPr>
        <w:spacing w:line="520" w:lineRule="atLeast"/>
        <w:ind w:firstLine="640" w:firstLineChars="200"/>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3.1.1功能性指标研究资料</w:t>
      </w:r>
    </w:p>
    <w:p>
      <w:pPr>
        <w:spacing w:line="520" w:lineRule="atLeast"/>
        <w:ind w:firstLine="640"/>
        <w:rPr>
          <w:rFonts w:hint="eastAsia" w:ascii="Times New Roman" w:hAnsi="Times New Roman" w:eastAsia="仿宋_GB2312"/>
          <w:color w:val="auto"/>
          <w:kern w:val="0"/>
          <w:sz w:val="32"/>
          <w:szCs w:val="32"/>
        </w:rPr>
      </w:pPr>
      <w:r>
        <w:rPr>
          <w:rFonts w:ascii="Times New Roman" w:hAnsi="Times New Roman" w:eastAsia="仿宋_GB2312" w:cs="Times New Roman"/>
          <w:color w:val="auto"/>
          <w:sz w:val="32"/>
          <w:szCs w:val="32"/>
        </w:rPr>
        <w:t>应根据综述资料中有关申报产品结构组成和各主要组成装置的情况，提供</w:t>
      </w:r>
      <w:r>
        <w:rPr>
          <w:rFonts w:ascii="Times New Roman" w:hAnsi="Times New Roman" w:eastAsia="仿宋_GB2312" w:cs="Times New Roman"/>
          <w:color w:val="auto"/>
          <w:kern w:val="0"/>
          <w:sz w:val="32"/>
          <w:szCs w:val="32"/>
        </w:rPr>
        <w:t>申请人设计开发过程中对各模块/部件设计输入输出的</w:t>
      </w:r>
      <w:r>
        <w:rPr>
          <w:rFonts w:ascii="Times New Roman" w:hAnsi="Times New Roman" w:eastAsia="仿宋_GB2312" w:cs="Times New Roman"/>
          <w:color w:val="auto"/>
          <w:sz w:val="32"/>
          <w:szCs w:val="32"/>
        </w:rPr>
        <w:t>详细的研究资料，明确产品功能性指标的评价方式。</w:t>
      </w:r>
    </w:p>
    <w:p>
      <w:pPr>
        <w:numPr>
          <w:ilvl w:val="0"/>
          <w:numId w:val="0"/>
        </w:numPr>
        <w:spacing w:line="520" w:lineRule="atLeast"/>
        <w:ind w:firstLine="640"/>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3.1.1.1反应单元制备模块研究</w:t>
      </w:r>
    </w:p>
    <w:p>
      <w:pPr>
        <w:numPr>
          <w:ilvl w:val="0"/>
          <w:numId w:val="0"/>
        </w:numPr>
        <w:spacing w:line="520" w:lineRule="atLeast"/>
        <w:ind w:firstLine="640"/>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对微孔式数字PCR分析仪，应提供芯片相关性能研究，如微孔尺寸均一性，材料稳定性、分区数量、</w:t>
      </w:r>
      <w:r>
        <w:rPr>
          <w:rFonts w:hint="eastAsia" w:eastAsia="仿宋_GB2312"/>
          <w:color w:val="auto"/>
          <w:kern w:val="0"/>
          <w:sz w:val="32"/>
          <w:szCs w:val="32"/>
          <w:highlight w:val="none"/>
          <w:lang w:val="en-US" w:eastAsia="zh-CN"/>
        </w:rPr>
        <w:t>芯片密封性</w:t>
      </w:r>
      <w:r>
        <w:rPr>
          <w:rFonts w:hint="eastAsia" w:eastAsia="仿宋_GB2312"/>
          <w:color w:val="auto"/>
          <w:kern w:val="0"/>
          <w:sz w:val="32"/>
          <w:szCs w:val="32"/>
          <w:lang w:val="en-US" w:eastAsia="zh-CN"/>
        </w:rPr>
        <w:t>等性能的研究；提供上样过程中液相的流速、气泡/杂质的干扰研究等。</w:t>
      </w:r>
    </w:p>
    <w:p>
      <w:pPr>
        <w:numPr>
          <w:ilvl w:val="0"/>
          <w:numId w:val="0"/>
        </w:numPr>
        <w:spacing w:line="520" w:lineRule="atLeast"/>
        <w:ind w:firstLine="640"/>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对微滴式数字PCR分析仪，应提供微滴生成模块的性能研究，如液滴数、</w:t>
      </w:r>
      <w:r>
        <w:rPr>
          <w:rFonts w:hint="eastAsia" w:eastAsia="仿宋_GB2312"/>
          <w:color w:val="auto"/>
          <w:kern w:val="0"/>
          <w:sz w:val="32"/>
          <w:szCs w:val="32"/>
          <w:highlight w:val="none"/>
          <w:lang w:val="en-US" w:eastAsia="zh-CN"/>
        </w:rPr>
        <w:t>液滴体积</w:t>
      </w:r>
      <w:r>
        <w:rPr>
          <w:rFonts w:hint="eastAsia" w:eastAsia="仿宋_GB2312"/>
          <w:color w:val="auto"/>
          <w:kern w:val="0"/>
          <w:sz w:val="32"/>
          <w:szCs w:val="32"/>
          <w:lang w:val="en-US" w:eastAsia="zh-CN"/>
        </w:rPr>
        <w:t>、液滴均一性、液滴</w:t>
      </w:r>
      <w:r>
        <w:rPr>
          <w:rFonts w:hint="eastAsia" w:eastAsia="仿宋_GB2312"/>
          <w:color w:val="auto"/>
          <w:kern w:val="0"/>
          <w:sz w:val="36"/>
          <w:szCs w:val="36"/>
          <w:lang w:val="en-US" w:eastAsia="zh-CN"/>
        </w:rPr>
        <w:t>生成效率/生成时间</w:t>
      </w:r>
      <w:r>
        <w:rPr>
          <w:rFonts w:hint="eastAsia" w:eastAsia="仿宋_GB2312"/>
          <w:color w:val="auto"/>
          <w:kern w:val="0"/>
          <w:sz w:val="32"/>
          <w:szCs w:val="32"/>
          <w:lang w:val="en-US" w:eastAsia="zh-CN"/>
        </w:rPr>
        <w:t>、乳液总体积、油水相试剂的生物兼容性、液滴稳定性、振动幅度等性能的研究。</w:t>
      </w:r>
    </w:p>
    <w:p>
      <w:pPr>
        <w:spacing w:line="520" w:lineRule="atLeast"/>
        <w:ind w:firstLine="640"/>
        <w:rPr>
          <w:rFonts w:hint="default" w:eastAsia="仿宋_GB2312"/>
          <w:color w:val="auto"/>
          <w:kern w:val="0"/>
          <w:sz w:val="32"/>
          <w:szCs w:val="32"/>
          <w:lang w:val="en-US" w:eastAsia="zh-CN"/>
        </w:rPr>
      </w:pPr>
      <w:r>
        <w:rPr>
          <w:rFonts w:hint="eastAsia" w:eastAsia="仿宋_GB2312"/>
          <w:color w:val="auto"/>
          <w:kern w:val="0"/>
          <w:sz w:val="32"/>
          <w:szCs w:val="32"/>
          <w:lang w:val="en-US" w:eastAsia="zh-CN"/>
        </w:rPr>
        <w:t>3.1.1.2 PCR扩增（</w:t>
      </w:r>
      <w:r>
        <w:rPr>
          <w:rFonts w:hint="eastAsia" w:ascii="Times New Roman" w:hAnsi="Times New Roman" w:eastAsia="仿宋_GB2312"/>
          <w:color w:val="auto"/>
          <w:kern w:val="0"/>
          <w:sz w:val="32"/>
          <w:szCs w:val="32"/>
        </w:rPr>
        <w:t>温控</w:t>
      </w:r>
      <w:r>
        <w:rPr>
          <w:rFonts w:hint="eastAsia" w:eastAsia="仿宋_GB2312"/>
          <w:color w:val="auto"/>
          <w:kern w:val="0"/>
          <w:sz w:val="32"/>
          <w:szCs w:val="32"/>
          <w:lang w:eastAsia="zh-CN"/>
        </w:rPr>
        <w:t>）</w:t>
      </w:r>
      <w:r>
        <w:rPr>
          <w:rFonts w:hint="eastAsia" w:ascii="Times New Roman" w:hAnsi="Times New Roman" w:eastAsia="仿宋_GB2312"/>
          <w:color w:val="auto"/>
          <w:kern w:val="0"/>
          <w:sz w:val="32"/>
          <w:szCs w:val="32"/>
        </w:rPr>
        <w:t>模块</w:t>
      </w:r>
      <w:r>
        <w:rPr>
          <w:rFonts w:hint="eastAsia" w:eastAsia="仿宋_GB2312"/>
          <w:color w:val="auto"/>
          <w:kern w:val="0"/>
          <w:sz w:val="32"/>
          <w:szCs w:val="32"/>
          <w:lang w:val="en-US" w:eastAsia="zh-CN"/>
        </w:rPr>
        <w:t>研究</w:t>
      </w:r>
    </w:p>
    <w:p>
      <w:pPr>
        <w:spacing w:line="520" w:lineRule="atLeast"/>
        <w:ind w:firstLine="640"/>
        <w:rPr>
          <w:rFonts w:hint="eastAsia" w:eastAsia="仿宋_GB2312"/>
          <w:color w:val="auto"/>
          <w:kern w:val="0"/>
          <w:sz w:val="32"/>
          <w:szCs w:val="32"/>
          <w:lang w:eastAsia="zh-CN"/>
        </w:rPr>
      </w:pPr>
      <w:r>
        <w:rPr>
          <w:rFonts w:hint="eastAsia" w:eastAsia="仿宋_GB2312"/>
          <w:color w:val="auto"/>
          <w:kern w:val="0"/>
          <w:sz w:val="32"/>
          <w:szCs w:val="32"/>
          <w:lang w:val="en-US" w:eastAsia="zh-CN"/>
        </w:rPr>
        <w:t>PCR扩增（</w:t>
      </w:r>
      <w:r>
        <w:rPr>
          <w:rFonts w:hint="eastAsia" w:ascii="Times New Roman" w:hAnsi="Times New Roman" w:eastAsia="仿宋_GB2312"/>
          <w:color w:val="auto"/>
          <w:kern w:val="0"/>
          <w:sz w:val="32"/>
          <w:szCs w:val="32"/>
        </w:rPr>
        <w:t>温控</w:t>
      </w:r>
      <w:r>
        <w:rPr>
          <w:rFonts w:hint="eastAsia" w:eastAsia="仿宋_GB2312"/>
          <w:color w:val="auto"/>
          <w:kern w:val="0"/>
          <w:sz w:val="32"/>
          <w:szCs w:val="32"/>
          <w:lang w:eastAsia="zh-CN"/>
        </w:rPr>
        <w:t>）</w:t>
      </w:r>
      <w:r>
        <w:rPr>
          <w:rFonts w:hint="eastAsia" w:ascii="Times New Roman" w:hAnsi="Times New Roman" w:eastAsia="仿宋_GB2312"/>
          <w:color w:val="auto"/>
          <w:kern w:val="0"/>
          <w:sz w:val="32"/>
          <w:szCs w:val="32"/>
        </w:rPr>
        <w:t>模块</w:t>
      </w:r>
      <w:r>
        <w:rPr>
          <w:rFonts w:hint="eastAsia" w:eastAsia="仿宋_GB2312"/>
          <w:color w:val="auto"/>
          <w:kern w:val="0"/>
          <w:sz w:val="32"/>
          <w:szCs w:val="32"/>
          <w:lang w:val="en-US" w:eastAsia="zh-CN"/>
        </w:rPr>
        <w:t>研究</w:t>
      </w:r>
      <w:r>
        <w:rPr>
          <w:rFonts w:hint="eastAsia" w:ascii="Times New Roman" w:hAnsi="Times New Roman" w:eastAsia="仿宋_GB2312"/>
          <w:color w:val="auto"/>
          <w:kern w:val="0"/>
          <w:sz w:val="32"/>
          <w:szCs w:val="32"/>
        </w:rPr>
        <w:t>，</w:t>
      </w:r>
      <w:r>
        <w:rPr>
          <w:rFonts w:hint="eastAsia" w:eastAsia="仿宋_GB2312"/>
          <w:color w:val="auto"/>
          <w:kern w:val="0"/>
          <w:sz w:val="32"/>
          <w:szCs w:val="32"/>
          <w:lang w:val="en-US" w:eastAsia="zh-CN"/>
        </w:rPr>
        <w:t>应考虑平板式和管式在设计中的特点和差别，提供</w:t>
      </w:r>
      <w:r>
        <w:rPr>
          <w:rFonts w:hint="eastAsia" w:eastAsia="仿宋_GB2312"/>
          <w:color w:val="auto"/>
          <w:kern w:val="0"/>
          <w:sz w:val="32"/>
          <w:szCs w:val="32"/>
          <w:lang w:eastAsia="zh-CN"/>
        </w:rPr>
        <w:t>加热器件电流/功率的要求及其能达到的升降温速度（</w:t>
      </w:r>
      <w:r>
        <w:rPr>
          <w:rFonts w:hint="eastAsia" w:eastAsia="仿宋_GB2312"/>
          <w:color w:val="auto"/>
          <w:kern w:val="0"/>
          <w:sz w:val="32"/>
          <w:szCs w:val="32"/>
          <w:lang w:val="en-US" w:eastAsia="zh-CN"/>
        </w:rPr>
        <w:t>包含</w:t>
      </w:r>
      <w:r>
        <w:rPr>
          <w:rFonts w:hint="eastAsia" w:eastAsia="仿宋_GB2312"/>
          <w:color w:val="auto"/>
          <w:kern w:val="0"/>
          <w:sz w:val="32"/>
          <w:szCs w:val="32"/>
          <w:lang w:eastAsia="zh-CN"/>
        </w:rPr>
        <w:t>液滴稳定性对升降温速度的要求），温度传感器的灵敏度要求，加热边缘效应的研究和解决</w:t>
      </w:r>
      <w:r>
        <w:rPr>
          <w:rFonts w:hint="eastAsia" w:eastAsia="仿宋_GB2312"/>
          <w:color w:val="auto"/>
          <w:kern w:val="0"/>
          <w:sz w:val="32"/>
          <w:szCs w:val="32"/>
          <w:lang w:val="en-US" w:eastAsia="zh-CN"/>
        </w:rPr>
        <w:t>等</w:t>
      </w:r>
      <w:r>
        <w:rPr>
          <w:rFonts w:hint="eastAsia" w:eastAsia="仿宋_GB2312"/>
          <w:color w:val="auto"/>
          <w:kern w:val="0"/>
          <w:sz w:val="32"/>
          <w:szCs w:val="32"/>
          <w:lang w:eastAsia="zh-CN"/>
        </w:rPr>
        <w:t>。</w:t>
      </w:r>
    </w:p>
    <w:p>
      <w:pPr>
        <w:spacing w:line="520" w:lineRule="atLeast"/>
        <w:ind w:firstLine="640"/>
        <w:rPr>
          <w:rFonts w:hint="default" w:eastAsia="仿宋_GB2312"/>
          <w:color w:val="auto"/>
          <w:kern w:val="0"/>
          <w:sz w:val="32"/>
          <w:szCs w:val="32"/>
          <w:lang w:val="en-US" w:eastAsia="zh-CN"/>
        </w:rPr>
      </w:pPr>
      <w:r>
        <w:rPr>
          <w:rFonts w:hint="eastAsia" w:eastAsia="仿宋_GB2312"/>
          <w:color w:val="auto"/>
          <w:kern w:val="0"/>
          <w:sz w:val="32"/>
          <w:szCs w:val="32"/>
          <w:lang w:val="en-US" w:eastAsia="zh-CN"/>
        </w:rPr>
        <w:t>3.1.1.3荧光检测模块研究</w:t>
      </w:r>
    </w:p>
    <w:p>
      <w:pPr>
        <w:spacing w:line="520" w:lineRule="atLeast"/>
        <w:ind w:left="319" w:leftChars="152" w:firstLine="652" w:firstLineChars="204"/>
        <w:rPr>
          <w:rFonts w:hint="eastAsia" w:eastAsia="仿宋_GB2312"/>
          <w:color w:val="auto"/>
          <w:kern w:val="0"/>
          <w:sz w:val="32"/>
          <w:szCs w:val="32"/>
          <w:lang w:eastAsia="zh-CN"/>
        </w:rPr>
      </w:pPr>
      <w:r>
        <w:rPr>
          <w:rFonts w:hint="eastAsia" w:eastAsia="仿宋_GB2312"/>
          <w:color w:val="auto"/>
          <w:kern w:val="0"/>
          <w:sz w:val="32"/>
          <w:szCs w:val="32"/>
          <w:lang w:val="en-US" w:eastAsia="zh-CN"/>
        </w:rPr>
        <w:t>荧光检测模块研究，应提供光源的选择及其强度要求（如光功率和功率密度）</w:t>
      </w:r>
      <w:r>
        <w:rPr>
          <w:rFonts w:hint="eastAsia" w:ascii="Times New Roman" w:hAnsi="Times New Roman" w:eastAsia="仿宋_GB2312"/>
          <w:color w:val="auto"/>
          <w:kern w:val="0"/>
          <w:sz w:val="32"/>
          <w:szCs w:val="32"/>
        </w:rPr>
        <w:t>，滤光片的选择及其过滤波长范围的要求，不同通道的实现方式，不同荧光通道干扰的研究和解决方法</w:t>
      </w:r>
      <w:r>
        <w:rPr>
          <w:rFonts w:hint="eastAsia" w:eastAsia="仿宋_GB2312"/>
          <w:color w:val="auto"/>
          <w:kern w:val="0"/>
          <w:sz w:val="32"/>
          <w:szCs w:val="32"/>
          <w:lang w:eastAsia="zh-CN"/>
        </w:rPr>
        <w:t>。</w:t>
      </w:r>
    </w:p>
    <w:p>
      <w:pPr>
        <w:spacing w:line="520" w:lineRule="atLeast"/>
        <w:ind w:firstLine="640"/>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根据</w:t>
      </w:r>
      <w:r>
        <w:rPr>
          <w:rFonts w:hint="eastAsia" w:ascii="Times New Roman" w:hAnsi="Times New Roman" w:eastAsia="仿宋_GB2312"/>
          <w:color w:val="auto"/>
          <w:kern w:val="0"/>
          <w:sz w:val="32"/>
          <w:szCs w:val="32"/>
        </w:rPr>
        <w:t>荧</w:t>
      </w:r>
      <w:r>
        <w:rPr>
          <w:rFonts w:hint="eastAsia" w:eastAsia="仿宋_GB2312"/>
          <w:color w:val="auto"/>
          <w:kern w:val="0"/>
          <w:sz w:val="32"/>
          <w:szCs w:val="32"/>
          <w:lang w:val="en-US" w:eastAsia="zh-CN"/>
        </w:rPr>
        <w:t>光检测方式的不同，荧光成像法应提交相机</w:t>
      </w:r>
      <w:r>
        <w:rPr>
          <w:rFonts w:hint="eastAsia" w:ascii="Times New Roman" w:hAnsi="Times New Roman" w:eastAsia="仿宋_GB2312"/>
          <w:color w:val="auto"/>
          <w:kern w:val="0"/>
          <w:sz w:val="32"/>
          <w:szCs w:val="32"/>
        </w:rPr>
        <w:t>的</w:t>
      </w:r>
      <w:r>
        <w:rPr>
          <w:rFonts w:hint="eastAsia" w:eastAsia="仿宋_GB2312"/>
          <w:color w:val="auto"/>
          <w:kern w:val="0"/>
          <w:sz w:val="32"/>
          <w:szCs w:val="32"/>
          <w:lang w:val="en-US" w:eastAsia="zh-CN"/>
        </w:rPr>
        <w:t>成像速度、成像视野、</w:t>
      </w:r>
      <w:r>
        <w:rPr>
          <w:rFonts w:hint="eastAsia" w:ascii="Times New Roman" w:hAnsi="Times New Roman" w:eastAsia="仿宋_GB2312"/>
          <w:color w:val="auto"/>
          <w:kern w:val="0"/>
          <w:sz w:val="32"/>
          <w:szCs w:val="32"/>
        </w:rPr>
        <w:t>分辨率</w:t>
      </w:r>
      <w:r>
        <w:rPr>
          <w:rFonts w:hint="eastAsia" w:eastAsia="仿宋_GB2312"/>
          <w:color w:val="auto"/>
          <w:kern w:val="0"/>
          <w:sz w:val="32"/>
          <w:szCs w:val="32"/>
          <w:lang w:eastAsia="zh-CN"/>
        </w:rPr>
        <w:t>、</w:t>
      </w:r>
      <w:r>
        <w:rPr>
          <w:rFonts w:hint="eastAsia" w:eastAsia="仿宋_GB2312"/>
          <w:color w:val="auto"/>
          <w:kern w:val="0"/>
          <w:sz w:val="32"/>
          <w:szCs w:val="32"/>
          <w:lang w:val="en-US" w:eastAsia="zh-CN"/>
        </w:rPr>
        <w:t>信噪比等研究</w:t>
      </w:r>
      <w:r>
        <w:rPr>
          <w:rFonts w:hint="eastAsia" w:ascii="Times New Roman" w:hAnsi="Times New Roman" w:eastAsia="仿宋_GB2312"/>
          <w:color w:val="auto"/>
          <w:kern w:val="0"/>
          <w:sz w:val="32"/>
          <w:szCs w:val="32"/>
        </w:rPr>
        <w:t>；</w:t>
      </w:r>
      <w:r>
        <w:rPr>
          <w:rFonts w:hint="eastAsia" w:eastAsia="仿宋_GB2312"/>
          <w:color w:val="auto"/>
          <w:kern w:val="0"/>
          <w:sz w:val="32"/>
          <w:szCs w:val="32"/>
          <w:lang w:val="en-US" w:eastAsia="zh-CN"/>
        </w:rPr>
        <w:t>流式荧光法应提交</w:t>
      </w:r>
      <w:r>
        <w:rPr>
          <w:rFonts w:hint="eastAsia" w:ascii="Times New Roman" w:hAnsi="Times New Roman" w:eastAsia="仿宋_GB2312"/>
          <w:color w:val="auto"/>
          <w:kern w:val="0"/>
          <w:sz w:val="32"/>
          <w:szCs w:val="32"/>
        </w:rPr>
        <w:t>检测速度、</w:t>
      </w:r>
      <w:r>
        <w:rPr>
          <w:rFonts w:hint="eastAsia" w:eastAsia="仿宋_GB2312"/>
          <w:color w:val="auto"/>
          <w:kern w:val="0"/>
          <w:sz w:val="32"/>
          <w:szCs w:val="32"/>
          <w:lang w:val="en-US" w:eastAsia="zh-CN"/>
        </w:rPr>
        <w:t>检测</w:t>
      </w:r>
      <w:r>
        <w:rPr>
          <w:rFonts w:hint="eastAsia" w:ascii="Times New Roman" w:hAnsi="Times New Roman" w:eastAsia="仿宋_GB2312"/>
          <w:color w:val="auto"/>
          <w:kern w:val="0"/>
          <w:sz w:val="32"/>
          <w:szCs w:val="32"/>
        </w:rPr>
        <w:t>灵敏度</w:t>
      </w:r>
      <w:r>
        <w:rPr>
          <w:rFonts w:hint="eastAsia" w:eastAsia="仿宋_GB2312"/>
          <w:color w:val="auto"/>
          <w:kern w:val="0"/>
          <w:sz w:val="32"/>
          <w:szCs w:val="32"/>
          <w:lang w:eastAsia="zh-CN"/>
        </w:rPr>
        <w:t>、</w:t>
      </w:r>
      <w:r>
        <w:rPr>
          <w:rFonts w:hint="eastAsia" w:eastAsia="仿宋_GB2312"/>
          <w:color w:val="auto"/>
          <w:kern w:val="0"/>
          <w:sz w:val="32"/>
          <w:szCs w:val="32"/>
          <w:lang w:val="en-US" w:eastAsia="zh-CN"/>
        </w:rPr>
        <w:t>分辨率、采样率等研究。</w:t>
      </w:r>
    </w:p>
    <w:p>
      <w:pPr>
        <w:spacing w:line="520" w:lineRule="atLeast"/>
        <w:ind w:firstLine="640"/>
        <w:rPr>
          <w:rFonts w:hint="default" w:eastAsia="仿宋_GB2312"/>
          <w:color w:val="auto"/>
          <w:kern w:val="0"/>
          <w:sz w:val="32"/>
          <w:szCs w:val="32"/>
          <w:highlight w:val="yellow"/>
          <w:lang w:val="en-US" w:eastAsia="zh-CN"/>
        </w:rPr>
      </w:pPr>
      <w:r>
        <w:rPr>
          <w:rFonts w:hint="eastAsia" w:eastAsia="仿宋_GB2312"/>
          <w:color w:val="auto"/>
          <w:kern w:val="0"/>
          <w:sz w:val="32"/>
          <w:szCs w:val="32"/>
          <w:highlight w:val="none"/>
          <w:lang w:val="en-US" w:eastAsia="zh-CN"/>
        </w:rPr>
        <w:t>3.1.1.5</w:t>
      </w:r>
      <w:r>
        <w:rPr>
          <w:rFonts w:hint="eastAsia" w:ascii="Times New Roman" w:hAnsi="Times New Roman" w:eastAsia="仿宋_GB2312"/>
          <w:color w:val="auto"/>
          <w:kern w:val="0"/>
          <w:sz w:val="32"/>
          <w:szCs w:val="32"/>
        </w:rPr>
        <w:t>整机性能研究</w:t>
      </w:r>
    </w:p>
    <w:p>
      <w:pPr>
        <w:spacing w:line="520" w:lineRule="atLeast"/>
        <w:ind w:firstLine="640"/>
        <w:rPr>
          <w:rFonts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应针对产品设计要求，研究申报产品的各项性能指标的最优性能以验证各项性能指标能否达到设计预期。如：</w:t>
      </w:r>
      <w:r>
        <w:rPr>
          <w:rFonts w:hint="eastAsia" w:eastAsia="仿宋_GB2312"/>
          <w:color w:val="auto"/>
          <w:kern w:val="0"/>
          <w:sz w:val="32"/>
          <w:szCs w:val="32"/>
          <w:lang w:val="en-US" w:eastAsia="zh-CN"/>
        </w:rPr>
        <w:t>反应单元均匀性（数量/体积）、</w:t>
      </w:r>
      <w:r>
        <w:rPr>
          <w:rFonts w:hint="eastAsia" w:ascii="Times New Roman" w:hAnsi="Times New Roman" w:eastAsia="仿宋_GB2312"/>
          <w:color w:val="auto"/>
          <w:kern w:val="0"/>
          <w:sz w:val="32"/>
          <w:szCs w:val="32"/>
        </w:rPr>
        <w:t>温度均匀性</w:t>
      </w:r>
      <w:r>
        <w:rPr>
          <w:rFonts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rPr>
        <w:t>准确</w:t>
      </w:r>
      <w:r>
        <w:rPr>
          <w:rFonts w:hint="eastAsia" w:eastAsia="仿宋_GB2312"/>
          <w:color w:val="auto"/>
          <w:kern w:val="0"/>
          <w:sz w:val="32"/>
          <w:szCs w:val="32"/>
          <w:lang w:val="en-US" w:eastAsia="zh-CN"/>
        </w:rPr>
        <w:t>度/控温精度</w:t>
      </w:r>
      <w:r>
        <w:rPr>
          <w:rFonts w:hint="eastAsia" w:ascii="Times New Roman" w:hAnsi="Times New Roman" w:eastAsia="仿宋_GB2312"/>
          <w:color w:val="auto"/>
          <w:kern w:val="0"/>
          <w:sz w:val="32"/>
          <w:szCs w:val="32"/>
        </w:rPr>
        <w:t>、荧光强度重复性、荧光线性、不同荧光通道的干扰、样品容量和反应体积、传动位置准确度等。</w:t>
      </w:r>
    </w:p>
    <w:p>
      <w:pPr>
        <w:spacing w:line="520" w:lineRule="atLeast"/>
        <w:ind w:firstLine="640"/>
        <w:rPr>
          <w:rFonts w:hint="default" w:eastAsia="仿宋_GB2312" w:cs="Times New Roman"/>
          <w:color w:val="auto"/>
          <w:sz w:val="32"/>
          <w:szCs w:val="32"/>
          <w:lang w:val="en-US" w:eastAsia="zh-CN"/>
        </w:rPr>
      </w:pPr>
      <w:r>
        <w:rPr>
          <w:rFonts w:hint="eastAsia" w:ascii="Times New Roman" w:hAnsi="Times New Roman" w:eastAsia="仿宋_GB2312"/>
          <w:color w:val="auto"/>
          <w:kern w:val="0"/>
          <w:sz w:val="32"/>
          <w:szCs w:val="32"/>
        </w:rPr>
        <w:t>申请人提交的研究资料应包含研究的方案、数据和结论。研究资料中针对研究项目的指标，应能体现申报产品能稳定达到并满足研究项目的要求。</w:t>
      </w:r>
    </w:p>
    <w:p>
      <w:pPr>
        <w:spacing w:line="520" w:lineRule="atLeast"/>
        <w:ind w:firstLine="640"/>
        <w:rPr>
          <w:rFonts w:ascii="Times New Roman" w:hAnsi="Times New Roman" w:eastAsia="仿宋_GB2312"/>
          <w:color w:val="auto"/>
          <w:kern w:val="0"/>
          <w:sz w:val="32"/>
          <w:szCs w:val="32"/>
        </w:rPr>
      </w:pPr>
      <w:r>
        <w:rPr>
          <w:rFonts w:hint="eastAsia" w:eastAsia="仿宋_GB2312"/>
          <w:color w:val="auto"/>
          <w:kern w:val="0"/>
          <w:sz w:val="32"/>
          <w:szCs w:val="32"/>
          <w:lang w:val="en-US" w:eastAsia="zh-CN"/>
        </w:rPr>
        <w:t>3.</w:t>
      </w:r>
      <w:r>
        <w:rPr>
          <w:rFonts w:ascii="Times New Roman" w:hAnsi="Times New Roman" w:eastAsia="仿宋_GB2312"/>
          <w:color w:val="auto"/>
          <w:kern w:val="0"/>
          <w:sz w:val="32"/>
          <w:szCs w:val="32"/>
        </w:rPr>
        <w:t>1.2</w:t>
      </w:r>
      <w:r>
        <w:rPr>
          <w:rFonts w:hint="eastAsia" w:ascii="Times New Roman" w:hAnsi="Times New Roman" w:eastAsia="仿宋_GB2312"/>
          <w:color w:val="auto"/>
          <w:kern w:val="0"/>
          <w:sz w:val="32"/>
          <w:szCs w:val="32"/>
        </w:rPr>
        <w:t>申报产品临床项目分析性能的研究资料</w:t>
      </w:r>
    </w:p>
    <w:p>
      <w:pPr>
        <w:spacing w:line="520" w:lineRule="atLeast"/>
        <w:ind w:firstLine="640" w:firstLineChars="200"/>
        <w:rPr>
          <w:rFonts w:hint="default" w:ascii="Times New Roman" w:hAnsi="Times New Roman" w:eastAsia="仿宋_GB2312"/>
          <w:color w:val="auto"/>
          <w:kern w:val="0"/>
          <w:sz w:val="32"/>
          <w:szCs w:val="32"/>
          <w:highlight w:val="yellow"/>
          <w:lang w:val="en-US" w:eastAsia="zh-CN"/>
        </w:rPr>
      </w:pPr>
      <w:r>
        <w:rPr>
          <w:rFonts w:hint="eastAsia" w:ascii="Times New Roman" w:hAnsi="Times New Roman" w:eastAsia="仿宋_GB2312"/>
          <w:color w:val="auto"/>
          <w:kern w:val="0"/>
          <w:sz w:val="32"/>
          <w:szCs w:val="32"/>
        </w:rPr>
        <w:t>建议申请人根据配套检测试剂分析性能评估的基础研究结果，结合适用范围，综合考虑申报产品的分析方法、可检测的被分析物情况及检测项目类型，按照对申报产品评价最不利原则，选取代表性的临床项目，采用临床样本进行研究。代表性项目的选择应同时说明选择依据，研究资料应结合配套试剂，对主要性能进行系统性评估</w:t>
      </w:r>
      <w:r>
        <w:rPr>
          <w:rFonts w:hint="eastAsia" w:eastAsia="仿宋_GB2312"/>
          <w:color w:val="auto"/>
          <w:kern w:val="0"/>
          <w:sz w:val="32"/>
          <w:szCs w:val="32"/>
          <w:lang w:eastAsia="zh-CN"/>
        </w:rPr>
        <w:t>。</w:t>
      </w:r>
      <w:r>
        <w:rPr>
          <w:rFonts w:hint="eastAsia" w:eastAsia="仿宋_GB2312"/>
          <w:color w:val="auto"/>
          <w:kern w:val="0"/>
          <w:sz w:val="32"/>
          <w:szCs w:val="32"/>
          <w:lang w:val="en-US" w:eastAsia="zh-CN"/>
        </w:rPr>
        <w:t>应同时包含定性检测和定量检测的项目。定性检测项目应至少包括阴/阳性符合率、精密度、灵敏度研究，其中灵敏度研究应能体现数字PCR方法的高灵敏度特性；定量检测项目应至少包括准确度、精密度、灵敏度、</w:t>
      </w:r>
      <w:r>
        <w:rPr>
          <w:rFonts w:hint="eastAsia" w:eastAsia="仿宋_GB2312"/>
          <w:color w:val="auto"/>
          <w:kern w:val="0"/>
          <w:sz w:val="32"/>
          <w:szCs w:val="32"/>
          <w:highlight w:val="none"/>
          <w:lang w:val="en-US" w:eastAsia="zh-CN"/>
        </w:rPr>
        <w:t>线性/定量范围研究，其中准确度研究应能体现数字PCR方法的绝对定量和高准确度特性</w:t>
      </w:r>
      <w:r>
        <w:rPr>
          <w:rFonts w:hint="eastAsia" w:ascii="Times New Roman" w:hAnsi="Times New Roman" w:eastAsia="仿宋_GB2312"/>
          <w:color w:val="auto"/>
          <w:kern w:val="0"/>
          <w:sz w:val="32"/>
          <w:szCs w:val="32"/>
          <w:highlight w:val="none"/>
        </w:rPr>
        <w:t>。</w:t>
      </w:r>
      <w:r>
        <w:rPr>
          <w:rFonts w:hint="eastAsia" w:eastAsia="仿宋_GB2312"/>
          <w:color w:val="auto"/>
          <w:kern w:val="0"/>
          <w:sz w:val="32"/>
          <w:szCs w:val="32"/>
          <w:highlight w:val="none"/>
          <w:lang w:val="en-US" w:eastAsia="zh-CN"/>
        </w:rPr>
        <w:t>每个项目均应明确反应单元数量、体积、样本利用率、定量精度；多重PCR应提供二维散点图结果。</w:t>
      </w:r>
    </w:p>
    <w:p>
      <w:pPr>
        <w:spacing w:line="520" w:lineRule="atLeast"/>
        <w:ind w:firstLine="640"/>
        <w:rPr>
          <w:rFonts w:hint="eastAsia"/>
          <w:strike w:val="0"/>
          <w:color w:val="auto"/>
          <w:lang w:eastAsia="zh-CN"/>
        </w:rPr>
      </w:pPr>
      <w:r>
        <w:rPr>
          <w:rFonts w:hint="eastAsia" w:ascii="Times New Roman" w:hAnsi="Times New Roman" w:eastAsia="仿宋_GB2312"/>
          <w:color w:val="auto"/>
          <w:kern w:val="0"/>
          <w:sz w:val="32"/>
          <w:szCs w:val="32"/>
        </w:rPr>
        <w:t>所选代表性项目应根据申报产品的适用范围确定，包含但不限于不同被分析物类型、不同分析方法及不同检测项目类型等方面。如：</w:t>
      </w:r>
      <w:r>
        <w:rPr>
          <w:rFonts w:ascii="Times New Roman" w:hAnsi="Times New Roman" w:eastAsia="仿宋_GB2312"/>
          <w:color w:val="auto"/>
          <w:kern w:val="0"/>
          <w:sz w:val="32"/>
          <w:szCs w:val="32"/>
        </w:rPr>
        <w:t>DNA</w:t>
      </w:r>
      <w:r>
        <w:rPr>
          <w:rFonts w:hint="eastAsia" w:ascii="Times New Roman" w:hAnsi="Times New Roman" w:eastAsia="仿宋_GB2312"/>
          <w:color w:val="auto"/>
          <w:kern w:val="0"/>
          <w:sz w:val="32"/>
          <w:szCs w:val="32"/>
        </w:rPr>
        <w:t>、</w:t>
      </w:r>
      <w:r>
        <w:rPr>
          <w:rFonts w:ascii="Times New Roman" w:hAnsi="Times New Roman" w:eastAsia="仿宋_GB2312"/>
          <w:color w:val="auto"/>
          <w:kern w:val="0"/>
          <w:sz w:val="32"/>
          <w:szCs w:val="32"/>
        </w:rPr>
        <w:t>RNA</w:t>
      </w:r>
      <w:r>
        <w:rPr>
          <w:rFonts w:hint="eastAsia" w:ascii="Times New Roman" w:hAnsi="Times New Roman" w:eastAsia="仿宋_GB2312"/>
          <w:color w:val="auto"/>
          <w:kern w:val="0"/>
          <w:sz w:val="32"/>
          <w:szCs w:val="32"/>
        </w:rPr>
        <w:t>靶核酸类型；</w:t>
      </w:r>
      <w:r>
        <w:rPr>
          <w:rFonts w:hint="eastAsia" w:eastAsia="仿宋_GB2312"/>
          <w:color w:val="auto"/>
          <w:kern w:val="0"/>
          <w:sz w:val="32"/>
          <w:szCs w:val="32"/>
          <w:lang w:val="en-US" w:eastAsia="zh-CN"/>
        </w:rPr>
        <w:t>荧光多靶标</w:t>
      </w:r>
      <w:r>
        <w:rPr>
          <w:rFonts w:hint="eastAsia" w:ascii="Times New Roman" w:hAnsi="Times New Roman" w:eastAsia="仿宋_GB2312"/>
          <w:color w:val="auto"/>
          <w:kern w:val="0"/>
          <w:sz w:val="32"/>
          <w:szCs w:val="32"/>
        </w:rPr>
        <w:t>检测；定性、定量</w:t>
      </w:r>
      <w:r>
        <w:rPr>
          <w:rFonts w:hint="eastAsia" w:eastAsia="仿宋_GB2312"/>
          <w:color w:val="auto"/>
          <w:kern w:val="0"/>
          <w:sz w:val="32"/>
          <w:szCs w:val="32"/>
          <w:lang w:val="en-US" w:eastAsia="zh-CN"/>
        </w:rPr>
        <w:t>检测</w:t>
      </w:r>
      <w:r>
        <w:rPr>
          <w:rFonts w:hint="eastAsia" w:ascii="Times New Roman" w:hAnsi="Times New Roman" w:eastAsia="仿宋_GB2312"/>
          <w:color w:val="auto"/>
          <w:kern w:val="0"/>
          <w:sz w:val="32"/>
          <w:szCs w:val="32"/>
        </w:rPr>
        <w:t>；</w:t>
      </w:r>
      <w:r>
        <w:rPr>
          <w:rFonts w:hint="eastAsia" w:eastAsia="仿宋_GB2312"/>
          <w:color w:val="auto"/>
          <w:kern w:val="0"/>
          <w:sz w:val="32"/>
          <w:szCs w:val="32"/>
          <w:lang w:val="en-US" w:eastAsia="zh-CN"/>
        </w:rPr>
        <w:t>人类基因、</w:t>
      </w:r>
      <w:r>
        <w:rPr>
          <w:rFonts w:hint="eastAsia" w:ascii="Times New Roman" w:hAnsi="Times New Roman" w:eastAsia="仿宋_GB2312"/>
          <w:color w:val="auto"/>
          <w:kern w:val="0"/>
          <w:sz w:val="32"/>
          <w:szCs w:val="32"/>
        </w:rPr>
        <w:t>病原体的核酸检测</w:t>
      </w:r>
      <w:r>
        <w:rPr>
          <w:rFonts w:hint="eastAsia" w:eastAsia="仿宋_GB2312"/>
          <w:color w:val="auto"/>
          <w:kern w:val="0"/>
          <w:sz w:val="32"/>
          <w:szCs w:val="32"/>
          <w:lang w:eastAsia="zh-CN"/>
        </w:rPr>
        <w:t>。</w:t>
      </w:r>
      <w:r>
        <w:rPr>
          <w:rFonts w:hint="eastAsia" w:eastAsia="仿宋_GB2312"/>
          <w:strike w:val="0"/>
          <w:color w:val="auto"/>
          <w:kern w:val="0"/>
          <w:sz w:val="32"/>
          <w:szCs w:val="32"/>
          <w:lang w:val="en-US" w:eastAsia="zh-CN"/>
        </w:rPr>
        <w:t>人类基因检测包括拷贝数变异、低频突变（&lt;1%）、融合重排、点突变、插入缺失检测。建议检测肿瘤多引物</w:t>
      </w:r>
      <w:r>
        <w:rPr>
          <w:rFonts w:hint="eastAsia" w:eastAsia="仿宋_GB2312"/>
          <w:strike w:val="0"/>
          <w:color w:val="auto"/>
          <w:kern w:val="0"/>
          <w:sz w:val="32"/>
          <w:szCs w:val="32"/>
          <w:highlight w:val="none"/>
          <w:lang w:val="en-US" w:eastAsia="zh-CN"/>
        </w:rPr>
        <w:t>复杂变异</w:t>
      </w:r>
      <w:r>
        <w:rPr>
          <w:rFonts w:hint="eastAsia" w:eastAsia="仿宋_GB2312"/>
          <w:strike w:val="0"/>
          <w:color w:val="auto"/>
          <w:kern w:val="0"/>
          <w:sz w:val="32"/>
          <w:szCs w:val="32"/>
          <w:lang w:val="en-US" w:eastAsia="zh-CN"/>
        </w:rPr>
        <w:t>等项目</w:t>
      </w:r>
      <w:r>
        <w:rPr>
          <w:rFonts w:hint="eastAsia"/>
          <w:strike w:val="0"/>
          <w:color w:val="auto"/>
          <w:lang w:eastAsia="zh-CN"/>
        </w:rPr>
        <w:t>。</w:t>
      </w:r>
    </w:p>
    <w:p>
      <w:pPr>
        <w:spacing w:line="520" w:lineRule="atLeast"/>
        <w:ind w:firstLine="640"/>
        <w:rPr>
          <w:rFonts w:ascii="Times New Roman" w:hAnsi="Times New Roman" w:eastAsia="仿宋_GB2312"/>
          <w:color w:val="auto"/>
          <w:kern w:val="0"/>
          <w:sz w:val="32"/>
          <w:szCs w:val="32"/>
        </w:rPr>
      </w:pPr>
      <w:r>
        <w:rPr>
          <w:rFonts w:hint="eastAsia" w:eastAsia="仿宋_GB2312"/>
          <w:color w:val="auto"/>
          <w:kern w:val="0"/>
          <w:sz w:val="32"/>
          <w:szCs w:val="32"/>
          <w:lang w:val="en-US" w:eastAsia="zh-CN"/>
        </w:rPr>
        <w:t>3.</w:t>
      </w:r>
      <w:r>
        <w:rPr>
          <w:rFonts w:ascii="Times New Roman" w:hAnsi="Times New Roman" w:eastAsia="仿宋_GB2312"/>
          <w:color w:val="auto"/>
          <w:kern w:val="0"/>
          <w:sz w:val="32"/>
          <w:szCs w:val="32"/>
        </w:rPr>
        <w:t>1.3</w:t>
      </w:r>
      <w:r>
        <w:rPr>
          <w:rFonts w:hint="eastAsia" w:ascii="Times New Roman" w:hAnsi="Times New Roman" w:eastAsia="仿宋_GB2312"/>
          <w:color w:val="auto"/>
          <w:kern w:val="0"/>
          <w:sz w:val="32"/>
          <w:szCs w:val="32"/>
        </w:rPr>
        <w:t>安全性指标的验证资料</w:t>
      </w:r>
    </w:p>
    <w:p>
      <w:pPr>
        <w:spacing w:line="520" w:lineRule="atLeast"/>
        <w:ind w:firstLine="640"/>
        <w:rPr>
          <w:rFonts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安全性指标包括电气安全指标和电磁兼容指标两大类。电气安全指标应当包括</w:t>
      </w:r>
      <w:r>
        <w:rPr>
          <w:rFonts w:ascii="Times New Roman" w:hAnsi="Times New Roman" w:eastAsia="仿宋_GB2312"/>
          <w:color w:val="auto"/>
          <w:kern w:val="0"/>
          <w:sz w:val="32"/>
          <w:szCs w:val="32"/>
        </w:rPr>
        <w:t>GB 4793</w:t>
      </w:r>
      <w:r>
        <w:rPr>
          <w:rFonts w:hint="eastAsia" w:eastAsia="仿宋_GB2312"/>
          <w:color w:val="auto"/>
          <w:kern w:val="0"/>
          <w:sz w:val="32"/>
          <w:szCs w:val="32"/>
          <w:lang w:eastAsia="zh-CN"/>
        </w:rPr>
        <w:t>，</w:t>
      </w:r>
      <w:r>
        <w:rPr>
          <w:rFonts w:hint="eastAsia" w:eastAsia="仿宋_GB2312"/>
          <w:color w:val="auto"/>
          <w:kern w:val="0"/>
          <w:sz w:val="32"/>
          <w:szCs w:val="32"/>
          <w:lang w:val="en-US" w:eastAsia="zh-CN"/>
        </w:rPr>
        <w:t>建议包括</w:t>
      </w:r>
      <w:r>
        <w:rPr>
          <w:rFonts w:ascii="Times New Roman" w:hAnsi="Times New Roman" w:eastAsia="仿宋_GB2312"/>
          <w:color w:val="auto"/>
          <w:kern w:val="0"/>
          <w:sz w:val="32"/>
          <w:szCs w:val="32"/>
        </w:rPr>
        <w:t>GB</w:t>
      </w:r>
      <w:r>
        <w:rPr>
          <w:rFonts w:hint="eastAsia" w:eastAsia="仿宋_GB2312"/>
          <w:color w:val="auto"/>
          <w:kern w:val="0"/>
          <w:sz w:val="32"/>
          <w:szCs w:val="32"/>
          <w:lang w:val="en-US" w:eastAsia="zh-CN"/>
        </w:rPr>
        <w:t>/T42125.1</w:t>
      </w:r>
      <w:r>
        <w:rPr>
          <w:rFonts w:hint="eastAsia" w:ascii="Times New Roman" w:hAnsi="Times New Roman" w:eastAsia="仿宋_GB2312"/>
          <w:color w:val="auto"/>
          <w:kern w:val="0"/>
          <w:sz w:val="32"/>
          <w:szCs w:val="32"/>
        </w:rPr>
        <w:t>、</w:t>
      </w:r>
      <w:r>
        <w:rPr>
          <w:rFonts w:ascii="Times New Roman" w:hAnsi="Times New Roman" w:eastAsia="仿宋_GB2312"/>
          <w:color w:val="auto"/>
          <w:kern w:val="0"/>
          <w:sz w:val="32"/>
          <w:szCs w:val="32"/>
        </w:rPr>
        <w:t>GB</w:t>
      </w:r>
      <w:r>
        <w:rPr>
          <w:rFonts w:hint="eastAsia" w:eastAsia="仿宋_GB2312"/>
          <w:color w:val="auto"/>
          <w:kern w:val="0"/>
          <w:sz w:val="32"/>
          <w:szCs w:val="32"/>
          <w:lang w:val="en-US" w:eastAsia="zh-CN"/>
        </w:rPr>
        <w:t>/T42125.2</w:t>
      </w:r>
      <w:r>
        <w:rPr>
          <w:rFonts w:hint="eastAsia" w:ascii="Times New Roman" w:hAnsi="Times New Roman" w:eastAsia="仿宋_GB2312"/>
          <w:color w:val="auto"/>
          <w:kern w:val="0"/>
          <w:sz w:val="32"/>
          <w:szCs w:val="32"/>
        </w:rPr>
        <w:t>、</w:t>
      </w:r>
      <w:r>
        <w:rPr>
          <w:rFonts w:ascii="Times New Roman" w:hAnsi="Times New Roman" w:eastAsia="仿宋_GB2312"/>
          <w:color w:val="auto"/>
          <w:kern w:val="0"/>
          <w:sz w:val="32"/>
          <w:szCs w:val="32"/>
        </w:rPr>
        <w:t>YY</w:t>
      </w:r>
      <w:r>
        <w:rPr>
          <w:rFonts w:hint="eastAsia" w:eastAsia="仿宋_GB2312"/>
          <w:color w:val="auto"/>
          <w:kern w:val="0"/>
          <w:sz w:val="32"/>
          <w:szCs w:val="32"/>
          <w:lang w:val="en-US" w:eastAsia="zh-CN"/>
        </w:rPr>
        <w:t>/T</w:t>
      </w:r>
      <w:r>
        <w:rPr>
          <w:rFonts w:ascii="Times New Roman" w:hAnsi="Times New Roman" w:eastAsia="仿宋_GB2312"/>
          <w:color w:val="auto"/>
          <w:kern w:val="0"/>
          <w:sz w:val="32"/>
          <w:szCs w:val="32"/>
        </w:rPr>
        <w:t xml:space="preserve"> 0648</w:t>
      </w:r>
      <w:r>
        <w:rPr>
          <w:rFonts w:hint="eastAsia" w:ascii="Times New Roman" w:hAnsi="Times New Roman" w:eastAsia="仿宋_GB2312"/>
          <w:color w:val="auto"/>
          <w:kern w:val="0"/>
          <w:sz w:val="32"/>
          <w:szCs w:val="32"/>
        </w:rPr>
        <w:t>及其他适用的国家标准和行业标准中的指标，电磁兼容指标应当包括</w:t>
      </w:r>
      <w:r>
        <w:rPr>
          <w:rFonts w:ascii="Times New Roman" w:hAnsi="Times New Roman" w:eastAsia="仿宋_GB2312"/>
          <w:color w:val="auto"/>
          <w:kern w:val="0"/>
          <w:sz w:val="32"/>
          <w:szCs w:val="32"/>
        </w:rPr>
        <w:t>GB/T 18268.1</w:t>
      </w:r>
      <w:r>
        <w:rPr>
          <w:rFonts w:hint="eastAsia" w:ascii="Times New Roman" w:hAnsi="Times New Roman" w:eastAsia="仿宋_GB2312"/>
          <w:color w:val="auto"/>
          <w:kern w:val="0"/>
          <w:sz w:val="32"/>
          <w:szCs w:val="32"/>
        </w:rPr>
        <w:t>和</w:t>
      </w:r>
      <w:r>
        <w:rPr>
          <w:rFonts w:ascii="Times New Roman" w:hAnsi="Times New Roman" w:eastAsia="仿宋_GB2312"/>
          <w:color w:val="auto"/>
          <w:kern w:val="0"/>
          <w:sz w:val="32"/>
          <w:szCs w:val="32"/>
        </w:rPr>
        <w:t>GB/T 18268.26</w:t>
      </w:r>
      <w:r>
        <w:rPr>
          <w:rFonts w:hint="eastAsia" w:eastAsia="仿宋_GB2312"/>
          <w:color w:val="auto"/>
          <w:kern w:val="0"/>
          <w:sz w:val="32"/>
          <w:szCs w:val="32"/>
          <w:lang w:val="en-US" w:eastAsia="zh-CN"/>
        </w:rPr>
        <w:t>,建议包括</w:t>
      </w:r>
      <w:r>
        <w:rPr>
          <w:rFonts w:hint="eastAsia" w:ascii="Times New Roman" w:hAnsi="Times New Roman" w:eastAsia="仿宋_GB2312"/>
          <w:color w:val="auto"/>
          <w:kern w:val="0"/>
          <w:sz w:val="32"/>
          <w:szCs w:val="32"/>
        </w:rPr>
        <w:t>其他适用的国家标准和行业标准中的指标。申请人应对上述项目进行研究，按照法规要求提交检测报告。</w:t>
      </w:r>
    </w:p>
    <w:p>
      <w:pPr>
        <w:spacing w:line="520" w:lineRule="atLeast"/>
        <w:ind w:firstLine="640"/>
        <w:rPr>
          <w:rFonts w:ascii="Times New Roman" w:hAnsi="Times New Roman" w:eastAsia="仿宋_GB2312"/>
          <w:color w:val="auto"/>
          <w:kern w:val="0"/>
          <w:sz w:val="32"/>
          <w:szCs w:val="32"/>
        </w:rPr>
      </w:pPr>
      <w:r>
        <w:rPr>
          <w:rFonts w:hint="eastAsia" w:eastAsia="仿宋_GB2312"/>
          <w:color w:val="auto"/>
          <w:kern w:val="0"/>
          <w:sz w:val="32"/>
          <w:szCs w:val="32"/>
          <w:lang w:val="en-US" w:eastAsia="zh-CN"/>
        </w:rPr>
        <w:t>3.</w:t>
      </w:r>
      <w:r>
        <w:rPr>
          <w:rFonts w:ascii="Times New Roman" w:hAnsi="Times New Roman" w:eastAsia="仿宋_GB2312"/>
          <w:color w:val="auto"/>
          <w:kern w:val="0"/>
          <w:sz w:val="32"/>
          <w:szCs w:val="32"/>
        </w:rPr>
        <w:t>1.4</w:t>
      </w:r>
      <w:r>
        <w:rPr>
          <w:rFonts w:hint="eastAsia" w:ascii="Times New Roman" w:hAnsi="Times New Roman" w:eastAsia="仿宋_GB2312"/>
          <w:color w:val="auto"/>
          <w:kern w:val="0"/>
          <w:sz w:val="32"/>
          <w:szCs w:val="32"/>
        </w:rPr>
        <w:t>环境条件对产品性能指标无显著影响的研究资料</w:t>
      </w:r>
    </w:p>
    <w:p>
      <w:pPr>
        <w:spacing w:line="520" w:lineRule="atLeast"/>
        <w:ind w:firstLine="640"/>
        <w:rPr>
          <w:rFonts w:hint="eastAsia"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主要包括气候环境条件、机械环境条件、运输条件等，可参考</w:t>
      </w:r>
      <w:r>
        <w:rPr>
          <w:rFonts w:ascii="Times New Roman" w:hAnsi="Times New Roman" w:eastAsia="仿宋_GB2312"/>
          <w:color w:val="auto"/>
          <w:kern w:val="0"/>
          <w:sz w:val="32"/>
          <w:szCs w:val="32"/>
        </w:rPr>
        <w:t>GB/T 14710</w:t>
      </w:r>
      <w:r>
        <w:rPr>
          <w:rFonts w:hint="eastAsia" w:ascii="Times New Roman" w:hAnsi="Times New Roman" w:eastAsia="仿宋_GB2312"/>
          <w:color w:val="auto"/>
          <w:kern w:val="0"/>
          <w:sz w:val="32"/>
          <w:szCs w:val="32"/>
        </w:rPr>
        <w:t>及其他适用的国家标准和行业标准中的相关指标，申请人应对上述项目进行研究，或按照法规要求提交检测报告。</w:t>
      </w:r>
    </w:p>
    <w:p>
      <w:pPr>
        <w:spacing w:line="520" w:lineRule="atLeast"/>
        <w:ind w:right="-67" w:rightChars="-32" w:firstLine="640" w:firstLineChars="200"/>
        <w:rPr>
          <w:rFonts w:hint="eastAsia" w:ascii="Times New Roman" w:hAnsi="Times New Roman" w:eastAsia="仿宋_GB2312"/>
          <w:color w:val="auto"/>
          <w:kern w:val="0"/>
          <w:sz w:val="32"/>
          <w:szCs w:val="32"/>
        </w:rPr>
      </w:pPr>
      <w:r>
        <w:rPr>
          <w:rFonts w:hint="eastAsia" w:eastAsia="仿宋_GB2312"/>
          <w:color w:val="auto"/>
          <w:sz w:val="32"/>
          <w:szCs w:val="32"/>
        </w:rPr>
        <w:t>正常工作环境以产品标称为准，但需经相应环境试验验证。</w:t>
      </w:r>
    </w:p>
    <w:p>
      <w:pPr>
        <w:spacing w:line="520" w:lineRule="atLeast"/>
        <w:ind w:firstLine="640"/>
        <w:rPr>
          <w:rFonts w:hint="eastAsia" w:ascii="Times New Roman" w:hAnsi="Times New Roman" w:eastAsia="仿宋_GB2312"/>
          <w:color w:val="auto"/>
          <w:kern w:val="0"/>
          <w:sz w:val="32"/>
          <w:szCs w:val="32"/>
        </w:rPr>
      </w:pPr>
      <w:r>
        <w:rPr>
          <w:rFonts w:hint="eastAsia" w:eastAsia="仿宋_GB2312"/>
          <w:color w:val="auto"/>
          <w:kern w:val="0"/>
          <w:sz w:val="32"/>
          <w:szCs w:val="32"/>
          <w:lang w:val="en-US" w:eastAsia="zh-CN"/>
        </w:rPr>
        <w:t>4</w:t>
      </w:r>
      <w:r>
        <w:rPr>
          <w:rFonts w:ascii="Times New Roman" w:hAnsi="Times New Roman" w:eastAsia="仿宋_GB2312"/>
          <w:color w:val="auto"/>
          <w:kern w:val="0"/>
          <w:sz w:val="32"/>
          <w:szCs w:val="32"/>
        </w:rPr>
        <w:t>.</w:t>
      </w:r>
      <w:r>
        <w:rPr>
          <w:rFonts w:hint="eastAsia" w:ascii="Times New Roman" w:hAnsi="Times New Roman" w:eastAsia="仿宋_GB2312"/>
          <w:color w:val="auto"/>
          <w:sz w:val="32"/>
          <w:szCs w:val="32"/>
        </w:rPr>
        <w:t>有效期和包装研究</w:t>
      </w:r>
    </w:p>
    <w:p>
      <w:pPr>
        <w:spacing w:line="520" w:lineRule="atLeast"/>
        <w:ind w:firstLine="640"/>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4.1</w:t>
      </w:r>
      <w:r>
        <w:rPr>
          <w:rFonts w:ascii="Times New Roman" w:hAnsi="Times New Roman" w:eastAsia="仿宋_GB2312" w:cs="Times New Roman"/>
          <w:color w:val="auto"/>
          <w:sz w:val="32"/>
          <w:szCs w:val="32"/>
        </w:rPr>
        <w:t>产品有效期研究资料</w:t>
      </w:r>
    </w:p>
    <w:p>
      <w:pPr>
        <w:keepNext w:val="0"/>
        <w:keepLines w:val="0"/>
        <w:pageBreakBefore w:val="0"/>
        <w:widowControl w:val="0"/>
        <w:kinsoku/>
        <w:wordWrap/>
        <w:overflowPunct/>
        <w:topLinePunct w:val="0"/>
        <w:autoSpaceDE/>
        <w:autoSpaceDN/>
        <w:bidi w:val="0"/>
        <w:adjustRightInd/>
        <w:snapToGrid/>
        <w:spacing w:line="520" w:lineRule="atLeast"/>
        <w:ind w:right="-67" w:rightChars="-32" w:firstLine="640"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olor w:val="auto"/>
          <w:kern w:val="0"/>
          <w:sz w:val="32"/>
          <w:szCs w:val="32"/>
        </w:rPr>
        <w:t>应当提供产品使用期限的分析评价报告，</w:t>
      </w:r>
      <w:r>
        <w:rPr>
          <w:rFonts w:hint="eastAsia" w:eastAsia="仿宋_GB2312"/>
          <w:color w:val="auto"/>
          <w:kern w:val="0"/>
          <w:sz w:val="32"/>
          <w:szCs w:val="32"/>
          <w:lang w:val="en-US" w:eastAsia="zh-CN"/>
        </w:rPr>
        <w:t>报告中</w:t>
      </w:r>
      <w:r>
        <w:rPr>
          <w:rFonts w:ascii="Times New Roman" w:hAnsi="Times New Roman" w:eastAsia="仿宋_GB2312" w:cs="Times New Roman"/>
          <w:color w:val="auto"/>
          <w:sz w:val="32"/>
          <w:szCs w:val="32"/>
        </w:rPr>
        <w:t>应详述申报产品中包含的易耗、易损、需定期更换或者具有固定使用寿命的主要元器件</w:t>
      </w:r>
      <w:r>
        <w:rPr>
          <w:rFonts w:ascii="Times New Roman" w:hAnsi="Times New Roman" w:eastAsia="仿宋_GB2312" w:cs="Times New Roman"/>
          <w:color w:val="auto"/>
          <w:sz w:val="32"/>
          <w:szCs w:val="32"/>
          <w:highlight w:val="none"/>
        </w:rPr>
        <w:t>（例如</w:t>
      </w:r>
      <w:r>
        <w:rPr>
          <w:rFonts w:hint="eastAsia" w:eastAsia="仿宋_GB2312" w:cs="Times New Roman"/>
          <w:color w:val="auto"/>
          <w:sz w:val="32"/>
          <w:szCs w:val="32"/>
          <w:highlight w:val="none"/>
          <w:lang w:val="en-US" w:eastAsia="zh-CN"/>
        </w:rPr>
        <w:t>注射泵、压力控制器</w:t>
      </w:r>
      <w:r>
        <w:rPr>
          <w:rFonts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val="en-US" w:eastAsia="zh-CN"/>
        </w:rPr>
        <w:t>温度控制器和传感器</w:t>
      </w:r>
      <w:r>
        <w:rPr>
          <w:rFonts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val="en-US" w:eastAsia="zh-CN"/>
        </w:rPr>
        <w:t>激发光源、信号采集器</w:t>
      </w:r>
      <w:r>
        <w:rPr>
          <w:rFonts w:ascii="Times New Roman" w:hAnsi="Times New Roman" w:eastAsia="仿宋_GB2312" w:cs="Times New Roman"/>
          <w:color w:val="auto"/>
          <w:sz w:val="32"/>
          <w:szCs w:val="32"/>
          <w:highlight w:val="none"/>
        </w:rPr>
        <w:t>等）</w:t>
      </w:r>
      <w:r>
        <w:rPr>
          <w:rFonts w:ascii="Times New Roman" w:hAnsi="Times New Roman" w:eastAsia="仿宋_GB2312" w:cs="Times New Roman"/>
          <w:color w:val="auto"/>
          <w:sz w:val="32"/>
          <w:szCs w:val="32"/>
        </w:rPr>
        <w:t>的情况，对影响寿命的因素逐一分析。对于产品中有限次重复使用的部分，应提供使用次数或期限研究资料。应当给出产品使用期限，详述确定产品使用期限的具体理由并提供相关验证数据。</w:t>
      </w:r>
    </w:p>
    <w:p>
      <w:pPr>
        <w:spacing w:line="520" w:lineRule="atLeast"/>
        <w:ind w:firstLine="640"/>
        <w:rPr>
          <w:rFonts w:hint="eastAsia"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有关产品有效期研究资料的详细内容，建议按照《有源医疗器械使用期限注册申报资料指导原则》的要求进行编写。</w:t>
      </w:r>
    </w:p>
    <w:p>
      <w:pPr>
        <w:spacing w:line="520" w:lineRule="atLeast"/>
        <w:ind w:firstLine="640"/>
        <w:rPr>
          <w:rFonts w:hint="eastAsia" w:ascii="Times New Roman" w:hAnsi="Times New Roman" w:eastAsia="仿宋_GB2312"/>
          <w:color w:val="auto"/>
          <w:kern w:val="0"/>
          <w:sz w:val="32"/>
          <w:szCs w:val="32"/>
          <w:lang w:val="en-US" w:eastAsia="zh-CN"/>
        </w:rPr>
      </w:pPr>
      <w:r>
        <w:rPr>
          <w:rFonts w:hint="eastAsia" w:eastAsia="仿宋_GB2312"/>
          <w:color w:val="auto"/>
          <w:kern w:val="0"/>
          <w:sz w:val="32"/>
          <w:szCs w:val="32"/>
          <w:lang w:val="en-US" w:eastAsia="zh-CN"/>
        </w:rPr>
        <w:t>在使用稳定性研究中，应考虑仪器校准和校准时间研究。</w:t>
      </w:r>
    </w:p>
    <w:p>
      <w:pPr>
        <w:keepNext w:val="0"/>
        <w:keepLines w:val="0"/>
        <w:pageBreakBefore w:val="0"/>
        <w:widowControl w:val="0"/>
        <w:kinsoku/>
        <w:wordWrap/>
        <w:overflowPunct/>
        <w:topLinePunct w:val="0"/>
        <w:autoSpaceDE/>
        <w:autoSpaceDN/>
        <w:bidi w:val="0"/>
        <w:adjustRightInd/>
        <w:snapToGrid/>
        <w:spacing w:line="520" w:lineRule="atLeast"/>
        <w:ind w:right="-67" w:rightChars="-32" w:firstLine="640" w:firstLineChars="200"/>
        <w:textAlignment w:val="auto"/>
        <w:rPr>
          <w:rFonts w:hint="eastAsia" w:ascii="Times New Roman" w:hAnsi="Times New Roman" w:eastAsia="仿宋_GB2312"/>
          <w:color w:val="auto"/>
          <w:kern w:val="0"/>
          <w:sz w:val="32"/>
          <w:szCs w:val="32"/>
        </w:rPr>
      </w:pPr>
      <w:r>
        <w:rPr>
          <w:rFonts w:hint="eastAsia" w:eastAsia="仿宋_GB2312" w:cs="Times New Roman"/>
          <w:color w:val="auto"/>
          <w:sz w:val="32"/>
          <w:szCs w:val="32"/>
          <w:lang w:val="en-US" w:eastAsia="zh-CN"/>
        </w:rPr>
        <w:t>4</w:t>
      </w:r>
      <w:r>
        <w:rPr>
          <w:rFonts w:ascii="Times New Roman" w:hAnsi="Times New Roman" w:eastAsia="仿宋_GB2312" w:cs="Times New Roman"/>
          <w:color w:val="auto"/>
          <w:sz w:val="32"/>
          <w:szCs w:val="32"/>
        </w:rPr>
        <w:t>.2产品包装研究资料</w:t>
      </w:r>
    </w:p>
    <w:p>
      <w:pPr>
        <w:spacing w:line="520" w:lineRule="atLeast"/>
        <w:ind w:firstLine="640"/>
        <w:rPr>
          <w:rFonts w:hint="eastAsia"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包装研究提交在宣称的有效期内以及运输储存条件下，保持包装完整性的依据。</w:t>
      </w:r>
      <w:r>
        <w:rPr>
          <w:rFonts w:hint="eastAsia" w:eastAsia="仿宋_GB2312"/>
          <w:color w:val="auto"/>
          <w:kern w:val="0"/>
          <w:sz w:val="32"/>
          <w:szCs w:val="32"/>
          <w:lang w:val="en-US" w:eastAsia="zh-CN"/>
        </w:rPr>
        <w:t>包括振动、跌落等试验。</w:t>
      </w:r>
    </w:p>
    <w:p>
      <w:pPr>
        <w:spacing w:line="520" w:lineRule="atLeast"/>
        <w:ind w:firstLine="640"/>
        <w:rPr>
          <w:rFonts w:ascii="Times New Roman" w:hAnsi="Times New Roman" w:eastAsia="仿宋_GB2312"/>
          <w:color w:val="auto"/>
          <w:sz w:val="32"/>
          <w:szCs w:val="32"/>
        </w:rPr>
      </w:pPr>
      <w:r>
        <w:rPr>
          <w:rFonts w:hint="eastAsia" w:eastAsia="仿宋_GB2312"/>
          <w:color w:val="auto"/>
          <w:kern w:val="0"/>
          <w:sz w:val="32"/>
          <w:szCs w:val="32"/>
          <w:lang w:val="en-US" w:eastAsia="zh-CN"/>
        </w:rPr>
        <w:t>5</w:t>
      </w:r>
      <w:r>
        <w:rPr>
          <w:rFonts w:ascii="Times New Roman" w:hAnsi="Times New Roman" w:eastAsia="仿宋_GB2312"/>
          <w:color w:val="auto"/>
          <w:kern w:val="0"/>
          <w:sz w:val="32"/>
          <w:szCs w:val="32"/>
        </w:rPr>
        <w:t>.</w:t>
      </w:r>
      <w:r>
        <w:rPr>
          <w:rFonts w:hint="eastAsia" w:ascii="Times New Roman" w:hAnsi="Times New Roman" w:eastAsia="仿宋_GB2312"/>
          <w:color w:val="auto"/>
          <w:sz w:val="32"/>
          <w:szCs w:val="32"/>
        </w:rPr>
        <w:t>软件研究</w:t>
      </w:r>
    </w:p>
    <w:p>
      <w:pPr>
        <w:spacing w:line="520" w:lineRule="atLeast"/>
        <w:ind w:firstLine="640"/>
        <w:rPr>
          <w:rFonts w:hint="default" w:ascii="Times New Roman" w:hAnsi="Times New Roman" w:eastAsia="仿宋_GB2312"/>
          <w:color w:val="auto"/>
          <w:kern w:val="0"/>
          <w:sz w:val="32"/>
          <w:szCs w:val="32"/>
          <w:lang w:val="en-US" w:eastAsia="zh-CN"/>
        </w:rPr>
      </w:pPr>
      <w:r>
        <w:rPr>
          <w:rFonts w:hint="eastAsia" w:eastAsia="仿宋_GB2312"/>
          <w:color w:val="auto"/>
          <w:kern w:val="0"/>
          <w:sz w:val="32"/>
          <w:szCs w:val="32"/>
          <w:lang w:val="en-US" w:eastAsia="zh-CN"/>
        </w:rPr>
        <w:t>5</w:t>
      </w:r>
      <w:r>
        <w:rPr>
          <w:rFonts w:ascii="Times New Roman" w:hAnsi="Times New Roman" w:eastAsia="仿宋_GB2312"/>
          <w:color w:val="auto"/>
          <w:kern w:val="0"/>
          <w:sz w:val="32"/>
          <w:szCs w:val="32"/>
        </w:rPr>
        <w:t>.1</w:t>
      </w:r>
      <w:r>
        <w:rPr>
          <w:rFonts w:hint="eastAsia" w:ascii="Times New Roman" w:hAnsi="Times New Roman" w:eastAsia="仿宋_GB2312"/>
          <w:color w:val="auto"/>
          <w:kern w:val="0"/>
          <w:sz w:val="32"/>
          <w:szCs w:val="32"/>
        </w:rPr>
        <w:t>提供</w:t>
      </w:r>
      <w:r>
        <w:rPr>
          <w:rFonts w:hint="eastAsia" w:eastAsia="仿宋_GB2312"/>
          <w:color w:val="auto"/>
          <w:kern w:val="0"/>
          <w:sz w:val="32"/>
          <w:szCs w:val="32"/>
          <w:lang w:val="en-US" w:eastAsia="zh-CN"/>
        </w:rPr>
        <w:t>自研</w:t>
      </w:r>
      <w:r>
        <w:rPr>
          <w:rFonts w:hint="eastAsia" w:ascii="Times New Roman" w:hAnsi="Times New Roman" w:eastAsia="仿宋_GB2312"/>
          <w:color w:val="auto"/>
          <w:kern w:val="0"/>
          <w:sz w:val="32"/>
          <w:szCs w:val="32"/>
        </w:rPr>
        <w:t>软件</w:t>
      </w:r>
      <w:r>
        <w:rPr>
          <w:rFonts w:hint="eastAsia" w:eastAsia="仿宋_GB2312"/>
          <w:color w:val="auto"/>
          <w:kern w:val="0"/>
          <w:sz w:val="32"/>
          <w:szCs w:val="32"/>
          <w:lang w:val="en-US" w:eastAsia="zh-CN"/>
        </w:rPr>
        <w:t>研究报告</w:t>
      </w:r>
      <w:r>
        <w:rPr>
          <w:rFonts w:hint="eastAsia" w:ascii="Times New Roman" w:hAnsi="Times New Roman" w:eastAsia="仿宋_GB2312"/>
          <w:color w:val="auto"/>
          <w:kern w:val="0"/>
          <w:sz w:val="32"/>
          <w:szCs w:val="32"/>
        </w:rPr>
        <w:t>，根据</w:t>
      </w:r>
      <w:r>
        <w:rPr>
          <w:rFonts w:ascii="Times New Roman" w:hAnsi="Times New Roman" w:eastAsia="仿宋_GB2312"/>
          <w:color w:val="auto"/>
          <w:kern w:val="0"/>
          <w:sz w:val="32"/>
          <w:szCs w:val="32"/>
        </w:rPr>
        <w:t>YY/T 0664</w:t>
      </w:r>
      <w:r>
        <w:rPr>
          <w:rFonts w:hint="eastAsia" w:ascii="Times New Roman" w:hAnsi="Times New Roman" w:eastAsia="仿宋_GB2312"/>
          <w:color w:val="auto"/>
          <w:kern w:val="0"/>
          <w:sz w:val="32"/>
          <w:szCs w:val="32"/>
        </w:rPr>
        <w:t>的要求及产品预期的临床检测项目可能对患者造成的风险，确定申报产品随机软件的安全性级别，并按照确定的安全性级别提交随机软件描述文档。考虑到</w:t>
      </w:r>
      <w:r>
        <w:rPr>
          <w:rFonts w:hint="eastAsia" w:eastAsia="仿宋_GB2312"/>
          <w:color w:val="auto"/>
          <w:kern w:val="0"/>
          <w:sz w:val="32"/>
          <w:szCs w:val="32"/>
          <w:lang w:val="en-US" w:eastAsia="zh-CN"/>
        </w:rPr>
        <w:t>数字PCR分析仪</w:t>
      </w:r>
      <w:r>
        <w:rPr>
          <w:rFonts w:hint="eastAsia" w:ascii="Times New Roman" w:hAnsi="Times New Roman" w:eastAsia="仿宋_GB2312"/>
          <w:color w:val="auto"/>
          <w:kern w:val="0"/>
          <w:sz w:val="32"/>
          <w:szCs w:val="32"/>
        </w:rPr>
        <w:t>在临床检验中具有广泛的用途，其软件功能决定了对扩增结果判读的准确与否，如因软件问题造成结果错误，可能会导致临床使用错误结果对患者进行后续治疗，进而对患者造成伤害</w:t>
      </w:r>
      <w:r>
        <w:rPr>
          <w:rFonts w:hint="eastAsia" w:eastAsia="仿宋_GB2312"/>
          <w:color w:val="auto"/>
          <w:kern w:val="0"/>
          <w:sz w:val="32"/>
          <w:szCs w:val="32"/>
          <w:lang w:eastAsia="zh-CN"/>
        </w:rPr>
        <w:t>，</w:t>
      </w:r>
      <w:r>
        <w:rPr>
          <w:rFonts w:hint="eastAsia" w:eastAsia="仿宋_GB2312"/>
          <w:strike w:val="0"/>
          <w:color w:val="auto"/>
          <w:kern w:val="0"/>
          <w:sz w:val="32"/>
          <w:szCs w:val="32"/>
          <w:lang w:val="en-US" w:eastAsia="zh-CN"/>
        </w:rPr>
        <w:t>数字PCR分析仪的软件风险</w:t>
      </w:r>
      <w:r>
        <w:rPr>
          <w:rFonts w:hint="eastAsia" w:eastAsia="仿宋_GB2312"/>
          <w:color w:val="auto"/>
          <w:kern w:val="0"/>
          <w:sz w:val="32"/>
          <w:szCs w:val="32"/>
          <w:lang w:val="en-US" w:eastAsia="zh-CN"/>
        </w:rPr>
        <w:t>不应低于中等级别。</w:t>
      </w:r>
    </w:p>
    <w:p>
      <w:pPr>
        <w:spacing w:line="520" w:lineRule="atLeast"/>
        <w:ind w:firstLine="640"/>
        <w:rPr>
          <w:rFonts w:hint="default" w:ascii="Times New Roman" w:hAnsi="Times New Roman" w:eastAsia="仿宋_GB2312"/>
          <w:color w:val="auto"/>
          <w:kern w:val="0"/>
          <w:sz w:val="32"/>
          <w:szCs w:val="32"/>
          <w:lang w:val="en-US" w:eastAsia="zh-CN"/>
        </w:rPr>
      </w:pPr>
      <w:r>
        <w:rPr>
          <w:rFonts w:hint="eastAsia" w:ascii="Times New Roman" w:hAnsi="Times New Roman" w:eastAsia="仿宋_GB2312"/>
          <w:color w:val="auto"/>
          <w:kern w:val="0"/>
          <w:sz w:val="32"/>
          <w:szCs w:val="32"/>
          <w:lang w:val="en-US" w:eastAsia="zh-CN"/>
        </w:rPr>
        <w:t>数据分析软件应</w:t>
      </w:r>
      <w:r>
        <w:rPr>
          <w:rFonts w:hint="eastAsia" w:eastAsia="仿宋_GB2312"/>
          <w:color w:val="auto"/>
          <w:kern w:val="0"/>
          <w:sz w:val="32"/>
          <w:szCs w:val="32"/>
          <w:lang w:val="en-US" w:eastAsia="zh-CN"/>
        </w:rPr>
        <w:t>支</w:t>
      </w:r>
      <w:r>
        <w:rPr>
          <w:rFonts w:hint="eastAsia" w:eastAsia="仿宋_GB2312"/>
          <w:color w:val="auto"/>
          <w:kern w:val="0"/>
          <w:sz w:val="32"/>
          <w:szCs w:val="32"/>
          <w:highlight w:val="none"/>
          <w:lang w:val="en-US" w:eastAsia="zh-CN"/>
        </w:rPr>
        <w:t>持数据可视化和数据导出。</w:t>
      </w:r>
      <w:r>
        <w:rPr>
          <w:rFonts w:hint="eastAsia" w:ascii="Times New Roman" w:hAnsi="Times New Roman" w:eastAsia="仿宋_GB2312"/>
          <w:color w:val="auto"/>
          <w:kern w:val="0"/>
          <w:sz w:val="32"/>
          <w:szCs w:val="32"/>
          <w:lang w:val="en-US" w:eastAsia="zh-CN"/>
        </w:rPr>
        <w:t>明确</w:t>
      </w:r>
      <w:r>
        <w:rPr>
          <w:rFonts w:hint="eastAsia" w:eastAsia="仿宋_GB2312"/>
          <w:color w:val="auto"/>
          <w:kern w:val="0"/>
          <w:sz w:val="32"/>
          <w:szCs w:val="32"/>
          <w:lang w:val="en-US" w:eastAsia="zh-CN"/>
        </w:rPr>
        <w:t>导出</w:t>
      </w:r>
      <w:r>
        <w:rPr>
          <w:rFonts w:hint="eastAsia" w:ascii="Times New Roman" w:hAnsi="Times New Roman" w:eastAsia="仿宋_GB2312"/>
          <w:color w:val="auto"/>
          <w:kern w:val="0"/>
          <w:sz w:val="32"/>
          <w:szCs w:val="32"/>
          <w:lang w:val="en-US" w:eastAsia="zh-CN"/>
        </w:rPr>
        <w:t>的数据格式和文件格式，</w:t>
      </w:r>
      <w:r>
        <w:rPr>
          <w:rFonts w:hint="eastAsia" w:eastAsia="仿宋_GB2312"/>
          <w:color w:val="auto"/>
          <w:kern w:val="0"/>
          <w:sz w:val="32"/>
          <w:szCs w:val="32"/>
          <w:lang w:val="en-US" w:eastAsia="zh-CN"/>
        </w:rPr>
        <w:t>提供</w:t>
      </w:r>
      <w:r>
        <w:rPr>
          <w:rFonts w:hint="eastAsia" w:ascii="Times New Roman" w:hAnsi="Times New Roman" w:eastAsia="仿宋_GB2312"/>
          <w:color w:val="auto"/>
          <w:kern w:val="0"/>
          <w:sz w:val="32"/>
          <w:szCs w:val="32"/>
          <w:lang w:val="en-US" w:eastAsia="zh-CN"/>
        </w:rPr>
        <w:t>图形化数据输出</w:t>
      </w:r>
      <w:r>
        <w:rPr>
          <w:rFonts w:hint="eastAsia" w:eastAsia="仿宋_GB2312"/>
          <w:color w:val="auto"/>
          <w:kern w:val="0"/>
          <w:sz w:val="32"/>
          <w:szCs w:val="32"/>
          <w:lang w:val="en-US" w:eastAsia="zh-CN"/>
        </w:rPr>
        <w:t>结果</w:t>
      </w:r>
      <w:r>
        <w:rPr>
          <w:rFonts w:hint="eastAsia" w:ascii="Times New Roman" w:hAnsi="Times New Roman" w:eastAsia="仿宋_GB2312"/>
          <w:color w:val="auto"/>
          <w:kern w:val="0"/>
          <w:sz w:val="32"/>
          <w:szCs w:val="32"/>
          <w:lang w:val="en-US" w:eastAsia="zh-CN"/>
        </w:rPr>
        <w:t>，如</w:t>
      </w:r>
      <w:r>
        <w:rPr>
          <w:rFonts w:hint="eastAsia" w:eastAsia="仿宋_GB2312"/>
          <w:color w:val="auto"/>
          <w:kern w:val="0"/>
          <w:sz w:val="32"/>
          <w:szCs w:val="32"/>
          <w:lang w:val="en-US" w:eastAsia="zh-CN"/>
        </w:rPr>
        <w:t>：</w:t>
      </w:r>
      <w:r>
        <w:rPr>
          <w:rFonts w:hint="eastAsia" w:ascii="Times New Roman" w:hAnsi="Times New Roman" w:eastAsia="仿宋_GB2312"/>
          <w:color w:val="auto"/>
          <w:kern w:val="0"/>
          <w:sz w:val="32"/>
          <w:szCs w:val="32"/>
          <w:lang w:val="en-US" w:eastAsia="zh-CN"/>
        </w:rPr>
        <w:t>二维散点图</w:t>
      </w:r>
      <w:r>
        <w:rPr>
          <w:rFonts w:hint="eastAsia" w:eastAsia="仿宋_GB2312"/>
          <w:color w:val="auto"/>
          <w:kern w:val="0"/>
          <w:sz w:val="32"/>
          <w:szCs w:val="32"/>
          <w:lang w:val="en-US" w:eastAsia="zh-CN"/>
        </w:rPr>
        <w:t>、直方图、扩增曲线等。</w:t>
      </w:r>
    </w:p>
    <w:p>
      <w:pPr>
        <w:spacing w:line="520" w:lineRule="atLeast"/>
        <w:ind w:firstLine="640"/>
        <w:rPr>
          <w:rFonts w:ascii="Times New Roman" w:hAnsi="Times New Roman" w:eastAsia="仿宋_GB2312"/>
          <w:color w:val="auto"/>
          <w:sz w:val="32"/>
          <w:szCs w:val="32"/>
        </w:rPr>
      </w:pPr>
      <w:r>
        <w:rPr>
          <w:rFonts w:hint="eastAsia" w:ascii="Times New Roman" w:hAnsi="Times New Roman" w:eastAsia="仿宋_GB2312"/>
          <w:color w:val="auto"/>
          <w:kern w:val="0"/>
          <w:sz w:val="32"/>
          <w:szCs w:val="32"/>
        </w:rPr>
        <w:t>在核心</w:t>
      </w:r>
      <w:r>
        <w:rPr>
          <w:rFonts w:hint="eastAsia" w:eastAsia="仿宋_GB2312"/>
          <w:color w:val="auto"/>
          <w:kern w:val="0"/>
          <w:sz w:val="32"/>
          <w:szCs w:val="32"/>
          <w:lang w:val="en-US" w:eastAsia="zh-CN"/>
        </w:rPr>
        <w:t>功能和核心算法</w:t>
      </w:r>
      <w:r>
        <w:rPr>
          <w:rFonts w:hint="eastAsia" w:ascii="Times New Roman" w:hAnsi="Times New Roman" w:eastAsia="仿宋_GB2312"/>
          <w:color w:val="auto"/>
          <w:kern w:val="0"/>
          <w:sz w:val="32"/>
          <w:szCs w:val="32"/>
        </w:rPr>
        <w:t>部分，应</w:t>
      </w:r>
      <w:r>
        <w:rPr>
          <w:rFonts w:hint="eastAsia" w:eastAsia="仿宋_GB2312"/>
          <w:color w:val="auto"/>
          <w:kern w:val="0"/>
          <w:sz w:val="32"/>
          <w:szCs w:val="32"/>
          <w:lang w:val="en-US" w:eastAsia="zh-CN"/>
        </w:rPr>
        <w:t>具备反应单元识别与分类功能。详述图像处理算法，自动识别有效反应单元，排除气泡、杂质等无效信号；详述阴阳性分类算法，如：自动阈值计算或自动数据分类</w:t>
      </w:r>
      <w:r>
        <w:rPr>
          <w:rFonts w:hint="eastAsia"/>
          <w:color w:val="auto"/>
          <w:lang w:eastAsia="zh-CN"/>
        </w:rPr>
        <w:t>；</w:t>
      </w:r>
      <w:r>
        <w:rPr>
          <w:rFonts w:hint="eastAsia" w:eastAsia="仿宋_GB2312"/>
          <w:color w:val="auto"/>
          <w:kern w:val="0"/>
          <w:sz w:val="32"/>
          <w:szCs w:val="32"/>
          <w:lang w:val="en-US" w:eastAsia="zh-CN"/>
        </w:rPr>
        <w:t>详述泊松分布算法及靶基因浓度的计算</w:t>
      </w:r>
      <w:r>
        <w:rPr>
          <w:rFonts w:hint="eastAsia" w:ascii="Times New Roman" w:hAnsi="Times New Roman" w:eastAsia="仿宋_GB2312"/>
          <w:color w:val="auto"/>
          <w:kern w:val="0"/>
          <w:sz w:val="32"/>
          <w:szCs w:val="32"/>
        </w:rPr>
        <w:t>。</w:t>
      </w:r>
    </w:p>
    <w:p>
      <w:pPr>
        <w:spacing w:line="520" w:lineRule="atLeast"/>
        <w:ind w:firstLine="640"/>
        <w:rPr>
          <w:rFonts w:ascii="Times New Roman" w:hAnsi="Times New Roman" w:eastAsia="仿宋_GB2312"/>
          <w:color w:val="auto"/>
          <w:kern w:val="0"/>
          <w:sz w:val="32"/>
          <w:szCs w:val="32"/>
        </w:rPr>
      </w:pPr>
      <w:r>
        <w:rPr>
          <w:rFonts w:hint="eastAsia" w:eastAsia="仿宋_GB2312"/>
          <w:color w:val="auto"/>
          <w:kern w:val="0"/>
          <w:sz w:val="32"/>
          <w:szCs w:val="32"/>
          <w:lang w:val="en-US" w:eastAsia="zh-CN"/>
        </w:rPr>
        <w:t>5</w:t>
      </w:r>
      <w:r>
        <w:rPr>
          <w:rFonts w:ascii="Times New Roman" w:hAnsi="Times New Roman" w:eastAsia="仿宋_GB2312"/>
          <w:color w:val="auto"/>
          <w:kern w:val="0"/>
          <w:sz w:val="32"/>
          <w:szCs w:val="32"/>
        </w:rPr>
        <w:t>.2</w:t>
      </w:r>
      <w:r>
        <w:rPr>
          <w:rFonts w:hint="eastAsia" w:ascii="Times New Roman" w:hAnsi="Times New Roman" w:eastAsia="仿宋_GB2312"/>
          <w:color w:val="auto"/>
          <w:kern w:val="0"/>
          <w:sz w:val="32"/>
          <w:szCs w:val="32"/>
        </w:rPr>
        <w:t>提供网络安全描述文档，明确申报产品相关的数据类型、数据交换方式、数据导出格式、功能</w:t>
      </w:r>
      <w:r>
        <w:rPr>
          <w:rFonts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rPr>
        <w:t>用途、运行环境等，从保密性、完整性、可得性等方面对申报产品的网络安全性进行风险管理和测试验证，明确网络安全的维护方式等以保证产品安全有效。</w:t>
      </w:r>
    </w:p>
    <w:p>
      <w:pPr>
        <w:spacing w:line="520" w:lineRule="atLeast"/>
        <w:ind w:firstLine="64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olor w:val="auto"/>
          <w:kern w:val="0"/>
          <w:sz w:val="32"/>
          <w:szCs w:val="32"/>
        </w:rPr>
        <w:t>有关软件研究资料的详细内容，建议按照《医疗器械软件注册申报资料指导原则》、《医疗器械网络安全注册技术审查指导原则》的要求进行编写。</w:t>
      </w:r>
    </w:p>
    <w:p>
      <w:pPr>
        <w:spacing w:line="520" w:lineRule="atLeast"/>
        <w:ind w:right="-67" w:rightChars="-32" w:firstLine="640" w:firstLineChars="200"/>
        <w:rPr>
          <w:rFonts w:eastAsia="楷体_GB2312"/>
          <w:color w:val="auto"/>
          <w:sz w:val="32"/>
          <w:szCs w:val="32"/>
        </w:rPr>
      </w:pPr>
      <w:r>
        <w:rPr>
          <w:rFonts w:eastAsia="楷体_GB2312"/>
          <w:color w:val="auto"/>
          <w:sz w:val="32"/>
          <w:szCs w:val="32"/>
        </w:rPr>
        <w:t>（四）</w:t>
      </w:r>
      <w:r>
        <w:rPr>
          <w:rFonts w:hint="eastAsia" w:eastAsia="楷体_GB2312"/>
          <w:color w:val="auto"/>
          <w:sz w:val="32"/>
          <w:szCs w:val="32"/>
        </w:rPr>
        <w:t>临床评价资料</w:t>
      </w:r>
    </w:p>
    <w:p>
      <w:pPr>
        <w:spacing w:line="520" w:lineRule="atLeas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同品种临床评价路径的基本要求</w:t>
      </w:r>
    </w:p>
    <w:p>
      <w:pPr>
        <w:spacing w:line="520" w:lineRule="atLeast"/>
        <w:ind w:right="-67" w:rightChars="-32" w:firstLine="640" w:firstLineChars="200"/>
        <w:rPr>
          <w:rFonts w:eastAsia="仿宋_GB2312"/>
          <w:color w:val="auto"/>
          <w:sz w:val="32"/>
          <w:szCs w:val="32"/>
        </w:rPr>
      </w:pPr>
      <w:r>
        <w:rPr>
          <w:rFonts w:eastAsia="仿宋_GB2312"/>
          <w:color w:val="auto"/>
          <w:sz w:val="32"/>
          <w:szCs w:val="32"/>
        </w:rPr>
        <w:t>1.</w:t>
      </w:r>
      <w:r>
        <w:rPr>
          <w:rFonts w:hint="eastAsia" w:eastAsia="仿宋_GB2312"/>
          <w:color w:val="auto"/>
          <w:sz w:val="32"/>
          <w:szCs w:val="32"/>
          <w:lang w:val="en-US" w:eastAsia="zh-CN"/>
        </w:rPr>
        <w:t>1</w:t>
      </w:r>
      <w:r>
        <w:rPr>
          <w:rFonts w:eastAsia="仿宋_GB2312"/>
          <w:color w:val="auto"/>
          <w:sz w:val="32"/>
          <w:szCs w:val="32"/>
        </w:rPr>
        <w:t>同品种医疗器械判定</w:t>
      </w:r>
    </w:p>
    <w:p>
      <w:pPr>
        <w:autoSpaceDE w:val="0"/>
        <w:autoSpaceDN w:val="0"/>
        <w:adjustRightInd w:val="0"/>
        <w:spacing w:line="520" w:lineRule="atLeast"/>
        <w:ind w:firstLine="640" w:firstLineChars="200"/>
        <w:rPr>
          <w:rFonts w:eastAsia="仿宋_GB2312"/>
          <w:color w:val="auto"/>
          <w:sz w:val="32"/>
          <w:szCs w:val="32"/>
        </w:rPr>
      </w:pPr>
      <w:r>
        <w:rPr>
          <w:rFonts w:eastAsia="仿宋_GB2312"/>
          <w:color w:val="auto"/>
          <w:sz w:val="32"/>
          <w:szCs w:val="32"/>
        </w:rPr>
        <w:t>申请人可按照《医疗器械临床评价技术指导原则》中“同品种医疗器械”的定义和判定，选择已在境内获准注册的对比器械，根据申报产品特征选择合适的对比项目，分析对比器械是否符合同品种医疗器械的要求。</w:t>
      </w:r>
    </w:p>
    <w:p>
      <w:pPr>
        <w:autoSpaceDE w:val="0"/>
        <w:autoSpaceDN w:val="0"/>
        <w:adjustRightInd w:val="0"/>
        <w:spacing w:line="520" w:lineRule="atLeast"/>
        <w:ind w:firstLine="640" w:firstLineChars="200"/>
        <w:rPr>
          <w:rFonts w:eastAsia="仿宋_GB2312"/>
          <w:color w:val="auto"/>
          <w:sz w:val="32"/>
          <w:szCs w:val="32"/>
        </w:rPr>
      </w:pPr>
      <w:r>
        <w:rPr>
          <w:rFonts w:eastAsia="仿宋_GB2312"/>
          <w:color w:val="auto"/>
          <w:sz w:val="32"/>
          <w:szCs w:val="32"/>
        </w:rPr>
        <w:t>申请人所选取的同品种医疗器械应与申报产品适用范围相同，基本原理相同，关键模块构成相同、性能相似，关键指标没有显著差异。</w:t>
      </w:r>
    </w:p>
    <w:p>
      <w:pPr>
        <w:autoSpaceDE w:val="0"/>
        <w:autoSpaceDN w:val="0"/>
        <w:adjustRightInd w:val="0"/>
        <w:spacing w:line="520" w:lineRule="atLeast"/>
        <w:ind w:firstLine="640" w:firstLineChars="200"/>
        <w:rPr>
          <w:rFonts w:eastAsia="仿宋_GB2312"/>
          <w:color w:val="auto"/>
          <w:sz w:val="32"/>
          <w:szCs w:val="32"/>
        </w:rPr>
      </w:pPr>
      <w:r>
        <w:rPr>
          <w:rFonts w:eastAsia="仿宋_GB2312"/>
          <w:color w:val="auto"/>
          <w:sz w:val="32"/>
          <w:szCs w:val="32"/>
        </w:rPr>
        <w:t xml:space="preserve"> </w:t>
      </w:r>
      <w:r>
        <w:rPr>
          <w:rFonts w:hint="eastAsia" w:eastAsia="仿宋_GB2312"/>
          <w:color w:val="auto"/>
          <w:sz w:val="32"/>
          <w:szCs w:val="32"/>
          <w:lang w:val="en-US" w:eastAsia="zh-CN"/>
        </w:rPr>
        <w:t>1.</w:t>
      </w:r>
      <w:r>
        <w:rPr>
          <w:rFonts w:eastAsia="仿宋_GB2312"/>
          <w:color w:val="auto"/>
          <w:sz w:val="32"/>
          <w:szCs w:val="32"/>
        </w:rPr>
        <w:t>2申报产品与对比器械的等同性论证</w:t>
      </w:r>
    </w:p>
    <w:p>
      <w:pPr>
        <w:autoSpaceDE w:val="0"/>
        <w:autoSpaceDN w:val="0"/>
        <w:adjustRightInd w:val="0"/>
        <w:spacing w:line="520" w:lineRule="atLeast"/>
        <w:ind w:firstLine="640" w:firstLineChars="200"/>
        <w:rPr>
          <w:rFonts w:eastAsia="仿宋_GB2312"/>
          <w:color w:val="auto"/>
          <w:sz w:val="32"/>
          <w:szCs w:val="32"/>
        </w:rPr>
      </w:pPr>
      <w:r>
        <w:rPr>
          <w:rFonts w:eastAsia="仿宋_GB2312"/>
          <w:color w:val="auto"/>
          <w:sz w:val="32"/>
          <w:szCs w:val="32"/>
        </w:rPr>
        <w:t>选择合适的对比器械后，应进行相关项目的对比以论证其等同性。对比项目包括但不限于附件1所列举的项目。对比内容包括定性和定量数据、验证和确认结果，应详述二者的相同性和差异性，对于相同性，应提交充分的证据（如产品说明书、审评报告、检验报告、技术要求等）并明确证据来源。对差异性是否对产品的安全有效性产生不利影响，应通过申报产品自身的数据进行验证和/或确认。</w:t>
      </w:r>
    </w:p>
    <w:p>
      <w:pPr>
        <w:overflowPunct w:val="0"/>
        <w:spacing w:line="520" w:lineRule="atLeast"/>
        <w:ind w:firstLine="640" w:firstLineChars="200"/>
        <w:rPr>
          <w:rFonts w:eastAsia="仿宋_GB2312"/>
          <w:color w:val="auto"/>
          <w:sz w:val="32"/>
          <w:szCs w:val="32"/>
        </w:rPr>
      </w:pPr>
      <w:r>
        <w:rPr>
          <w:rFonts w:eastAsia="仿宋_GB2312"/>
          <w:color w:val="auto"/>
          <w:sz w:val="32"/>
          <w:szCs w:val="32"/>
        </w:rPr>
        <w:t>适用范围</w:t>
      </w:r>
      <w:r>
        <w:rPr>
          <w:rFonts w:hint="eastAsia" w:eastAsia="仿宋_GB2312"/>
          <w:color w:val="auto"/>
          <w:sz w:val="32"/>
          <w:szCs w:val="32"/>
        </w:rPr>
        <w:t>应重点关注</w:t>
      </w:r>
      <w:r>
        <w:rPr>
          <w:rFonts w:eastAsia="仿宋_GB2312"/>
          <w:color w:val="auto"/>
          <w:sz w:val="32"/>
          <w:szCs w:val="32"/>
        </w:rPr>
        <w:t>可检测的核酸类型、对使用环境的要求以及</w:t>
      </w:r>
      <w:r>
        <w:rPr>
          <w:rFonts w:hint="eastAsia" w:eastAsia="仿宋_GB2312"/>
          <w:color w:val="auto"/>
          <w:sz w:val="32"/>
          <w:szCs w:val="32"/>
        </w:rPr>
        <w:t>定性/定量检测</w:t>
      </w:r>
      <w:r>
        <w:rPr>
          <w:rFonts w:eastAsia="仿宋_GB2312"/>
          <w:color w:val="auto"/>
          <w:sz w:val="32"/>
          <w:szCs w:val="32"/>
        </w:rPr>
        <w:t>。</w:t>
      </w:r>
    </w:p>
    <w:p>
      <w:pPr>
        <w:overflowPunct w:val="0"/>
        <w:spacing w:line="520" w:lineRule="atLeast"/>
        <w:ind w:firstLine="640" w:firstLineChars="200"/>
        <w:rPr>
          <w:rFonts w:eastAsia="仿宋_GB2312"/>
          <w:color w:val="auto"/>
          <w:sz w:val="32"/>
          <w:szCs w:val="32"/>
        </w:rPr>
      </w:pPr>
      <w:r>
        <w:rPr>
          <w:rFonts w:eastAsia="仿宋_GB2312"/>
          <w:color w:val="auto"/>
          <w:sz w:val="32"/>
          <w:szCs w:val="32"/>
        </w:rPr>
        <w:t>基本原理应重点关注</w:t>
      </w:r>
      <w:r>
        <w:rPr>
          <w:rFonts w:hint="eastAsia" w:eastAsia="仿宋_GB2312"/>
          <w:color w:val="auto"/>
          <w:sz w:val="32"/>
          <w:szCs w:val="32"/>
        </w:rPr>
        <w:t>微反应单元的制备（包括但不限于制备模块的结构、油相/水相的驱动方式、微反应单元质控方式等）、</w:t>
      </w:r>
      <w:r>
        <w:rPr>
          <w:rFonts w:hint="eastAsia" w:eastAsia="仿宋_GB2312"/>
          <w:color w:val="auto"/>
          <w:kern w:val="0"/>
          <w:sz w:val="32"/>
          <w:szCs w:val="32"/>
        </w:rPr>
        <w:t>PCR扩增过程（包括加热方式、温度传过程、散热方式等）</w:t>
      </w:r>
      <w:r>
        <w:rPr>
          <w:rFonts w:hint="eastAsia" w:eastAsia="仿宋_GB2312"/>
          <w:color w:val="auto"/>
          <w:sz w:val="32"/>
          <w:szCs w:val="32"/>
        </w:rPr>
        <w:t>、荧光检测过程（包括但不限于荧光采集模块的结构</w:t>
      </w:r>
      <w:r>
        <w:rPr>
          <w:rFonts w:eastAsia="仿宋_GB2312"/>
          <w:color w:val="auto"/>
          <w:sz w:val="32"/>
          <w:szCs w:val="32"/>
        </w:rPr>
        <w:t>、光源、滤光器件</w:t>
      </w:r>
      <w:r>
        <w:rPr>
          <w:rFonts w:hint="eastAsia" w:eastAsia="仿宋_GB2312"/>
          <w:color w:val="auto"/>
          <w:sz w:val="32"/>
          <w:szCs w:val="32"/>
        </w:rPr>
        <w:t>等）、</w:t>
      </w:r>
      <w:r>
        <w:rPr>
          <w:rFonts w:hint="eastAsia" w:eastAsia="仿宋_GB2312"/>
          <w:color w:val="auto"/>
          <w:kern w:val="0"/>
          <w:sz w:val="32"/>
          <w:szCs w:val="32"/>
        </w:rPr>
        <w:t>软件核心算法（软件一般包括控制软件和数据处理软件）</w:t>
      </w:r>
      <w:r>
        <w:rPr>
          <w:rFonts w:eastAsia="仿宋_GB2312"/>
          <w:color w:val="auto"/>
          <w:sz w:val="32"/>
          <w:szCs w:val="32"/>
        </w:rPr>
        <w:t>等。</w:t>
      </w:r>
    </w:p>
    <w:p>
      <w:pPr>
        <w:overflowPunct w:val="0"/>
        <w:spacing w:line="520" w:lineRule="atLeast"/>
        <w:ind w:firstLine="640" w:firstLineChars="200"/>
        <w:rPr>
          <w:rFonts w:eastAsia="仿宋_GB2312"/>
          <w:color w:val="auto"/>
          <w:sz w:val="32"/>
          <w:szCs w:val="32"/>
        </w:rPr>
      </w:pPr>
      <w:r>
        <w:rPr>
          <w:rFonts w:hint="eastAsia" w:eastAsia="仿宋_GB2312"/>
          <w:color w:val="auto"/>
          <w:sz w:val="32"/>
          <w:szCs w:val="32"/>
        </w:rPr>
        <w:t xml:space="preserve"> 结构与组成</w:t>
      </w:r>
      <w:r>
        <w:rPr>
          <w:rFonts w:eastAsia="仿宋_GB2312"/>
          <w:color w:val="auto"/>
          <w:sz w:val="32"/>
          <w:szCs w:val="32"/>
        </w:rPr>
        <w:t>应重点关注</w:t>
      </w:r>
      <w:r>
        <w:rPr>
          <w:rFonts w:hint="eastAsia" w:eastAsia="仿宋_GB2312"/>
          <w:color w:val="auto"/>
          <w:kern w:val="0"/>
          <w:sz w:val="32"/>
          <w:szCs w:val="32"/>
        </w:rPr>
        <w:t>反应单元制备模块、PCR扩增模块、荧光检测模块、控制模块、机械模块、电源模块、软件等</w:t>
      </w:r>
      <w:r>
        <w:rPr>
          <w:rFonts w:eastAsia="仿宋_GB2312"/>
          <w:color w:val="auto"/>
          <w:sz w:val="32"/>
          <w:szCs w:val="32"/>
        </w:rPr>
        <w:t>，建议结合图示标注及性能参数进行对比。</w:t>
      </w:r>
    </w:p>
    <w:p>
      <w:pPr>
        <w:overflowPunct w:val="0"/>
        <w:spacing w:line="520" w:lineRule="atLeast"/>
        <w:ind w:firstLine="640"/>
        <w:rPr>
          <w:rFonts w:eastAsia="仿宋_GB2312"/>
          <w:color w:val="auto"/>
          <w:sz w:val="32"/>
          <w:szCs w:val="32"/>
        </w:rPr>
      </w:pPr>
      <w:r>
        <w:rPr>
          <w:rFonts w:hint="eastAsia" w:eastAsia="仿宋_GB2312"/>
          <w:color w:val="auto"/>
          <w:sz w:val="32"/>
          <w:szCs w:val="32"/>
        </w:rPr>
        <w:t>整机</w:t>
      </w:r>
      <w:r>
        <w:rPr>
          <w:rFonts w:eastAsia="仿宋_GB2312"/>
          <w:color w:val="auto"/>
          <w:sz w:val="32"/>
          <w:szCs w:val="32"/>
        </w:rPr>
        <w:t>关键指标应重点关注：</w:t>
      </w:r>
      <w:r>
        <w:rPr>
          <w:rFonts w:hint="eastAsia" w:eastAsia="仿宋_GB2312"/>
          <w:color w:val="auto"/>
          <w:sz w:val="32"/>
          <w:szCs w:val="32"/>
        </w:rPr>
        <w:t>样本/反应通量、上样体积、激发光源、荧光通道；</w:t>
      </w:r>
      <w:r>
        <w:rPr>
          <w:rFonts w:hint="eastAsia" w:eastAsia="仿宋_GB2312"/>
          <w:color w:val="auto"/>
          <w:kern w:val="0"/>
          <w:sz w:val="32"/>
          <w:szCs w:val="32"/>
        </w:rPr>
        <w:t>反应单元均匀性（数量、体积）、温度控制（升降温控温精度、温度准确度、温度均匀性）、荧光强度重复性、荧光干扰、样本检测准确性、样本检测重复性、样本线性、荧光线性</w:t>
      </w:r>
      <w:r>
        <w:rPr>
          <w:rFonts w:hint="eastAsia" w:eastAsia="仿宋_GB2312"/>
          <w:color w:val="auto"/>
          <w:sz w:val="32"/>
          <w:szCs w:val="32"/>
        </w:rPr>
        <w:t>等</w:t>
      </w:r>
      <w:r>
        <w:rPr>
          <w:rFonts w:eastAsia="仿宋_GB2312"/>
          <w:color w:val="auto"/>
          <w:sz w:val="32"/>
          <w:szCs w:val="32"/>
        </w:rPr>
        <w:t>。</w:t>
      </w:r>
    </w:p>
    <w:p>
      <w:pPr>
        <w:overflowPunct w:val="0"/>
        <w:spacing w:line="520" w:lineRule="atLeast"/>
        <w:ind w:firstLine="640" w:firstLineChars="200"/>
        <w:rPr>
          <w:rFonts w:eastAsia="仿宋_GB2312"/>
          <w:color w:val="auto"/>
          <w:sz w:val="32"/>
          <w:szCs w:val="32"/>
        </w:rPr>
      </w:pPr>
      <w:r>
        <w:rPr>
          <w:rFonts w:eastAsia="仿宋_GB2312"/>
          <w:color w:val="auto"/>
          <w:sz w:val="32"/>
          <w:szCs w:val="32"/>
        </w:rPr>
        <w:t>根据上述比较，如对比产品不符合同品种产品要求的，应重新选择对比产品进行同品种比较或补充申报产品的临床试验资料；如申报产品与对比器械可判定为同品种产品，还需对两者之间的差异进行阐述并对是否对产品安全性、有效性产生不利影响进行进一步评价。相关内容可参考《医疗器械临床评价等同性论证技术指导原则》。</w:t>
      </w:r>
    </w:p>
    <w:p>
      <w:pPr>
        <w:spacing w:line="520" w:lineRule="atLeast"/>
        <w:ind w:right="-67" w:rightChars="-32" w:firstLine="640" w:firstLineChars="200"/>
        <w:rPr>
          <w:rFonts w:eastAsia="仿宋_GB2312"/>
          <w:color w:val="auto"/>
          <w:sz w:val="32"/>
          <w:szCs w:val="32"/>
        </w:rPr>
      </w:pPr>
      <w:r>
        <w:rPr>
          <w:rFonts w:hint="eastAsia" w:eastAsia="仿宋_GB2312"/>
          <w:color w:val="auto"/>
          <w:sz w:val="32"/>
          <w:szCs w:val="32"/>
          <w:lang w:val="en-US" w:eastAsia="zh-CN"/>
        </w:rPr>
        <w:t>1.3</w:t>
      </w:r>
      <w:r>
        <w:rPr>
          <w:rFonts w:eastAsia="仿宋_GB2312"/>
          <w:color w:val="auto"/>
          <w:sz w:val="32"/>
          <w:szCs w:val="32"/>
        </w:rPr>
        <w:t>差异性部分的安全有效性证据</w:t>
      </w:r>
    </w:p>
    <w:p>
      <w:pPr>
        <w:overflowPunct w:val="0"/>
        <w:spacing w:line="520" w:lineRule="atLeast"/>
        <w:ind w:firstLine="640" w:firstLineChars="200"/>
        <w:rPr>
          <w:rFonts w:eastAsia="仿宋_GB2312"/>
          <w:color w:val="auto"/>
          <w:sz w:val="32"/>
          <w:szCs w:val="32"/>
        </w:rPr>
      </w:pPr>
      <w:r>
        <w:rPr>
          <w:rFonts w:eastAsia="仿宋_GB2312"/>
          <w:color w:val="auto"/>
          <w:sz w:val="32"/>
          <w:szCs w:val="32"/>
        </w:rPr>
        <w:t>针对申报产品与对比器械之间的差异，注册申请人需提交充分的科学证据证明二者的安全有效性等同。</w:t>
      </w:r>
    </w:p>
    <w:p>
      <w:pPr>
        <w:overflowPunct w:val="0"/>
        <w:spacing w:line="520" w:lineRule="atLeast"/>
        <w:ind w:firstLine="640" w:firstLineChars="200"/>
        <w:rPr>
          <w:rFonts w:eastAsia="仿宋_GB2312"/>
          <w:color w:val="auto"/>
          <w:sz w:val="32"/>
          <w:szCs w:val="32"/>
        </w:rPr>
      </w:pPr>
      <w:r>
        <w:rPr>
          <w:rFonts w:eastAsia="仿宋_GB2312"/>
          <w:color w:val="auto"/>
          <w:sz w:val="32"/>
          <w:szCs w:val="32"/>
        </w:rPr>
        <w:t>科学证据包括但不限于：差异对模块性能的影响研究，差异对</w:t>
      </w:r>
      <w:r>
        <w:rPr>
          <w:rFonts w:hint="eastAsia" w:eastAsia="仿宋_GB2312"/>
          <w:color w:val="auto"/>
          <w:sz w:val="32"/>
          <w:szCs w:val="32"/>
        </w:rPr>
        <w:t>整机性能</w:t>
      </w:r>
      <w:r>
        <w:rPr>
          <w:rFonts w:eastAsia="仿宋_GB2312"/>
          <w:color w:val="auto"/>
          <w:sz w:val="32"/>
          <w:szCs w:val="32"/>
        </w:rPr>
        <w:t>的影响研究。通常为研究资料或验证报告等。科学证据应详细说明针对差异进行的研究方式及研究结果，通常需包括准确、可靠、完整、可追溯的数据，必要时包括数据的产生过程，试验数据建议来自有良好质量控制的实验室；应进一步评价差异是否影响性能，以及影响的程度和范围，必要时提供临床试验数据进行确认。</w:t>
      </w:r>
    </w:p>
    <w:p>
      <w:pPr>
        <w:autoSpaceDE w:val="0"/>
        <w:autoSpaceDN w:val="0"/>
        <w:adjustRightInd w:val="0"/>
        <w:spacing w:line="520" w:lineRule="atLeast"/>
        <w:ind w:firstLine="640" w:firstLineChars="200"/>
        <w:rPr>
          <w:rFonts w:eastAsia="仿宋_GB2312"/>
          <w:color w:val="auto"/>
          <w:sz w:val="32"/>
          <w:szCs w:val="32"/>
        </w:rPr>
      </w:pPr>
      <w:r>
        <w:rPr>
          <w:rFonts w:eastAsia="仿宋_GB2312"/>
          <w:color w:val="auto"/>
          <w:sz w:val="32"/>
          <w:szCs w:val="32"/>
        </w:rPr>
        <w:t>不同情形所需提交的支持性资料不尽相同，申请人应当根据具体差异点提供相应的支持性资料，资料的类型和数量应根据申报产品和对比产品的差异点对产品安全性、有效性的影响进行确定。具体内容可参考表1，表1中具体情况举例可能不能涵盖所有情况，申请人应根据申报产品的具体情况进行列举和判定，并给出判定的具体理由。</w:t>
      </w:r>
    </w:p>
    <w:p>
      <w:pPr>
        <w:autoSpaceDE w:val="0"/>
        <w:autoSpaceDN w:val="0"/>
        <w:adjustRightInd w:val="0"/>
        <w:spacing w:line="520" w:lineRule="atLeast"/>
        <w:ind w:firstLine="640" w:firstLineChars="200"/>
        <w:rPr>
          <w:rFonts w:eastAsia="仿宋_GB2312"/>
          <w:color w:val="auto"/>
          <w:sz w:val="32"/>
          <w:szCs w:val="32"/>
        </w:rPr>
      </w:pPr>
    </w:p>
    <w:p>
      <w:pPr>
        <w:autoSpaceDE w:val="0"/>
        <w:autoSpaceDN w:val="0"/>
        <w:adjustRightInd w:val="0"/>
        <w:spacing w:line="520" w:lineRule="atLeast"/>
        <w:jc w:val="center"/>
        <w:rPr>
          <w:rFonts w:eastAsia="黑体"/>
          <w:color w:val="auto"/>
          <w:sz w:val="28"/>
          <w:szCs w:val="28"/>
        </w:rPr>
      </w:pPr>
      <w:r>
        <w:rPr>
          <w:rFonts w:eastAsia="黑体"/>
          <w:color w:val="auto"/>
          <w:sz w:val="28"/>
          <w:szCs w:val="28"/>
        </w:rPr>
        <w:t>表1 申报产品与对比产品关系及需提交资料类型表</w:t>
      </w:r>
    </w:p>
    <w:tbl>
      <w:tblPr>
        <w:tblStyle w:val="10"/>
        <w:tblW w:w="9040"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1440"/>
        <w:gridCol w:w="4430"/>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787" w:type="dxa"/>
            <w:tcBorders>
              <w:top w:val="single" w:color="auto" w:sz="4" w:space="0"/>
              <w:left w:val="single" w:color="auto" w:sz="4" w:space="0"/>
              <w:bottom w:val="single" w:color="auto" w:sz="4" w:space="0"/>
              <w:right w:val="single" w:color="auto" w:sz="4" w:space="0"/>
            </w:tcBorders>
            <w:vAlign w:val="center"/>
          </w:tcPr>
          <w:p>
            <w:pPr>
              <w:spacing w:line="520" w:lineRule="atLeast"/>
              <w:jc w:val="center"/>
              <w:rPr>
                <w:rFonts w:ascii="仿宋_GB2312" w:eastAsia="仿宋_GB2312" w:cs="仿宋_GB2312"/>
                <w:color w:val="auto"/>
                <w:spacing w:val="-4"/>
                <w:sz w:val="28"/>
                <w:szCs w:val="28"/>
              </w:rPr>
            </w:pPr>
            <w:r>
              <w:rPr>
                <w:rFonts w:hint="eastAsia" w:ascii="仿宋_GB2312" w:eastAsia="仿宋_GB2312" w:cs="仿宋_GB2312"/>
                <w:color w:val="auto"/>
                <w:spacing w:val="-4"/>
                <w:sz w:val="28"/>
                <w:szCs w:val="28"/>
              </w:rPr>
              <w:t>申报产品与对比产品关系</w:t>
            </w:r>
          </w:p>
        </w:tc>
        <w:tc>
          <w:tcPr>
            <w:tcW w:w="1440" w:type="dxa"/>
            <w:tcBorders>
              <w:top w:val="single" w:color="auto" w:sz="4" w:space="0"/>
              <w:left w:val="single" w:color="auto" w:sz="4" w:space="0"/>
              <w:bottom w:val="single" w:color="auto" w:sz="4" w:space="0"/>
              <w:right w:val="single" w:color="auto" w:sz="4" w:space="0"/>
            </w:tcBorders>
            <w:vAlign w:val="center"/>
          </w:tcPr>
          <w:p>
            <w:pPr>
              <w:spacing w:line="520" w:lineRule="atLeast"/>
              <w:jc w:val="center"/>
              <w:rPr>
                <w:rFonts w:ascii="仿宋_GB2312" w:eastAsia="仿宋_GB2312" w:cs="仿宋_GB2312"/>
                <w:color w:val="auto"/>
                <w:spacing w:val="-4"/>
                <w:sz w:val="28"/>
                <w:szCs w:val="28"/>
              </w:rPr>
            </w:pPr>
            <w:r>
              <w:rPr>
                <w:rFonts w:hint="eastAsia" w:ascii="仿宋_GB2312" w:eastAsia="仿宋_GB2312" w:cs="仿宋_GB2312"/>
                <w:color w:val="auto"/>
                <w:spacing w:val="-4"/>
                <w:sz w:val="28"/>
                <w:szCs w:val="28"/>
              </w:rPr>
              <w:t>申报产品与对比产品差异类型</w:t>
            </w:r>
          </w:p>
        </w:tc>
        <w:tc>
          <w:tcPr>
            <w:tcW w:w="4430" w:type="dxa"/>
            <w:tcBorders>
              <w:top w:val="single" w:color="auto" w:sz="4" w:space="0"/>
              <w:left w:val="single" w:color="auto" w:sz="4" w:space="0"/>
              <w:bottom w:val="single" w:color="auto" w:sz="4" w:space="0"/>
              <w:right w:val="single" w:color="auto" w:sz="4" w:space="0"/>
            </w:tcBorders>
            <w:vAlign w:val="center"/>
          </w:tcPr>
          <w:p>
            <w:pPr>
              <w:spacing w:line="520" w:lineRule="atLeast"/>
              <w:jc w:val="center"/>
              <w:rPr>
                <w:rFonts w:ascii="仿宋_GB2312" w:eastAsia="仿宋_GB2312" w:cs="仿宋_GB2312"/>
                <w:color w:val="auto"/>
                <w:spacing w:val="-4"/>
                <w:sz w:val="28"/>
                <w:szCs w:val="28"/>
              </w:rPr>
            </w:pPr>
            <w:r>
              <w:rPr>
                <w:rFonts w:hint="eastAsia" w:ascii="仿宋_GB2312" w:eastAsia="仿宋_GB2312" w:cs="仿宋_GB2312"/>
                <w:color w:val="auto"/>
                <w:spacing w:val="-4"/>
                <w:sz w:val="28"/>
                <w:szCs w:val="28"/>
              </w:rPr>
              <w:t>具体情况举例</w:t>
            </w:r>
          </w:p>
        </w:tc>
        <w:tc>
          <w:tcPr>
            <w:tcW w:w="1383" w:type="dxa"/>
            <w:tcBorders>
              <w:top w:val="single" w:color="auto" w:sz="4" w:space="0"/>
              <w:left w:val="single" w:color="auto" w:sz="4" w:space="0"/>
              <w:bottom w:val="single" w:color="auto" w:sz="4" w:space="0"/>
              <w:right w:val="single" w:color="auto" w:sz="4" w:space="0"/>
            </w:tcBorders>
            <w:vAlign w:val="center"/>
          </w:tcPr>
          <w:p>
            <w:pPr>
              <w:spacing w:line="520" w:lineRule="atLeast"/>
              <w:jc w:val="center"/>
              <w:rPr>
                <w:rFonts w:ascii="仿宋_GB2312" w:eastAsia="仿宋_GB2312" w:cs="仿宋_GB2312"/>
                <w:color w:val="auto"/>
                <w:spacing w:val="-4"/>
                <w:sz w:val="28"/>
                <w:szCs w:val="28"/>
              </w:rPr>
            </w:pPr>
            <w:r>
              <w:rPr>
                <w:rFonts w:hint="eastAsia" w:ascii="仿宋_GB2312" w:eastAsia="仿宋_GB2312" w:cs="仿宋_GB2312"/>
                <w:color w:val="auto"/>
                <w:spacing w:val="-4"/>
                <w:sz w:val="28"/>
                <w:szCs w:val="28"/>
              </w:rPr>
              <w:t>需提交</w:t>
            </w:r>
          </w:p>
          <w:p>
            <w:pPr>
              <w:spacing w:line="520" w:lineRule="atLeast"/>
              <w:jc w:val="center"/>
              <w:rPr>
                <w:rFonts w:ascii="仿宋_GB2312" w:eastAsia="仿宋_GB2312" w:cs="仿宋_GB2312"/>
                <w:color w:val="auto"/>
                <w:spacing w:val="-4"/>
                <w:sz w:val="28"/>
                <w:szCs w:val="28"/>
              </w:rPr>
            </w:pPr>
            <w:r>
              <w:rPr>
                <w:rFonts w:hint="eastAsia" w:ascii="仿宋_GB2312" w:eastAsia="仿宋_GB2312" w:cs="仿宋_GB2312"/>
                <w:color w:val="auto"/>
                <w:spacing w:val="-4"/>
                <w:sz w:val="28"/>
                <w:szCs w:val="28"/>
              </w:rPr>
              <w:t>资料类型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1787" w:type="dxa"/>
            <w:vMerge w:val="restart"/>
            <w:tcBorders>
              <w:top w:val="nil"/>
              <w:left w:val="single" w:color="auto" w:sz="4" w:space="0"/>
              <w:bottom w:val="single" w:color="auto" w:sz="4" w:space="0"/>
              <w:right w:val="single" w:color="auto" w:sz="4" w:space="0"/>
            </w:tcBorders>
            <w:vAlign w:val="center"/>
          </w:tcPr>
          <w:p>
            <w:pPr>
              <w:spacing w:line="520" w:lineRule="atLeast"/>
              <w:jc w:val="center"/>
              <w:rPr>
                <w:rFonts w:ascii="仿宋_GB2312" w:eastAsia="仿宋_GB2312" w:cs="仿宋_GB2312"/>
                <w:color w:val="auto"/>
                <w:spacing w:val="-4"/>
                <w:sz w:val="28"/>
                <w:szCs w:val="28"/>
              </w:rPr>
            </w:pPr>
            <w:r>
              <w:rPr>
                <w:rFonts w:hint="eastAsia" w:ascii="仿宋_GB2312" w:eastAsia="仿宋_GB2312" w:cs="仿宋_GB2312"/>
                <w:color w:val="auto"/>
                <w:spacing w:val="-4"/>
                <w:sz w:val="28"/>
                <w:szCs w:val="28"/>
              </w:rPr>
              <w:t>属于同品种</w:t>
            </w:r>
          </w:p>
        </w:tc>
        <w:tc>
          <w:tcPr>
            <w:tcW w:w="1440" w:type="dxa"/>
            <w:tcBorders>
              <w:top w:val="single" w:color="auto" w:sz="4" w:space="0"/>
              <w:left w:val="single" w:color="auto" w:sz="4" w:space="0"/>
              <w:bottom w:val="single" w:color="auto" w:sz="4" w:space="0"/>
              <w:right w:val="single" w:color="auto" w:sz="4" w:space="0"/>
            </w:tcBorders>
            <w:vAlign w:val="center"/>
          </w:tcPr>
          <w:p>
            <w:pPr>
              <w:spacing w:line="520" w:lineRule="atLeast"/>
              <w:jc w:val="center"/>
              <w:rPr>
                <w:rFonts w:ascii="仿宋_GB2312" w:eastAsia="仿宋_GB2312" w:cs="仿宋_GB2312"/>
                <w:color w:val="auto"/>
                <w:spacing w:val="-4"/>
                <w:sz w:val="28"/>
                <w:szCs w:val="28"/>
              </w:rPr>
            </w:pPr>
            <w:r>
              <w:rPr>
                <w:rFonts w:hint="eastAsia" w:ascii="仿宋_GB2312" w:eastAsia="仿宋_GB2312" w:cs="仿宋_GB2312"/>
                <w:color w:val="auto"/>
                <w:spacing w:val="-4"/>
                <w:sz w:val="28"/>
                <w:szCs w:val="28"/>
              </w:rPr>
              <w:t>通常提交非临床研究可能充分证明的差异</w:t>
            </w:r>
          </w:p>
        </w:tc>
        <w:tc>
          <w:tcPr>
            <w:tcW w:w="4430" w:type="dxa"/>
            <w:tcBorders>
              <w:top w:val="single" w:color="auto" w:sz="4" w:space="0"/>
              <w:left w:val="single" w:color="auto" w:sz="4" w:space="0"/>
              <w:bottom w:val="single" w:color="auto" w:sz="4" w:space="0"/>
              <w:right w:val="single" w:color="auto" w:sz="4" w:space="0"/>
            </w:tcBorders>
            <w:vAlign w:val="center"/>
          </w:tcPr>
          <w:p>
            <w:pPr>
              <w:spacing w:line="520" w:lineRule="atLeast"/>
              <w:rPr>
                <w:rFonts w:ascii="仿宋_GB2312" w:eastAsia="仿宋_GB2312" w:cs="仿宋_GB2312"/>
                <w:color w:val="auto"/>
                <w:spacing w:val="-4"/>
                <w:sz w:val="28"/>
                <w:szCs w:val="28"/>
              </w:rPr>
            </w:pPr>
            <w:r>
              <w:rPr>
                <w:rFonts w:hint="eastAsia" w:ascii="仿宋_GB2312" w:eastAsia="仿宋_GB2312" w:cs="仿宋_GB2312"/>
                <w:color w:val="auto"/>
                <w:spacing w:val="-4"/>
                <w:sz w:val="28"/>
                <w:szCs w:val="28"/>
              </w:rPr>
              <w:t>前提：申报产品适用范围不超出对比产品；基本原理（例如</w:t>
            </w:r>
            <w:r>
              <w:rPr>
                <w:rFonts w:hint="eastAsia" w:ascii="仿宋_GB2312" w:eastAsia="仿宋_GB2312" w:cs="仿宋_GB2312"/>
                <w:spacing w:val="-4"/>
                <w:sz w:val="28"/>
                <w:szCs w:val="28"/>
              </w:rPr>
              <w:t>反应单元制备原理</w:t>
            </w:r>
            <w:r>
              <w:rPr>
                <w:rFonts w:hint="eastAsia" w:ascii="仿宋_GB2312" w:eastAsia="仿宋_GB2312" w:cs="仿宋_GB2312"/>
                <w:color w:val="auto"/>
                <w:spacing w:val="-4"/>
                <w:sz w:val="28"/>
                <w:szCs w:val="28"/>
              </w:rPr>
              <w:t>、</w:t>
            </w:r>
            <w:r>
              <w:rPr>
                <w:rFonts w:hint="eastAsia" w:ascii="仿宋_GB2312" w:eastAsia="仿宋_GB2312" w:cs="仿宋_GB2312"/>
                <w:spacing w:val="-4"/>
                <w:sz w:val="28"/>
                <w:szCs w:val="28"/>
              </w:rPr>
              <w:t>微反应单元</w:t>
            </w:r>
            <w:r>
              <w:rPr>
                <w:rFonts w:hint="eastAsia" w:ascii="仿宋_GB2312" w:eastAsia="仿宋_GB2312" w:cs="仿宋_GB2312"/>
                <w:color w:val="auto"/>
                <w:spacing w:val="-4"/>
                <w:sz w:val="28"/>
                <w:szCs w:val="28"/>
              </w:rPr>
              <w:t>的荧光信号采集原理、信号处理与分析原理）与对比产品一致；申报产品的关键模块构成与对比产品基本一致。以下针对以下差异可提供非临床研究。</w:t>
            </w:r>
          </w:p>
          <w:p>
            <w:pPr>
              <w:spacing w:line="520" w:lineRule="atLeast"/>
              <w:rPr>
                <w:rFonts w:ascii="仿宋_GB2312" w:eastAsia="仿宋_GB2312" w:cs="仿宋_GB2312"/>
                <w:color w:val="auto"/>
                <w:spacing w:val="-4"/>
                <w:sz w:val="28"/>
                <w:szCs w:val="28"/>
              </w:rPr>
            </w:pPr>
            <w:r>
              <w:rPr>
                <w:rFonts w:hint="eastAsia" w:ascii="仿宋_GB2312" w:eastAsia="仿宋_GB2312" w:cs="仿宋_GB2312"/>
                <w:color w:val="auto"/>
                <w:spacing w:val="-4"/>
                <w:sz w:val="28"/>
                <w:szCs w:val="28"/>
              </w:rPr>
              <w:t>1</w:t>
            </w:r>
            <w:r>
              <w:rPr>
                <w:rFonts w:ascii="仿宋_GB2312" w:eastAsia="仿宋_GB2312" w:cs="仿宋_GB2312"/>
                <w:color w:val="auto"/>
                <w:spacing w:val="-4"/>
                <w:sz w:val="28"/>
                <w:szCs w:val="28"/>
              </w:rPr>
              <w:t>.</w:t>
            </w:r>
            <w:r>
              <w:rPr>
                <w:rFonts w:hint="eastAsia" w:ascii="仿宋_GB2312" w:eastAsia="仿宋_GB2312" w:cs="仿宋_GB2312"/>
                <w:color w:val="auto"/>
                <w:spacing w:val="-4"/>
                <w:sz w:val="28"/>
                <w:szCs w:val="28"/>
              </w:rPr>
              <w:t>申报产品与对比产品相比，临床功能模块及模块性能存在差异。</w:t>
            </w:r>
          </w:p>
          <w:p>
            <w:pPr>
              <w:spacing w:line="520" w:lineRule="atLeast"/>
              <w:rPr>
                <w:rFonts w:ascii="仿宋_GB2312" w:eastAsia="仿宋_GB2312" w:cs="仿宋_GB2312"/>
                <w:color w:val="auto"/>
                <w:spacing w:val="-4"/>
                <w:sz w:val="28"/>
                <w:szCs w:val="28"/>
              </w:rPr>
            </w:pPr>
            <w:r>
              <w:rPr>
                <w:rFonts w:hint="eastAsia" w:ascii="仿宋_GB2312" w:eastAsia="仿宋_GB2312" w:cs="仿宋_GB2312"/>
                <w:color w:val="auto"/>
                <w:spacing w:val="-4"/>
                <w:sz w:val="28"/>
                <w:szCs w:val="28"/>
              </w:rPr>
              <w:t>2</w:t>
            </w:r>
            <w:r>
              <w:rPr>
                <w:rFonts w:ascii="仿宋_GB2312" w:eastAsia="仿宋_GB2312" w:cs="仿宋_GB2312"/>
                <w:color w:val="auto"/>
                <w:spacing w:val="-4"/>
                <w:sz w:val="28"/>
                <w:szCs w:val="28"/>
              </w:rPr>
              <w:t>.</w:t>
            </w:r>
            <w:r>
              <w:rPr>
                <w:rFonts w:hint="eastAsia" w:ascii="仿宋_GB2312" w:eastAsia="仿宋_GB2312" w:cs="仿宋_GB2312"/>
                <w:color w:val="auto"/>
                <w:spacing w:val="-4"/>
                <w:sz w:val="28"/>
                <w:szCs w:val="28"/>
              </w:rPr>
              <w:t>申报产品与对比产品相比，有效上样体积、</w:t>
            </w:r>
            <w:r>
              <w:rPr>
                <w:rFonts w:hint="eastAsia" w:eastAsia="仿宋_GB2312"/>
                <w:color w:val="auto"/>
                <w:sz w:val="28"/>
                <w:szCs w:val="28"/>
              </w:rPr>
              <w:t>微反应单元</w:t>
            </w:r>
            <w:r>
              <w:rPr>
                <w:rFonts w:hint="eastAsia" w:ascii="仿宋_GB2312" w:eastAsia="仿宋_GB2312" w:cs="仿宋_GB2312"/>
                <w:color w:val="auto"/>
                <w:spacing w:val="-4"/>
                <w:sz w:val="28"/>
                <w:szCs w:val="28"/>
              </w:rPr>
              <w:t>有效数量、</w:t>
            </w:r>
            <w:r>
              <w:rPr>
                <w:rFonts w:hint="eastAsia" w:eastAsia="仿宋_GB2312"/>
                <w:color w:val="auto"/>
                <w:sz w:val="28"/>
                <w:szCs w:val="28"/>
              </w:rPr>
              <w:t>微反应单元</w:t>
            </w:r>
            <w:r>
              <w:rPr>
                <w:rFonts w:hint="eastAsia" w:ascii="仿宋_GB2312" w:eastAsia="仿宋_GB2312" w:cs="仿宋_GB2312"/>
                <w:color w:val="auto"/>
                <w:spacing w:val="-4"/>
                <w:sz w:val="28"/>
                <w:szCs w:val="28"/>
              </w:rPr>
              <w:t>体积与对比产品不一致，但差异未造成产品性能的明显差异。</w:t>
            </w:r>
          </w:p>
          <w:p>
            <w:pPr>
              <w:spacing w:line="520" w:lineRule="atLeast"/>
              <w:rPr>
                <w:rFonts w:ascii="仿宋_GB2312" w:eastAsia="仿宋_GB2312" w:cs="仿宋_GB2312"/>
                <w:color w:val="auto"/>
                <w:spacing w:val="-4"/>
                <w:sz w:val="28"/>
                <w:szCs w:val="28"/>
              </w:rPr>
            </w:pPr>
            <w:r>
              <w:rPr>
                <w:rFonts w:ascii="仿宋_GB2312" w:eastAsia="仿宋_GB2312" w:cs="仿宋_GB2312"/>
                <w:color w:val="auto"/>
                <w:spacing w:val="-4"/>
                <w:sz w:val="28"/>
                <w:szCs w:val="28"/>
              </w:rPr>
              <w:t>3.</w:t>
            </w:r>
            <w:r>
              <w:rPr>
                <w:rFonts w:hint="eastAsia" w:ascii="仿宋_GB2312" w:eastAsia="仿宋_GB2312" w:cs="仿宋_GB2312"/>
                <w:color w:val="auto"/>
                <w:spacing w:val="-4"/>
                <w:sz w:val="28"/>
                <w:szCs w:val="28"/>
              </w:rPr>
              <w:t>申报产品与对比产品相比，整机在性能和安全性（电气安全、电磁兼容等）存在差异，差异不影响产品临床应用。</w:t>
            </w:r>
          </w:p>
        </w:tc>
        <w:tc>
          <w:tcPr>
            <w:tcW w:w="1383" w:type="dxa"/>
            <w:tcBorders>
              <w:top w:val="single" w:color="auto" w:sz="4" w:space="0"/>
              <w:left w:val="single" w:color="auto" w:sz="4" w:space="0"/>
              <w:bottom w:val="single" w:color="auto" w:sz="4" w:space="0"/>
              <w:right w:val="single" w:color="auto" w:sz="4" w:space="0"/>
            </w:tcBorders>
            <w:vAlign w:val="center"/>
          </w:tcPr>
          <w:p>
            <w:pPr>
              <w:spacing w:line="520" w:lineRule="atLeast"/>
              <w:jc w:val="center"/>
              <w:rPr>
                <w:rFonts w:ascii="仿宋_GB2312" w:eastAsia="仿宋_GB2312" w:cs="仿宋_GB2312"/>
                <w:color w:val="auto"/>
                <w:spacing w:val="-4"/>
                <w:sz w:val="28"/>
                <w:szCs w:val="28"/>
              </w:rPr>
            </w:pPr>
            <w:r>
              <w:rPr>
                <w:rFonts w:hint="eastAsia" w:ascii="仿宋_GB2312" w:eastAsia="仿宋_GB2312" w:cs="仿宋_GB2312"/>
                <w:color w:val="auto"/>
                <w:spacing w:val="-4"/>
                <w:sz w:val="28"/>
                <w:szCs w:val="28"/>
              </w:rPr>
              <w:t>通常提交非临床研究可能充分证明的差异：非临床研究、和/或临床文献数据、和/或临床经验数据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7" w:type="dxa"/>
            <w:vMerge w:val="continue"/>
            <w:tcBorders>
              <w:top w:val="nil"/>
              <w:left w:val="single" w:color="auto" w:sz="4" w:space="0"/>
              <w:bottom w:val="single" w:color="auto" w:sz="4" w:space="0"/>
              <w:right w:val="single" w:color="auto" w:sz="4" w:space="0"/>
            </w:tcBorders>
            <w:vAlign w:val="center"/>
          </w:tcPr>
          <w:p>
            <w:pPr>
              <w:spacing w:line="520" w:lineRule="atLeast"/>
              <w:rPr>
                <w:color w:val="auto"/>
              </w:rPr>
            </w:pPr>
          </w:p>
        </w:tc>
        <w:tc>
          <w:tcPr>
            <w:tcW w:w="1440" w:type="dxa"/>
            <w:tcBorders>
              <w:top w:val="single" w:color="auto" w:sz="4" w:space="0"/>
              <w:left w:val="single" w:color="auto" w:sz="4" w:space="0"/>
              <w:bottom w:val="single" w:color="auto" w:sz="4" w:space="0"/>
              <w:right w:val="single" w:color="auto" w:sz="4" w:space="0"/>
            </w:tcBorders>
            <w:vAlign w:val="center"/>
          </w:tcPr>
          <w:p>
            <w:pPr>
              <w:spacing w:line="520" w:lineRule="atLeast"/>
              <w:jc w:val="center"/>
              <w:rPr>
                <w:rFonts w:ascii="仿宋_GB2312" w:eastAsia="仿宋_GB2312" w:cs="仿宋_GB2312"/>
                <w:color w:val="auto"/>
                <w:spacing w:val="-4"/>
                <w:sz w:val="28"/>
                <w:szCs w:val="28"/>
              </w:rPr>
            </w:pPr>
            <w:r>
              <w:rPr>
                <w:rFonts w:hint="eastAsia" w:ascii="仿宋_GB2312" w:eastAsia="仿宋_GB2312" w:cs="仿宋_GB2312"/>
                <w:color w:val="auto"/>
                <w:spacing w:val="-4"/>
                <w:sz w:val="28"/>
                <w:szCs w:val="28"/>
              </w:rPr>
              <w:t>需要提交临床试验资料的差异</w:t>
            </w:r>
          </w:p>
        </w:tc>
        <w:tc>
          <w:tcPr>
            <w:tcW w:w="4430" w:type="dxa"/>
            <w:tcBorders>
              <w:top w:val="single" w:color="auto" w:sz="4" w:space="0"/>
              <w:left w:val="single" w:color="auto" w:sz="4" w:space="0"/>
              <w:bottom w:val="single" w:color="auto" w:sz="4" w:space="0"/>
              <w:right w:val="single" w:color="auto" w:sz="4" w:space="0"/>
            </w:tcBorders>
            <w:vAlign w:val="center"/>
          </w:tcPr>
          <w:p>
            <w:pPr>
              <w:pStyle w:val="9"/>
              <w:widowControl/>
              <w:spacing w:line="520" w:lineRule="atLeast"/>
              <w:ind w:left="0" w:leftChars="0" w:firstLine="0" w:firstLineChars="0"/>
              <w:rPr>
                <w:rFonts w:ascii="仿宋_GB2312" w:eastAsia="仿宋_GB2312" w:cs="仿宋_GB2312"/>
                <w:color w:val="auto"/>
                <w:spacing w:val="-4"/>
                <w:sz w:val="28"/>
                <w:szCs w:val="28"/>
              </w:rPr>
            </w:pPr>
            <w:r>
              <w:rPr>
                <w:rFonts w:ascii="仿宋_GB2312" w:eastAsia="仿宋_GB2312" w:cs="仿宋_GB2312"/>
                <w:color w:val="auto"/>
                <w:spacing w:val="-4"/>
                <w:sz w:val="28"/>
                <w:szCs w:val="28"/>
              </w:rPr>
              <w:t>1.申报产品适用范围多于同品种产品。</w:t>
            </w:r>
          </w:p>
        </w:tc>
        <w:tc>
          <w:tcPr>
            <w:tcW w:w="1383" w:type="dxa"/>
            <w:tcBorders>
              <w:top w:val="single" w:color="auto" w:sz="4" w:space="0"/>
              <w:left w:val="single" w:color="auto" w:sz="4" w:space="0"/>
              <w:bottom w:val="single" w:color="auto" w:sz="4" w:space="0"/>
              <w:right w:val="single" w:color="auto" w:sz="4" w:space="0"/>
            </w:tcBorders>
            <w:vAlign w:val="center"/>
          </w:tcPr>
          <w:p>
            <w:pPr>
              <w:spacing w:line="520" w:lineRule="atLeast"/>
              <w:jc w:val="center"/>
              <w:rPr>
                <w:rFonts w:ascii="仿宋_GB2312" w:eastAsia="仿宋_GB2312" w:cs="仿宋_GB2312"/>
                <w:color w:val="auto"/>
                <w:spacing w:val="-4"/>
                <w:sz w:val="28"/>
                <w:szCs w:val="28"/>
              </w:rPr>
            </w:pPr>
            <w:r>
              <w:rPr>
                <w:rFonts w:hint="eastAsia" w:ascii="仿宋_GB2312" w:eastAsia="仿宋_GB2312" w:cs="仿宋_GB2312"/>
                <w:color w:val="auto"/>
                <w:spacing w:val="-4"/>
                <w:sz w:val="28"/>
                <w:szCs w:val="28"/>
              </w:rPr>
              <w:t>针对差异的临床试验资料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787" w:type="dxa"/>
            <w:tcBorders>
              <w:top w:val="single" w:color="auto" w:sz="4" w:space="0"/>
              <w:left w:val="single" w:color="auto" w:sz="4" w:space="0"/>
              <w:bottom w:val="single" w:color="auto" w:sz="4" w:space="0"/>
              <w:right w:val="single" w:color="auto" w:sz="4" w:space="0"/>
            </w:tcBorders>
            <w:vAlign w:val="center"/>
          </w:tcPr>
          <w:p>
            <w:pPr>
              <w:spacing w:line="520" w:lineRule="atLeast"/>
              <w:jc w:val="center"/>
              <w:rPr>
                <w:rFonts w:ascii="仿宋_GB2312" w:eastAsia="仿宋_GB2312" w:cs="仿宋_GB2312"/>
                <w:color w:val="auto"/>
                <w:spacing w:val="-4"/>
                <w:sz w:val="28"/>
                <w:szCs w:val="28"/>
              </w:rPr>
            </w:pPr>
            <w:r>
              <w:rPr>
                <w:rFonts w:hint="eastAsia" w:ascii="仿宋_GB2312" w:eastAsia="仿宋_GB2312" w:cs="仿宋_GB2312"/>
                <w:color w:val="auto"/>
                <w:spacing w:val="-4"/>
                <w:sz w:val="28"/>
                <w:szCs w:val="28"/>
              </w:rPr>
              <w:t>不属于同品种</w:t>
            </w:r>
          </w:p>
        </w:tc>
        <w:tc>
          <w:tcPr>
            <w:tcW w:w="1440" w:type="dxa"/>
            <w:tcBorders>
              <w:top w:val="single" w:color="auto" w:sz="4" w:space="0"/>
              <w:left w:val="single" w:color="auto" w:sz="4" w:space="0"/>
              <w:bottom w:val="single" w:color="auto" w:sz="4" w:space="0"/>
              <w:right w:val="single" w:color="auto" w:sz="4" w:space="0"/>
            </w:tcBorders>
            <w:vAlign w:val="center"/>
          </w:tcPr>
          <w:p>
            <w:pPr>
              <w:keepNext/>
              <w:keepLines/>
              <w:spacing w:before="260" w:after="260" w:line="520" w:lineRule="atLeast"/>
              <w:jc w:val="center"/>
              <w:rPr>
                <w:rFonts w:ascii="仿宋_GB2312" w:eastAsia="仿宋_GB2312" w:cs="仿宋_GB2312"/>
                <w:color w:val="auto"/>
                <w:spacing w:val="-4"/>
                <w:sz w:val="28"/>
                <w:szCs w:val="28"/>
              </w:rPr>
            </w:pPr>
          </w:p>
        </w:tc>
        <w:tc>
          <w:tcPr>
            <w:tcW w:w="4430" w:type="dxa"/>
            <w:tcBorders>
              <w:top w:val="single" w:color="auto" w:sz="4" w:space="0"/>
              <w:left w:val="single" w:color="auto" w:sz="4" w:space="0"/>
              <w:bottom w:val="single" w:color="auto" w:sz="4" w:space="0"/>
              <w:right w:val="single" w:color="auto" w:sz="4" w:space="0"/>
            </w:tcBorders>
            <w:vAlign w:val="center"/>
          </w:tcPr>
          <w:p>
            <w:pPr>
              <w:spacing w:line="520" w:lineRule="atLeast"/>
              <w:rPr>
                <w:rFonts w:ascii="仿宋_GB2312" w:eastAsia="仿宋_GB2312" w:cs="仿宋_GB2312"/>
                <w:color w:val="auto"/>
                <w:spacing w:val="-4"/>
                <w:sz w:val="28"/>
                <w:szCs w:val="28"/>
              </w:rPr>
            </w:pPr>
            <w:r>
              <w:rPr>
                <w:rFonts w:hint="eastAsia" w:ascii="仿宋_GB2312" w:eastAsia="仿宋_GB2312" w:cs="仿宋_GB2312"/>
                <w:color w:val="auto"/>
                <w:spacing w:val="-4"/>
                <w:sz w:val="28"/>
                <w:szCs w:val="28"/>
              </w:rPr>
              <w:t>1.申报产品的适用范围与对比产品不同。</w:t>
            </w:r>
          </w:p>
          <w:p>
            <w:pPr>
              <w:spacing w:line="520" w:lineRule="atLeast"/>
              <w:rPr>
                <w:rFonts w:ascii="仿宋_GB2312" w:eastAsia="仿宋_GB2312" w:cs="仿宋_GB2312"/>
                <w:color w:val="auto"/>
                <w:spacing w:val="-4"/>
                <w:sz w:val="28"/>
                <w:szCs w:val="28"/>
              </w:rPr>
            </w:pPr>
            <w:r>
              <w:rPr>
                <w:rFonts w:hint="eastAsia" w:ascii="仿宋_GB2312" w:eastAsia="仿宋_GB2312" w:cs="仿宋_GB2312"/>
                <w:color w:val="auto"/>
                <w:spacing w:val="-4"/>
                <w:sz w:val="28"/>
                <w:szCs w:val="28"/>
              </w:rPr>
              <w:t>2.申报产品的基本原理与对比产品不同。例如</w:t>
            </w:r>
            <w:r>
              <w:rPr>
                <w:rFonts w:hint="eastAsia" w:ascii="仿宋_GB2312" w:eastAsia="仿宋_GB2312" w:cs="仿宋_GB2312"/>
                <w:spacing w:val="-4"/>
                <w:sz w:val="28"/>
                <w:szCs w:val="28"/>
              </w:rPr>
              <w:t>微反应单元制备原理</w:t>
            </w:r>
            <w:r>
              <w:rPr>
                <w:rFonts w:hint="eastAsia" w:ascii="仿宋_GB2312" w:eastAsia="仿宋_GB2312" w:cs="仿宋_GB2312"/>
                <w:color w:val="auto"/>
                <w:spacing w:val="-4"/>
                <w:sz w:val="28"/>
                <w:szCs w:val="28"/>
              </w:rPr>
              <w:t>、荧光信号采集原理、信号处理与分析原理等。</w:t>
            </w:r>
          </w:p>
          <w:p>
            <w:pPr>
              <w:spacing w:line="520" w:lineRule="atLeast"/>
              <w:rPr>
                <w:rFonts w:ascii="仿宋_GB2312" w:eastAsia="仿宋_GB2312" w:cs="仿宋_GB2312"/>
                <w:color w:val="auto"/>
                <w:spacing w:val="-4"/>
                <w:sz w:val="28"/>
                <w:szCs w:val="28"/>
              </w:rPr>
            </w:pPr>
            <w:r>
              <w:rPr>
                <w:rFonts w:hint="eastAsia" w:ascii="仿宋_GB2312" w:eastAsia="仿宋_GB2312" w:cs="仿宋_GB2312"/>
                <w:color w:val="auto"/>
                <w:spacing w:val="-4"/>
                <w:sz w:val="28"/>
                <w:szCs w:val="28"/>
              </w:rPr>
              <w:t>3.申报产品的关键模块的构成与对比产品差异较大。例如微反应单元生成模块、温控模块、信号采集模块。</w:t>
            </w:r>
          </w:p>
          <w:p>
            <w:pPr>
              <w:spacing w:line="520" w:lineRule="atLeast"/>
              <w:rPr>
                <w:rFonts w:ascii="仿宋_GB2312" w:eastAsia="仿宋_GB2312" w:cs="仿宋_GB2312"/>
                <w:color w:val="auto"/>
                <w:spacing w:val="-4"/>
                <w:sz w:val="28"/>
                <w:szCs w:val="28"/>
              </w:rPr>
            </w:pPr>
            <w:r>
              <w:rPr>
                <w:rFonts w:hint="eastAsia" w:ascii="仿宋_GB2312" w:eastAsia="仿宋_GB2312" w:cs="仿宋_GB2312"/>
                <w:color w:val="auto"/>
                <w:spacing w:val="-4"/>
                <w:sz w:val="28"/>
                <w:szCs w:val="28"/>
              </w:rPr>
              <w:t>4.申报产品的性能与对比产品差异较大。</w:t>
            </w:r>
          </w:p>
          <w:p>
            <w:pPr>
              <w:spacing w:line="520" w:lineRule="atLeast"/>
              <w:rPr>
                <w:color w:val="auto"/>
              </w:rPr>
            </w:pPr>
          </w:p>
          <w:p>
            <w:pPr>
              <w:spacing w:line="520" w:lineRule="atLeast"/>
              <w:rPr>
                <w:color w:val="auto"/>
              </w:rPr>
            </w:pPr>
            <w:r>
              <w:rPr>
                <w:rFonts w:ascii="仿宋_GB2312" w:eastAsia="仿宋_GB2312" w:cs="仿宋_GB2312"/>
                <w:color w:val="auto"/>
                <w:spacing w:val="-4"/>
                <w:sz w:val="28"/>
                <w:szCs w:val="28"/>
              </w:rPr>
              <w:t>5</w:t>
            </w:r>
            <w:r>
              <w:rPr>
                <w:rFonts w:hint="eastAsia" w:ascii="仿宋_GB2312" w:eastAsia="仿宋_GB2312" w:cs="仿宋_GB2312"/>
                <w:color w:val="auto"/>
                <w:spacing w:val="-4"/>
                <w:sz w:val="28"/>
                <w:szCs w:val="28"/>
              </w:rPr>
              <w:t>.分体机与全自动的一体机，不建议作为同品种。</w:t>
            </w:r>
          </w:p>
          <w:p>
            <w:pPr>
              <w:spacing w:line="520" w:lineRule="atLeast"/>
              <w:rPr>
                <w:rFonts w:ascii="仿宋_GB2312" w:eastAsia="仿宋_GB2312" w:cs="仿宋_GB2312"/>
                <w:color w:val="auto"/>
                <w:spacing w:val="-6"/>
                <w:sz w:val="28"/>
                <w:szCs w:val="28"/>
              </w:rPr>
            </w:pPr>
          </w:p>
        </w:tc>
        <w:tc>
          <w:tcPr>
            <w:tcW w:w="1383" w:type="dxa"/>
            <w:tcBorders>
              <w:top w:val="single" w:color="auto" w:sz="4" w:space="0"/>
              <w:left w:val="single" w:color="auto" w:sz="4" w:space="0"/>
              <w:bottom w:val="single" w:color="auto" w:sz="4" w:space="0"/>
              <w:right w:val="single" w:color="auto" w:sz="4" w:space="0"/>
            </w:tcBorders>
            <w:vAlign w:val="center"/>
          </w:tcPr>
          <w:p>
            <w:pPr>
              <w:spacing w:line="520" w:lineRule="atLeast"/>
              <w:jc w:val="center"/>
              <w:rPr>
                <w:rFonts w:ascii="仿宋_GB2312" w:eastAsia="仿宋_GB2312" w:cs="仿宋_GB2312"/>
                <w:color w:val="auto"/>
                <w:spacing w:val="-4"/>
                <w:sz w:val="28"/>
                <w:szCs w:val="28"/>
              </w:rPr>
            </w:pPr>
            <w:r>
              <w:rPr>
                <w:rFonts w:hint="eastAsia" w:ascii="仿宋_GB2312" w:eastAsia="仿宋_GB2312" w:cs="仿宋_GB2312"/>
                <w:color w:val="auto"/>
                <w:spacing w:val="-4"/>
                <w:sz w:val="28"/>
                <w:szCs w:val="28"/>
              </w:rPr>
              <w:t>重新选择同品种产品进行比较或补充申报产品的临床试验资料</w:t>
            </w:r>
          </w:p>
        </w:tc>
      </w:tr>
    </w:tbl>
    <w:p>
      <w:pPr>
        <w:autoSpaceDE w:val="0"/>
        <w:autoSpaceDN w:val="0"/>
        <w:adjustRightInd w:val="0"/>
        <w:spacing w:line="520" w:lineRule="atLeast"/>
        <w:ind w:firstLine="640" w:firstLineChars="200"/>
        <w:rPr>
          <w:rFonts w:eastAsia="仿宋_GB2312"/>
          <w:color w:val="auto"/>
          <w:sz w:val="32"/>
          <w:szCs w:val="32"/>
        </w:rPr>
      </w:pPr>
    </w:p>
    <w:p>
      <w:pPr>
        <w:autoSpaceDE w:val="0"/>
        <w:autoSpaceDN w:val="0"/>
        <w:adjustRightInd w:val="0"/>
        <w:spacing w:line="520" w:lineRule="atLeast"/>
        <w:ind w:firstLine="640" w:firstLineChars="200"/>
        <w:rPr>
          <w:rFonts w:eastAsia="仿宋_GB2312"/>
          <w:color w:val="auto"/>
          <w:sz w:val="32"/>
          <w:szCs w:val="32"/>
        </w:rPr>
      </w:pPr>
      <w:r>
        <w:rPr>
          <w:rFonts w:eastAsia="仿宋_GB2312"/>
          <w:color w:val="auto"/>
          <w:sz w:val="32"/>
          <w:szCs w:val="32"/>
        </w:rPr>
        <w:t>对于存在多个差异点的情况，申请人应当完整地列出申报产品与同品种</w:t>
      </w:r>
      <w:r>
        <w:rPr>
          <w:rFonts w:hint="eastAsia" w:eastAsia="仿宋_GB2312"/>
          <w:color w:val="auto"/>
          <w:sz w:val="32"/>
          <w:szCs w:val="32"/>
        </w:rPr>
        <w:t>器械</w:t>
      </w:r>
      <w:r>
        <w:rPr>
          <w:rFonts w:eastAsia="仿宋_GB2312"/>
          <w:color w:val="auto"/>
          <w:sz w:val="32"/>
          <w:szCs w:val="32"/>
        </w:rPr>
        <w:t>的所有差异点，并说明这些差异点的相互关系。若不同差异点之间存在相关性或相互影响，则应提供单个差异点影响的研究证据和关联性差异点共存时影响的研究证据。</w:t>
      </w:r>
    </w:p>
    <w:p>
      <w:pPr>
        <w:autoSpaceDE w:val="0"/>
        <w:autoSpaceDN w:val="0"/>
        <w:adjustRightInd w:val="0"/>
        <w:spacing w:line="520" w:lineRule="atLeast"/>
        <w:ind w:firstLine="640" w:firstLineChars="200"/>
        <w:rPr>
          <w:rFonts w:eastAsia="仿宋_GB2312"/>
          <w:color w:val="auto"/>
          <w:sz w:val="32"/>
          <w:szCs w:val="32"/>
        </w:rPr>
      </w:pPr>
      <w:r>
        <w:rPr>
          <w:rFonts w:eastAsia="仿宋_GB2312"/>
          <w:color w:val="auto"/>
          <w:sz w:val="32"/>
          <w:szCs w:val="32"/>
        </w:rPr>
        <w:t>基于申报产品和同品种</w:t>
      </w:r>
      <w:r>
        <w:rPr>
          <w:rFonts w:hint="eastAsia" w:eastAsia="仿宋_GB2312"/>
          <w:color w:val="auto"/>
          <w:sz w:val="32"/>
          <w:szCs w:val="32"/>
        </w:rPr>
        <w:t>器械</w:t>
      </w:r>
      <w:r>
        <w:rPr>
          <w:rFonts w:eastAsia="仿宋_GB2312"/>
          <w:color w:val="auto"/>
          <w:sz w:val="32"/>
          <w:szCs w:val="32"/>
        </w:rPr>
        <w:t>的对比结果，如果非临床研究、临床文献数据、临床经验数据等无法充分地证明该差异对产品安全性和有效性的影响，则申请人应提供相应的临床试验资料。</w:t>
      </w:r>
    </w:p>
    <w:p>
      <w:pPr>
        <w:autoSpaceDE w:val="0"/>
        <w:autoSpaceDN w:val="0"/>
        <w:adjustRightInd w:val="0"/>
        <w:spacing w:line="520" w:lineRule="atLeast"/>
        <w:ind w:firstLine="640" w:firstLineChars="200"/>
        <w:rPr>
          <w:rFonts w:eastAsia="仿宋_GB2312"/>
          <w:color w:val="auto"/>
          <w:sz w:val="32"/>
          <w:szCs w:val="32"/>
        </w:rPr>
      </w:pPr>
      <w:r>
        <w:rPr>
          <w:rFonts w:eastAsia="仿宋_GB2312"/>
          <w:color w:val="auto"/>
          <w:sz w:val="32"/>
          <w:szCs w:val="32"/>
        </w:rPr>
        <w:t>通过对相应的性能及数据质量的评价，结果显示没有显著差异的，可认为申报产品与同品种产品基本等同。则可收集同品种产品的临床数据集，以证明申报产品自身的安全有效性。</w:t>
      </w:r>
    </w:p>
    <w:p>
      <w:pPr>
        <w:spacing w:line="520" w:lineRule="atLeast"/>
        <w:ind w:right="-67" w:rightChars="-32" w:firstLine="640" w:firstLineChars="200"/>
        <w:rPr>
          <w:rFonts w:eastAsia="仿宋_GB2312"/>
          <w:color w:val="auto"/>
          <w:sz w:val="32"/>
          <w:szCs w:val="32"/>
        </w:rPr>
      </w:pPr>
      <w:r>
        <w:rPr>
          <w:rFonts w:hint="eastAsia" w:eastAsia="仿宋_GB2312"/>
          <w:color w:val="auto"/>
          <w:sz w:val="32"/>
          <w:szCs w:val="32"/>
          <w:lang w:val="en-US" w:eastAsia="zh-CN"/>
        </w:rPr>
        <w:t>1.4</w:t>
      </w:r>
      <w:r>
        <w:rPr>
          <w:rFonts w:eastAsia="仿宋_GB2312"/>
          <w:color w:val="auto"/>
          <w:sz w:val="32"/>
          <w:szCs w:val="32"/>
        </w:rPr>
        <w:t>同品种医疗器械的临床数据总结</w:t>
      </w:r>
    </w:p>
    <w:p>
      <w:pPr>
        <w:autoSpaceDE w:val="0"/>
        <w:autoSpaceDN w:val="0"/>
        <w:adjustRightInd w:val="0"/>
        <w:spacing w:line="520" w:lineRule="atLeast"/>
        <w:ind w:firstLine="640" w:firstLineChars="200"/>
        <w:rPr>
          <w:rFonts w:eastAsia="仿宋_GB2312"/>
          <w:color w:val="auto"/>
          <w:sz w:val="32"/>
          <w:szCs w:val="32"/>
        </w:rPr>
      </w:pPr>
      <w:r>
        <w:rPr>
          <w:rFonts w:eastAsia="仿宋_GB2312"/>
          <w:color w:val="auto"/>
          <w:sz w:val="32"/>
          <w:szCs w:val="32"/>
        </w:rPr>
        <w:t>如果判定申报产品与对比器械基本等同，则可收集同品种医疗器械的临床数据集，以证明申报产品的安全有效性。同品种医疗器械临床数据的收集、同品种医疗器械临床数据分析评价方法、临床评价报告撰写等方面的具体内容可参照《医疗器械临床评价技术指导原则》及《医疗器械注册申报临床评价报告技术指导原则》的相关规定。</w:t>
      </w:r>
    </w:p>
    <w:p>
      <w:pPr>
        <w:autoSpaceDE w:val="0"/>
        <w:autoSpaceDN w:val="0"/>
        <w:adjustRightInd w:val="0"/>
        <w:spacing w:line="520" w:lineRule="atLeast"/>
        <w:ind w:firstLine="640" w:firstLineChars="200"/>
        <w:rPr>
          <w:rFonts w:eastAsia="仿宋_GB2312"/>
          <w:color w:val="auto"/>
          <w:sz w:val="32"/>
          <w:szCs w:val="32"/>
        </w:rPr>
      </w:pPr>
      <w:r>
        <w:rPr>
          <w:rFonts w:eastAsia="仿宋_GB2312"/>
          <w:color w:val="auto"/>
          <w:sz w:val="32"/>
          <w:szCs w:val="32"/>
        </w:rPr>
        <w:t>对于同品种产品在临床应用时产生的安全有效性数据，应考虑选择</w:t>
      </w:r>
      <w:r>
        <w:rPr>
          <w:rFonts w:hint="eastAsia" w:eastAsia="仿宋_GB2312"/>
          <w:color w:val="auto"/>
          <w:sz w:val="32"/>
          <w:szCs w:val="32"/>
        </w:rPr>
        <w:t>具有代表性的</w:t>
      </w:r>
      <w:r>
        <w:rPr>
          <w:rFonts w:eastAsia="仿宋_GB2312"/>
          <w:color w:val="auto"/>
          <w:sz w:val="32"/>
          <w:szCs w:val="32"/>
        </w:rPr>
        <w:t>临床检测项目</w:t>
      </w:r>
      <w:r>
        <w:rPr>
          <w:rFonts w:hint="eastAsia" w:eastAsia="仿宋_GB2312"/>
          <w:color w:val="auto"/>
          <w:sz w:val="32"/>
          <w:szCs w:val="32"/>
        </w:rPr>
        <w:t>（如能够确认产品高灵敏度及定量检测的项目）进行相关数据的收集和分析。</w:t>
      </w:r>
    </w:p>
    <w:p>
      <w:pPr>
        <w:spacing w:line="520" w:lineRule="atLeas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临床试验路径的基本要求</w:t>
      </w:r>
    </w:p>
    <w:p>
      <w:pPr>
        <w:autoSpaceDE w:val="0"/>
        <w:autoSpaceDN w:val="0"/>
        <w:adjustRightInd w:val="0"/>
        <w:spacing w:line="520" w:lineRule="atLeast"/>
        <w:ind w:firstLine="640" w:firstLineChars="200"/>
        <w:rPr>
          <w:rFonts w:eastAsia="仿宋_GB2312"/>
          <w:color w:val="auto"/>
          <w:sz w:val="32"/>
          <w:szCs w:val="32"/>
        </w:rPr>
      </w:pPr>
      <w:r>
        <w:rPr>
          <w:rFonts w:eastAsia="仿宋_GB2312"/>
          <w:color w:val="auto"/>
          <w:sz w:val="32"/>
          <w:szCs w:val="32"/>
        </w:rPr>
        <w:t>临床试验的开展、方案的制定以及报告的撰写均应符合相关法规、指导原则的要求，如相关法规、指导原则有更新，临床试验应符合更新后的要求。下面仅说明该类产品临床试验中应关注的重点问题。</w:t>
      </w:r>
    </w:p>
    <w:p>
      <w:pPr>
        <w:autoSpaceDE w:val="0"/>
        <w:autoSpaceDN w:val="0"/>
        <w:adjustRightInd w:val="0"/>
        <w:spacing w:line="520" w:lineRule="atLeast"/>
        <w:ind w:firstLine="640" w:firstLineChars="200"/>
        <w:rPr>
          <w:rFonts w:eastAsia="仿宋_GB2312"/>
          <w:color w:val="auto"/>
          <w:sz w:val="32"/>
          <w:szCs w:val="32"/>
        </w:rPr>
      </w:pPr>
      <w:r>
        <w:rPr>
          <w:rFonts w:hint="eastAsia" w:eastAsia="仿宋_GB2312"/>
          <w:color w:val="auto"/>
          <w:sz w:val="32"/>
          <w:szCs w:val="32"/>
          <w:lang w:val="en-US" w:eastAsia="zh-CN"/>
        </w:rPr>
        <w:t>2.1</w:t>
      </w:r>
      <w:r>
        <w:rPr>
          <w:rFonts w:eastAsia="仿宋_GB2312"/>
          <w:color w:val="auto"/>
          <w:sz w:val="32"/>
          <w:szCs w:val="32"/>
        </w:rPr>
        <w:t>临床试验机构</w:t>
      </w:r>
    </w:p>
    <w:p>
      <w:pPr>
        <w:autoSpaceDE w:val="0"/>
        <w:autoSpaceDN w:val="0"/>
        <w:adjustRightInd w:val="0"/>
        <w:spacing w:line="520" w:lineRule="atLeast"/>
        <w:ind w:firstLine="640" w:firstLineChars="200"/>
        <w:rPr>
          <w:rFonts w:eastAsia="仿宋_GB2312"/>
          <w:color w:val="auto"/>
          <w:sz w:val="32"/>
          <w:szCs w:val="32"/>
        </w:rPr>
      </w:pPr>
      <w:r>
        <w:rPr>
          <w:rFonts w:eastAsia="仿宋_GB2312"/>
          <w:color w:val="auto"/>
          <w:sz w:val="32"/>
          <w:szCs w:val="32"/>
        </w:rPr>
        <w:t>应选择不少于两家（含两家）符合要求的临床试验机构开展临床试验。临床试验机构应具备相应的检测资质和人员。</w:t>
      </w:r>
    </w:p>
    <w:p>
      <w:pPr>
        <w:autoSpaceDE w:val="0"/>
        <w:autoSpaceDN w:val="0"/>
        <w:adjustRightInd w:val="0"/>
        <w:spacing w:line="520" w:lineRule="atLeast"/>
        <w:ind w:firstLine="640" w:firstLineChars="200"/>
        <w:rPr>
          <w:rFonts w:eastAsia="仿宋_GB2312"/>
          <w:color w:val="auto"/>
          <w:sz w:val="32"/>
          <w:szCs w:val="32"/>
        </w:rPr>
      </w:pPr>
      <w:r>
        <w:rPr>
          <w:rFonts w:hint="eastAsia" w:eastAsia="仿宋_GB2312"/>
          <w:color w:val="auto"/>
          <w:sz w:val="32"/>
          <w:szCs w:val="32"/>
          <w:lang w:val="en-US" w:eastAsia="zh-CN"/>
        </w:rPr>
        <w:t>2.2</w:t>
      </w:r>
      <w:r>
        <w:rPr>
          <w:rFonts w:eastAsia="仿宋_GB2312"/>
          <w:color w:val="auto"/>
          <w:sz w:val="32"/>
          <w:szCs w:val="32"/>
        </w:rPr>
        <w:t>临床试验目的及设计</w:t>
      </w:r>
    </w:p>
    <w:p>
      <w:pPr>
        <w:autoSpaceDE w:val="0"/>
        <w:autoSpaceDN w:val="0"/>
        <w:adjustRightInd w:val="0"/>
        <w:spacing w:line="520" w:lineRule="atLeast"/>
        <w:ind w:firstLine="640" w:firstLineChars="200"/>
        <w:rPr>
          <w:rFonts w:eastAsia="仿宋_GB2312"/>
          <w:color w:val="auto"/>
          <w:sz w:val="32"/>
          <w:szCs w:val="32"/>
        </w:rPr>
      </w:pPr>
      <w:r>
        <w:rPr>
          <w:rFonts w:hint="eastAsia" w:eastAsia="仿宋_GB2312"/>
          <w:color w:val="auto"/>
          <w:sz w:val="32"/>
          <w:szCs w:val="32"/>
          <w:lang w:val="en-US" w:eastAsia="zh-CN"/>
        </w:rPr>
        <w:t>2.2,1</w:t>
      </w:r>
      <w:r>
        <w:rPr>
          <w:rFonts w:eastAsia="仿宋_GB2312"/>
          <w:color w:val="auto"/>
          <w:sz w:val="32"/>
          <w:szCs w:val="32"/>
        </w:rPr>
        <w:t>临床试验目的</w:t>
      </w:r>
    </w:p>
    <w:p>
      <w:pPr>
        <w:autoSpaceDE w:val="0"/>
        <w:autoSpaceDN w:val="0"/>
        <w:adjustRightInd w:val="0"/>
        <w:spacing w:line="520" w:lineRule="atLeast"/>
        <w:ind w:firstLine="640" w:firstLineChars="200"/>
        <w:rPr>
          <w:rFonts w:eastAsia="仿宋_GB2312"/>
          <w:color w:val="auto"/>
          <w:sz w:val="32"/>
          <w:szCs w:val="32"/>
        </w:rPr>
      </w:pPr>
      <w:r>
        <w:rPr>
          <w:rFonts w:eastAsia="仿宋_GB2312"/>
          <w:color w:val="auto"/>
          <w:sz w:val="32"/>
          <w:szCs w:val="32"/>
        </w:rPr>
        <w:t>通过</w:t>
      </w:r>
      <w:r>
        <w:rPr>
          <w:rFonts w:hint="eastAsia" w:eastAsia="仿宋_GB2312"/>
          <w:color w:val="auto"/>
          <w:sz w:val="32"/>
          <w:szCs w:val="32"/>
        </w:rPr>
        <w:t>申报产品</w:t>
      </w:r>
      <w:r>
        <w:rPr>
          <w:rFonts w:eastAsia="仿宋_GB2312"/>
          <w:color w:val="auto"/>
          <w:sz w:val="32"/>
          <w:szCs w:val="32"/>
        </w:rPr>
        <w:t>与临床参考方法或已上市同类产品进行比较研究，确认试验医疗器械的安全性、临床性能和/或有效性。</w:t>
      </w:r>
    </w:p>
    <w:p>
      <w:pPr>
        <w:autoSpaceDE w:val="0"/>
        <w:autoSpaceDN w:val="0"/>
        <w:adjustRightInd w:val="0"/>
        <w:spacing w:line="520" w:lineRule="atLeast"/>
        <w:ind w:firstLine="640" w:firstLineChars="200"/>
        <w:rPr>
          <w:rFonts w:eastAsia="仿宋_GB2312"/>
          <w:sz w:val="32"/>
          <w:szCs w:val="32"/>
        </w:rPr>
      </w:pPr>
      <w:r>
        <w:rPr>
          <w:rFonts w:hint="eastAsia" w:eastAsia="仿宋_GB2312"/>
          <w:sz w:val="32"/>
          <w:szCs w:val="32"/>
          <w:lang w:val="en-US" w:eastAsia="zh-CN"/>
        </w:rPr>
        <w:t>2.2.2</w:t>
      </w:r>
      <w:r>
        <w:rPr>
          <w:rFonts w:eastAsia="仿宋_GB2312"/>
          <w:sz w:val="32"/>
          <w:szCs w:val="32"/>
        </w:rPr>
        <w:t>研究项目的选择</w:t>
      </w:r>
    </w:p>
    <w:p>
      <w:pPr>
        <w:pStyle w:val="9"/>
        <w:widowControl/>
        <w:spacing w:before="0" w:beforeAutospacing="0" w:after="0" w:line="520" w:lineRule="atLeast"/>
        <w:ind w:left="0" w:leftChars="0" w:firstLine="640"/>
        <w:rPr>
          <w:rFonts w:hint="default" w:ascii="Times New Roman" w:eastAsia="仿宋_GB2312"/>
          <w:sz w:val="32"/>
          <w:szCs w:val="32"/>
        </w:rPr>
      </w:pPr>
      <w:r>
        <w:rPr>
          <w:rFonts w:ascii="Times New Roman" w:eastAsia="仿宋_GB2312"/>
          <w:sz w:val="32"/>
          <w:szCs w:val="32"/>
        </w:rPr>
        <w:t>应根据试验医疗器械所声称的适用范围，选择合适的代表性项目进行临床试验。临床试验应同时针对申报产品定量性能和高灵敏度的性能进行确认。</w:t>
      </w:r>
    </w:p>
    <w:p>
      <w:pPr>
        <w:pStyle w:val="9"/>
        <w:widowControl/>
        <w:spacing w:before="0" w:beforeAutospacing="0" w:after="0" w:line="520" w:lineRule="atLeast"/>
        <w:ind w:left="0" w:leftChars="0" w:firstLine="640"/>
        <w:rPr>
          <w:rFonts w:hint="default" w:ascii="Times New Roman" w:eastAsia="仿宋_GB2312"/>
          <w:sz w:val="32"/>
          <w:szCs w:val="32"/>
        </w:rPr>
      </w:pPr>
      <w:r>
        <w:rPr>
          <w:rFonts w:ascii="Times New Roman" w:eastAsia="仿宋_GB2312"/>
          <w:sz w:val="32"/>
          <w:szCs w:val="32"/>
        </w:rPr>
        <w:t>在研究项目的选择上，如非临床研究证明，试验医疗器械针对不同的核酸类型（如：DNA、RNA检测）、不同的突变类型（如：</w:t>
      </w:r>
      <w:r>
        <w:rPr>
          <w:rFonts w:eastAsia="仿宋_GB2312"/>
          <w:sz w:val="32"/>
          <w:szCs w:val="32"/>
        </w:rPr>
        <w:t>点突变、小片段的插入/缺失</w:t>
      </w:r>
      <w:r>
        <w:rPr>
          <w:rFonts w:ascii="Times New Roman" w:eastAsia="仿宋_GB2312"/>
          <w:sz w:val="32"/>
          <w:szCs w:val="32"/>
        </w:rPr>
        <w:t>、拷贝数变化）、不同核酸来源（如：人类基因、病原体核酸等）项目性能</w:t>
      </w:r>
      <w:r>
        <w:rPr>
          <w:rFonts w:hint="eastAsia" w:ascii="Times New Roman" w:eastAsia="仿宋_GB2312"/>
          <w:sz w:val="32"/>
          <w:szCs w:val="32"/>
          <w:highlight w:val="none"/>
        </w:rPr>
        <w:t>符合检测系统评价要求</w:t>
      </w:r>
      <w:r>
        <w:rPr>
          <w:rFonts w:ascii="Times New Roman" w:eastAsia="仿宋_GB2312"/>
          <w:sz w:val="32"/>
          <w:szCs w:val="32"/>
        </w:rPr>
        <w:t>的情况下，临床试验可选择一个或多个具有典型代表性的项目开展临床试验。临床试验可选择不同的项目分别确认试验医疗器械的高灵敏性能及定量检测性能，亦可以选择一个项目同时确认试验医疗器械的高灵敏性能及定量检测性能。</w:t>
      </w:r>
    </w:p>
    <w:p>
      <w:pPr>
        <w:pStyle w:val="9"/>
        <w:widowControl/>
        <w:spacing w:before="0" w:beforeAutospacing="0" w:after="0" w:line="520" w:lineRule="atLeast"/>
        <w:ind w:left="0" w:leftChars="0" w:firstLine="640"/>
        <w:rPr>
          <w:rFonts w:hint="default" w:ascii="Times New Roman"/>
          <w:sz w:val="32"/>
        </w:rPr>
      </w:pPr>
      <w:r>
        <w:rPr>
          <w:rFonts w:ascii="Times New Roman" w:eastAsia="仿宋_GB2312"/>
          <w:sz w:val="32"/>
          <w:szCs w:val="32"/>
        </w:rPr>
        <w:t>如试验医疗器械非临床研究证明，产品针对不同类别的检测（如：核酸类型、变异类型、来源等）性能存在差异，临床试验应针对不同的检测分别选择具有代表性项目开展临床试验。</w:t>
      </w:r>
    </w:p>
    <w:p>
      <w:pPr>
        <w:autoSpaceDE w:val="0"/>
        <w:autoSpaceDN w:val="0"/>
        <w:adjustRightInd w:val="0"/>
        <w:spacing w:line="520" w:lineRule="atLeast"/>
        <w:ind w:firstLine="640" w:firstLineChars="200"/>
        <w:rPr>
          <w:rFonts w:eastAsia="仿宋_GB2312"/>
          <w:sz w:val="32"/>
          <w:szCs w:val="32"/>
        </w:rPr>
      </w:pPr>
      <w:r>
        <w:rPr>
          <w:rFonts w:hint="eastAsia" w:eastAsia="仿宋_GB2312"/>
          <w:sz w:val="32"/>
          <w:szCs w:val="32"/>
          <w:lang w:val="en-US" w:eastAsia="zh-CN"/>
        </w:rPr>
        <w:t>2.2.3</w:t>
      </w:r>
      <w:r>
        <w:rPr>
          <w:rFonts w:eastAsia="仿宋_GB2312"/>
          <w:sz w:val="32"/>
          <w:szCs w:val="32"/>
        </w:rPr>
        <w:t>对比方法的选择</w:t>
      </w:r>
    </w:p>
    <w:p>
      <w:pPr>
        <w:autoSpaceDE w:val="0"/>
        <w:autoSpaceDN w:val="0"/>
        <w:adjustRightInd w:val="0"/>
        <w:spacing w:line="520" w:lineRule="atLeast"/>
        <w:ind w:firstLine="640" w:firstLineChars="200"/>
        <w:rPr>
          <w:rFonts w:eastAsia="仿宋_GB2312"/>
          <w:sz w:val="32"/>
          <w:szCs w:val="32"/>
        </w:rPr>
      </w:pPr>
      <w:r>
        <w:rPr>
          <w:rFonts w:hint="eastAsia" w:eastAsia="仿宋_GB2312"/>
          <w:sz w:val="32"/>
          <w:szCs w:val="32"/>
        </w:rPr>
        <w:t>临床研究过程中，</w:t>
      </w:r>
      <w:r>
        <w:rPr>
          <w:rFonts w:eastAsia="仿宋_GB2312"/>
          <w:sz w:val="32"/>
          <w:szCs w:val="32"/>
        </w:rPr>
        <w:t>可以选择已在中国境内上市的同类产品作为对照。如选同类产品作为对照，建议选择目前在临床检测方面使用状况良好的机型，应注意试验医疗器械的适用范围不应超过同类产品的适用范围，同时应提供对照产品的信息，如生产企业、型号、适用范围等。如试验医疗器械的适用范围超过已批准上市同类产品，可在以同类产品作为对照对相同的适用范围进行评价的同时，另外选择临床参考方法作为对比方法，对超出同类产品的适用范围进行临床评价。</w:t>
      </w:r>
    </w:p>
    <w:p>
      <w:pPr>
        <w:widowControl/>
        <w:autoSpaceDE w:val="0"/>
        <w:autoSpaceDN w:val="0"/>
        <w:adjustRightInd w:val="0"/>
        <w:spacing w:before="0" w:beforeAutospacing="0" w:after="0" w:line="520" w:lineRule="atLeast"/>
        <w:ind w:left="0" w:leftChars="0" w:firstLine="640" w:firstLineChars="200"/>
        <w:rPr>
          <w:rFonts w:hint="eastAsia" w:ascii="Times New Roman"/>
          <w:color w:val="auto"/>
          <w:sz w:val="32"/>
        </w:rPr>
      </w:pPr>
      <w:r>
        <w:rPr>
          <w:rFonts w:hint="eastAsia" w:eastAsia="仿宋_GB2312"/>
          <w:sz w:val="32"/>
          <w:szCs w:val="32"/>
        </w:rPr>
        <w:t>临床试验过程中，亦可选择合理的实验室参考方法作为对照标准，评价申报器械相较于一代测序或已上市的基于P</w:t>
      </w:r>
      <w:r>
        <w:rPr>
          <w:rFonts w:eastAsia="仿宋_GB2312"/>
          <w:sz w:val="32"/>
          <w:szCs w:val="32"/>
        </w:rPr>
        <w:t>CR</w:t>
      </w:r>
      <w:r>
        <w:rPr>
          <w:rFonts w:hint="eastAsia" w:eastAsia="仿宋_GB2312"/>
          <w:sz w:val="32"/>
          <w:szCs w:val="32"/>
        </w:rPr>
        <w:t>技术产品的优效性和非劣效性研究。在进行该类临床试验设计时，一般考虑申报产品在灵敏度方面优效于一代测序或已上市的基于P</w:t>
      </w:r>
      <w:r>
        <w:rPr>
          <w:rFonts w:eastAsia="仿宋_GB2312"/>
          <w:sz w:val="32"/>
          <w:szCs w:val="32"/>
        </w:rPr>
        <w:t>CR</w:t>
      </w:r>
      <w:r>
        <w:rPr>
          <w:rFonts w:hint="eastAsia" w:eastAsia="仿宋_GB2312"/>
          <w:sz w:val="32"/>
          <w:szCs w:val="32"/>
        </w:rPr>
        <w:t>技术产品，在特异度方面非劣效于一代测序或已上市的基于P</w:t>
      </w:r>
      <w:r>
        <w:rPr>
          <w:rFonts w:eastAsia="仿宋_GB2312"/>
          <w:sz w:val="32"/>
          <w:szCs w:val="32"/>
        </w:rPr>
        <w:t>CR</w:t>
      </w:r>
      <w:r>
        <w:rPr>
          <w:rFonts w:hint="eastAsia" w:eastAsia="仿宋_GB2312"/>
          <w:sz w:val="32"/>
          <w:szCs w:val="32"/>
        </w:rPr>
        <w:t>技术产品。同时，选择的对比方法应能够充分评价试验医疗器械定量检测的性能。</w:t>
      </w:r>
    </w:p>
    <w:p>
      <w:pPr>
        <w:autoSpaceDE w:val="0"/>
        <w:autoSpaceDN w:val="0"/>
        <w:adjustRightInd w:val="0"/>
        <w:spacing w:line="520" w:lineRule="atLeast"/>
        <w:ind w:firstLine="640" w:firstLineChars="200"/>
        <w:rPr>
          <w:rFonts w:eastAsia="仿宋_GB2312"/>
          <w:color w:val="auto"/>
          <w:sz w:val="32"/>
          <w:szCs w:val="32"/>
        </w:rPr>
      </w:pPr>
      <w:r>
        <w:rPr>
          <w:rFonts w:hint="eastAsia" w:eastAsia="仿宋_GB2312"/>
          <w:color w:val="auto"/>
          <w:sz w:val="32"/>
          <w:szCs w:val="32"/>
          <w:lang w:val="en-US" w:eastAsia="zh-CN"/>
        </w:rPr>
        <w:t>2.2.4</w:t>
      </w:r>
      <w:r>
        <w:rPr>
          <w:rFonts w:eastAsia="仿宋_GB2312"/>
          <w:color w:val="auto"/>
          <w:sz w:val="32"/>
          <w:szCs w:val="32"/>
        </w:rPr>
        <w:t>临床评价指标</w:t>
      </w:r>
    </w:p>
    <w:p>
      <w:pPr>
        <w:autoSpaceDE w:val="0"/>
        <w:autoSpaceDN w:val="0"/>
        <w:adjustRightInd w:val="0"/>
        <w:spacing w:line="520" w:lineRule="atLeast"/>
        <w:ind w:firstLine="640" w:firstLineChars="200"/>
        <w:rPr>
          <w:rFonts w:eastAsia="仿宋_GB2312"/>
          <w:color w:val="auto"/>
          <w:sz w:val="32"/>
          <w:szCs w:val="32"/>
        </w:rPr>
      </w:pPr>
      <w:r>
        <w:rPr>
          <w:rFonts w:hint="eastAsia" w:eastAsia="仿宋_GB2312"/>
          <w:color w:val="auto"/>
          <w:sz w:val="32"/>
          <w:szCs w:val="32"/>
        </w:rPr>
        <w:t>针对与已上市同类产品进行一致性比对的临床试验，定性检测的</w:t>
      </w:r>
      <w:r>
        <w:rPr>
          <w:rFonts w:eastAsia="仿宋_GB2312"/>
          <w:color w:val="auto"/>
          <w:sz w:val="32"/>
          <w:szCs w:val="32"/>
        </w:rPr>
        <w:t>主要评价指标一般为检测准确性（灵敏度、特异度）或检测一致性（阳性/阴性符合率、总符合率、Kappa值等），主要评价指标应能够满足评价产品临床性能的要求。</w:t>
      </w:r>
      <w:r>
        <w:rPr>
          <w:rFonts w:hint="eastAsia" w:eastAsia="仿宋_GB2312"/>
          <w:color w:val="auto"/>
          <w:sz w:val="32"/>
          <w:szCs w:val="32"/>
        </w:rPr>
        <w:t>定量检测的主要评价指标一般为回归分析的回归系数、截距、相关系数和决定系数等，采用Bland-Altman法，计算一致性限度，评价两种方法的一致性，一致性限度应在临床所能接受的界值范围内。</w:t>
      </w:r>
    </w:p>
    <w:p>
      <w:pPr>
        <w:autoSpaceDE w:val="0"/>
        <w:autoSpaceDN w:val="0"/>
        <w:adjustRightInd w:val="0"/>
        <w:spacing w:line="520" w:lineRule="atLeast"/>
        <w:ind w:firstLine="640" w:firstLineChars="200"/>
        <w:rPr>
          <w:rFonts w:eastAsia="仿宋_GB2312"/>
          <w:color w:val="auto"/>
          <w:sz w:val="32"/>
          <w:szCs w:val="32"/>
        </w:rPr>
      </w:pPr>
      <w:r>
        <w:rPr>
          <w:rFonts w:hint="eastAsia" w:eastAsia="仿宋_GB2312"/>
          <w:color w:val="auto"/>
          <w:sz w:val="32"/>
          <w:szCs w:val="32"/>
        </w:rPr>
        <w:t>临床试验如选择合理的实验室参考方法作为对照标准，评价申报器械相较于一代测序或已上市的基于PCR技术产品的优效性和非劣效性研究，主要评价指标为申报产品灵敏度是否满足优效性要求，特异度是否满足非劣效性要求。</w:t>
      </w:r>
    </w:p>
    <w:p>
      <w:pPr>
        <w:autoSpaceDE w:val="0"/>
        <w:autoSpaceDN w:val="0"/>
        <w:adjustRightInd w:val="0"/>
        <w:spacing w:line="520" w:lineRule="atLeast"/>
        <w:ind w:firstLine="640" w:firstLineChars="200"/>
        <w:rPr>
          <w:rFonts w:eastAsia="仿宋_GB2312"/>
          <w:color w:val="auto"/>
          <w:sz w:val="32"/>
          <w:szCs w:val="32"/>
        </w:rPr>
      </w:pPr>
      <w:r>
        <w:rPr>
          <w:rFonts w:eastAsia="仿宋_GB2312"/>
          <w:color w:val="auto"/>
          <w:sz w:val="32"/>
          <w:szCs w:val="32"/>
        </w:rPr>
        <w:t>同时申请人还应对临床试验检测项目进行数据质量的分析。</w:t>
      </w:r>
    </w:p>
    <w:p>
      <w:pPr>
        <w:autoSpaceDE w:val="0"/>
        <w:autoSpaceDN w:val="0"/>
        <w:adjustRightInd w:val="0"/>
        <w:spacing w:line="520" w:lineRule="atLeast"/>
        <w:ind w:firstLine="640" w:firstLineChars="200"/>
        <w:rPr>
          <w:rFonts w:eastAsia="仿宋_GB2312"/>
          <w:color w:val="auto"/>
          <w:sz w:val="32"/>
          <w:szCs w:val="32"/>
        </w:rPr>
      </w:pPr>
      <w:r>
        <w:rPr>
          <w:rFonts w:eastAsia="仿宋_GB2312"/>
          <w:color w:val="auto"/>
          <w:sz w:val="32"/>
          <w:szCs w:val="32"/>
        </w:rPr>
        <w:t>次要评价指标一般包括仪器功能、稳定性、使用便捷性、使用安全性等。</w:t>
      </w:r>
    </w:p>
    <w:p>
      <w:pPr>
        <w:autoSpaceDE w:val="0"/>
        <w:autoSpaceDN w:val="0"/>
        <w:adjustRightInd w:val="0"/>
        <w:spacing w:line="520" w:lineRule="atLeast"/>
        <w:ind w:firstLine="640" w:firstLineChars="200"/>
        <w:rPr>
          <w:rFonts w:eastAsia="仿宋_GB2312"/>
          <w:color w:val="auto"/>
          <w:sz w:val="32"/>
          <w:szCs w:val="32"/>
        </w:rPr>
      </w:pPr>
      <w:r>
        <w:rPr>
          <w:rFonts w:hint="eastAsia" w:eastAsia="仿宋_GB2312"/>
          <w:color w:val="auto"/>
          <w:sz w:val="32"/>
          <w:szCs w:val="32"/>
          <w:lang w:val="en-US" w:eastAsia="zh-CN"/>
        </w:rPr>
        <w:t>2.2.5</w:t>
      </w:r>
      <w:r>
        <w:rPr>
          <w:rFonts w:eastAsia="仿宋_GB2312"/>
          <w:color w:val="auto"/>
          <w:sz w:val="32"/>
          <w:szCs w:val="32"/>
        </w:rPr>
        <w:t>样本量估算</w:t>
      </w:r>
    </w:p>
    <w:p>
      <w:pPr>
        <w:autoSpaceDE w:val="0"/>
        <w:autoSpaceDN w:val="0"/>
        <w:adjustRightInd w:val="0"/>
        <w:spacing w:line="520" w:lineRule="atLeast"/>
        <w:ind w:firstLine="640" w:firstLineChars="200"/>
        <w:rPr>
          <w:rFonts w:eastAsia="仿宋_GB2312"/>
          <w:color w:val="auto"/>
          <w:sz w:val="32"/>
          <w:szCs w:val="32"/>
        </w:rPr>
      </w:pPr>
      <w:r>
        <w:rPr>
          <w:rFonts w:eastAsia="仿宋_GB2312"/>
          <w:color w:val="auto"/>
          <w:sz w:val="32"/>
          <w:szCs w:val="32"/>
        </w:rPr>
        <w:t>为实现抽样样本代替总体的目的，临床试验需要一定的受试者数量（样本量）。样本量一般以临床试验的主要评价指标进行估算。需在临床试验方案中说明样本量估算的相关要素及其确定依据、样本量的具体计算方法。主要评价指标的相关参数根据已有临床数据和探索性性试验（如有）的结果来估算，需要在临床试验方案中明确这些估计值的确定依据。一般情况下，Ⅰ类错误概率</w:t>
      </w:r>
      <w:r>
        <w:rPr>
          <w:rFonts w:eastAsia="仿宋_GB2312"/>
          <w:i/>
          <w:iCs/>
          <w:color w:val="auto"/>
          <w:sz w:val="32"/>
          <w:szCs w:val="32"/>
        </w:rPr>
        <w:t>α</w:t>
      </w:r>
      <w:r>
        <w:rPr>
          <w:rFonts w:eastAsia="仿宋_GB2312"/>
          <w:color w:val="auto"/>
          <w:sz w:val="32"/>
          <w:szCs w:val="32"/>
        </w:rPr>
        <w:t>设定为双侧0.05或单侧0.025，Ⅱ类错误概率</w:t>
      </w:r>
      <w:r>
        <w:rPr>
          <w:rFonts w:eastAsia="仿宋_GB2312"/>
          <w:i/>
          <w:iCs/>
          <w:color w:val="auto"/>
          <w:sz w:val="32"/>
          <w:szCs w:val="32"/>
        </w:rPr>
        <w:t>β</w:t>
      </w:r>
      <w:r>
        <w:rPr>
          <w:rFonts w:eastAsia="仿宋_GB2312"/>
          <w:color w:val="auto"/>
          <w:sz w:val="32"/>
          <w:szCs w:val="32"/>
        </w:rPr>
        <w:t>设定为不大于0.2，预期受试者脱落和方案违背的比例不大于0.2，申请人可根据产品特征和试验设计的具体情形采用不同的取值，需充分论证其合理性。</w:t>
      </w:r>
    </w:p>
    <w:p>
      <w:pPr>
        <w:spacing w:line="520" w:lineRule="atLeast"/>
        <w:ind w:firstLine="627" w:firstLineChars="196"/>
        <w:rPr>
          <w:rFonts w:eastAsia="仿宋_GB2312"/>
          <w:color w:val="auto"/>
          <w:sz w:val="32"/>
          <w:szCs w:val="32"/>
        </w:rPr>
      </w:pPr>
      <w:r>
        <w:rPr>
          <w:rFonts w:eastAsia="仿宋_GB2312"/>
          <w:color w:val="auto"/>
          <w:sz w:val="32"/>
          <w:szCs w:val="32"/>
        </w:rPr>
        <w:t>如临床试验采用试验医疗器械与已上市同类产品进行比较研究的试验设计，建议采用单组目标值法样本量公式估算最低样本量。</w:t>
      </w:r>
    </w:p>
    <w:p>
      <w:pPr>
        <w:spacing w:line="520" w:lineRule="atLeast"/>
        <w:ind w:firstLine="561"/>
        <w:jc w:val="center"/>
        <w:rPr>
          <w:rFonts w:eastAsia="仿宋_GB2312"/>
          <w:color w:val="auto"/>
          <w:sz w:val="32"/>
          <w:szCs w:val="32"/>
        </w:rPr>
      </w:pPr>
      <w:r>
        <w:rPr>
          <w:color w:val="auto"/>
          <w:sz w:val="32"/>
          <w:szCs w:val="21"/>
        </w:rPr>
        <w:drawing>
          <wp:inline distT="0" distB="0" distL="114300" distR="114300">
            <wp:extent cx="3486150" cy="787400"/>
            <wp:effectExtent l="0" t="0" r="3810" b="5080"/>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pic:cNvPicPr>
                  </pic:nvPicPr>
                  <pic:blipFill>
                    <a:blip r:embed="rId6"/>
                    <a:stretch>
                      <a:fillRect/>
                    </a:stretch>
                  </pic:blipFill>
                  <pic:spPr>
                    <a:xfrm>
                      <a:off x="0" y="0"/>
                      <a:ext cx="3486150" cy="787400"/>
                    </a:xfrm>
                    <a:prstGeom prst="rect">
                      <a:avLst/>
                    </a:prstGeom>
                    <a:noFill/>
                    <a:ln w="12700" cap="flat" cmpd="sng">
                      <a:noFill/>
                      <a:prstDash val="solid"/>
                      <a:round/>
                    </a:ln>
                  </pic:spPr>
                </pic:pic>
              </a:graphicData>
            </a:graphic>
          </wp:inline>
        </w:drawing>
      </w:r>
      <w:r>
        <w:rPr>
          <w:rFonts w:eastAsia="仿宋_GB2312"/>
          <w:color w:val="auto"/>
          <w:sz w:val="32"/>
          <w:szCs w:val="32"/>
        </w:rPr>
        <w:t xml:space="preserve"> </w:t>
      </w:r>
    </w:p>
    <w:p>
      <w:pPr>
        <w:autoSpaceDE w:val="0"/>
        <w:autoSpaceDN w:val="0"/>
        <w:adjustRightInd w:val="0"/>
        <w:spacing w:line="520" w:lineRule="atLeast"/>
        <w:ind w:firstLine="640" w:firstLineChars="200"/>
        <w:rPr>
          <w:rFonts w:eastAsia="仿宋_GB2312"/>
          <w:color w:val="auto"/>
          <w:sz w:val="32"/>
          <w:szCs w:val="32"/>
        </w:rPr>
      </w:pPr>
      <w:r>
        <w:rPr>
          <w:rFonts w:eastAsia="仿宋_GB2312"/>
          <w:color w:val="auto"/>
          <w:sz w:val="32"/>
          <w:szCs w:val="32"/>
        </w:rPr>
        <w:t>公式中，</w:t>
      </w:r>
      <w:r>
        <w:rPr>
          <w:rFonts w:eastAsia="仿宋_GB2312"/>
          <w:i/>
          <w:iCs/>
          <w:color w:val="auto"/>
          <w:sz w:val="32"/>
          <w:szCs w:val="32"/>
        </w:rPr>
        <w:t>n</w:t>
      </w:r>
      <w:r>
        <w:rPr>
          <w:rFonts w:eastAsia="仿宋_GB2312"/>
          <w:color w:val="auto"/>
          <w:sz w:val="32"/>
          <w:szCs w:val="32"/>
        </w:rPr>
        <w:t>为样本量；</w:t>
      </w:r>
      <w:r>
        <w:rPr>
          <w:rFonts w:eastAsia="仿宋_GB2312"/>
          <w:i/>
          <w:iCs/>
          <w:color w:val="auto"/>
          <w:sz w:val="32"/>
          <w:szCs w:val="32"/>
        </w:rPr>
        <w:t>Z</w:t>
      </w:r>
      <w:r>
        <w:rPr>
          <w:rFonts w:eastAsia="仿宋_GB2312"/>
          <w:i/>
          <w:iCs/>
          <w:color w:val="auto"/>
          <w:sz w:val="32"/>
          <w:szCs w:val="32"/>
          <w:vertAlign w:val="subscript"/>
        </w:rPr>
        <w:t>1-α/2</w:t>
      </w:r>
      <w:r>
        <w:rPr>
          <w:rFonts w:eastAsia="仿宋_GB2312"/>
          <w:i/>
          <w:iCs/>
          <w:color w:val="auto"/>
          <w:sz w:val="32"/>
          <w:szCs w:val="32"/>
        </w:rPr>
        <w:t>、Z</w:t>
      </w:r>
      <w:r>
        <w:rPr>
          <w:rFonts w:eastAsia="仿宋_GB2312"/>
          <w:i/>
          <w:iCs/>
          <w:color w:val="auto"/>
          <w:sz w:val="32"/>
          <w:szCs w:val="32"/>
          <w:vertAlign w:val="subscript"/>
        </w:rPr>
        <w:t>1-β</w:t>
      </w:r>
      <w:r>
        <w:rPr>
          <w:rFonts w:eastAsia="仿宋_GB2312"/>
          <w:color w:val="auto"/>
          <w:sz w:val="32"/>
          <w:szCs w:val="32"/>
        </w:rPr>
        <w:t>为显著性水平和把握度的标准正态分布的分数位，</w:t>
      </w:r>
      <w:r>
        <w:rPr>
          <w:rFonts w:eastAsia="仿宋_GB2312"/>
          <w:i/>
          <w:iCs/>
          <w:color w:val="auto"/>
          <w:sz w:val="32"/>
          <w:szCs w:val="32"/>
        </w:rPr>
        <w:t>P</w:t>
      </w:r>
      <w:r>
        <w:rPr>
          <w:rFonts w:eastAsia="仿宋_GB2312"/>
          <w:i/>
          <w:iCs/>
          <w:color w:val="auto"/>
          <w:sz w:val="32"/>
          <w:szCs w:val="32"/>
          <w:vertAlign w:val="subscript"/>
        </w:rPr>
        <w:t>0</w:t>
      </w:r>
      <w:r>
        <w:rPr>
          <w:rFonts w:eastAsia="仿宋_GB2312"/>
          <w:color w:val="auto"/>
          <w:sz w:val="32"/>
          <w:szCs w:val="32"/>
        </w:rPr>
        <w:t>为评价指标的临床可接受标准，</w:t>
      </w:r>
      <w:r>
        <w:rPr>
          <w:rFonts w:eastAsia="仿宋_GB2312"/>
          <w:i/>
          <w:iCs/>
          <w:color w:val="auto"/>
          <w:sz w:val="32"/>
          <w:szCs w:val="32"/>
        </w:rPr>
        <w:t>P</w:t>
      </w:r>
      <w:r>
        <w:rPr>
          <w:rFonts w:eastAsia="仿宋_GB2312"/>
          <w:i/>
          <w:iCs/>
          <w:color w:val="auto"/>
          <w:sz w:val="32"/>
          <w:szCs w:val="32"/>
          <w:vertAlign w:val="subscript"/>
        </w:rPr>
        <w:t>T</w:t>
      </w:r>
      <w:r>
        <w:rPr>
          <w:rFonts w:eastAsia="仿宋_GB2312"/>
          <w:color w:val="auto"/>
          <w:sz w:val="32"/>
          <w:szCs w:val="32"/>
        </w:rPr>
        <w:t>为试验用体外诊断试剂评价指标预期值。</w:t>
      </w:r>
    </w:p>
    <w:p>
      <w:pPr>
        <w:autoSpaceDE w:val="0"/>
        <w:autoSpaceDN w:val="0"/>
        <w:adjustRightInd w:val="0"/>
        <w:spacing w:line="520" w:lineRule="atLeast"/>
        <w:ind w:firstLine="640" w:firstLineChars="200"/>
        <w:rPr>
          <w:rFonts w:eastAsia="仿宋_GB2312"/>
          <w:color w:val="auto"/>
          <w:sz w:val="32"/>
          <w:szCs w:val="32"/>
        </w:rPr>
      </w:pPr>
      <w:r>
        <w:rPr>
          <w:rFonts w:hint="eastAsia" w:eastAsia="仿宋_GB2312"/>
          <w:color w:val="auto"/>
          <w:sz w:val="32"/>
          <w:szCs w:val="32"/>
        </w:rPr>
        <w:t>如临床试验采用实验室参考方法作为对照标准，评价申报器械相较于一代测序或已上市的基于PCR技术产品的优效性和非劣效性研究，应采用优效性模型进行阳性样本量的估算，采用非劣效性模型进行阴性样本量的估算。</w:t>
      </w:r>
    </w:p>
    <w:p>
      <w:pPr>
        <w:autoSpaceDE w:val="0"/>
        <w:autoSpaceDN w:val="0"/>
        <w:adjustRightInd w:val="0"/>
        <w:spacing w:line="520" w:lineRule="atLeast"/>
        <w:ind w:firstLine="640" w:firstLineChars="200"/>
        <w:rPr>
          <w:rFonts w:eastAsia="仿宋_GB2312"/>
          <w:color w:val="auto"/>
          <w:sz w:val="32"/>
          <w:szCs w:val="32"/>
        </w:rPr>
      </w:pPr>
      <w:r>
        <w:rPr>
          <w:rFonts w:hint="eastAsia" w:eastAsia="仿宋_GB2312"/>
          <w:color w:val="auto"/>
          <w:sz w:val="32"/>
          <w:szCs w:val="32"/>
        </w:rPr>
        <w:t>样本量估算过程中应考虑标志物对申报产品线性范围的覆盖情况，临床试验过程中，阳性样本应对申报产品线性范围具有良好的覆盖。</w:t>
      </w:r>
    </w:p>
    <w:p>
      <w:pPr>
        <w:autoSpaceDE w:val="0"/>
        <w:autoSpaceDN w:val="0"/>
        <w:adjustRightInd w:val="0"/>
        <w:spacing w:line="520" w:lineRule="atLeast"/>
        <w:ind w:firstLine="640" w:firstLineChars="200"/>
        <w:rPr>
          <w:rFonts w:eastAsia="仿宋_GB2312"/>
          <w:color w:val="auto"/>
          <w:sz w:val="32"/>
          <w:szCs w:val="32"/>
        </w:rPr>
      </w:pPr>
      <w:r>
        <w:rPr>
          <w:rFonts w:hint="eastAsia" w:eastAsia="仿宋_GB2312"/>
          <w:color w:val="auto"/>
          <w:sz w:val="32"/>
          <w:szCs w:val="32"/>
          <w:lang w:val="en-US" w:eastAsia="zh-CN"/>
        </w:rPr>
        <w:t>2.2.6</w:t>
      </w:r>
      <w:r>
        <w:rPr>
          <w:rFonts w:eastAsia="仿宋_GB2312"/>
          <w:color w:val="auto"/>
          <w:sz w:val="32"/>
          <w:szCs w:val="32"/>
        </w:rPr>
        <w:t>统计分析</w:t>
      </w:r>
    </w:p>
    <w:p>
      <w:pPr>
        <w:autoSpaceDE w:val="0"/>
        <w:autoSpaceDN w:val="0"/>
        <w:adjustRightInd w:val="0"/>
        <w:spacing w:line="520" w:lineRule="atLeast"/>
        <w:ind w:firstLine="640" w:firstLineChars="200"/>
        <w:rPr>
          <w:rFonts w:eastAsia="仿宋_GB2312"/>
          <w:color w:val="auto"/>
          <w:sz w:val="32"/>
          <w:szCs w:val="32"/>
        </w:rPr>
      </w:pPr>
      <w:r>
        <w:rPr>
          <w:rFonts w:eastAsia="仿宋_GB2312"/>
          <w:color w:val="auto"/>
          <w:sz w:val="32"/>
          <w:szCs w:val="32"/>
        </w:rPr>
        <w:t>应选择合适的统计方法对临床试验结果进行统计分析，对于试验医疗器械与参考方法/已上市同类产品的一致性评价，一般选择2×2四格表的形式总结两种产品的检测结果，并据此计算灵敏度/特异度、阳性/阴性符合率、Kappa值等指标及其95%置信区间。</w:t>
      </w:r>
      <w:r>
        <w:rPr>
          <w:rFonts w:hint="eastAsia" w:eastAsia="仿宋_GB2312"/>
          <w:color w:val="auto"/>
          <w:sz w:val="32"/>
          <w:szCs w:val="32"/>
        </w:rPr>
        <w:t>对于定量检测项目，计算回归分析的回归系数、截距、相关系数和决定系数等，采用Bland-Altman法，计算一致性限度。</w:t>
      </w:r>
    </w:p>
    <w:p>
      <w:pPr>
        <w:autoSpaceDE w:val="0"/>
        <w:autoSpaceDN w:val="0"/>
        <w:adjustRightInd w:val="0"/>
        <w:spacing w:line="520" w:lineRule="atLeast"/>
        <w:ind w:firstLine="640" w:firstLineChars="200"/>
        <w:rPr>
          <w:rFonts w:eastAsia="仿宋_GB2312"/>
          <w:color w:val="auto"/>
          <w:sz w:val="32"/>
          <w:szCs w:val="32"/>
        </w:rPr>
      </w:pPr>
      <w:r>
        <w:rPr>
          <w:rFonts w:eastAsia="仿宋_GB2312"/>
          <w:color w:val="auto"/>
          <w:sz w:val="32"/>
          <w:szCs w:val="32"/>
        </w:rPr>
        <w:t>对于不一致样本，应进行原因分析。如临床试验方案规定采用其他方法进行确认，则确认结果不应纳入统计分析。</w:t>
      </w:r>
    </w:p>
    <w:p>
      <w:pPr>
        <w:pStyle w:val="9"/>
        <w:widowControl/>
        <w:spacing w:before="0" w:beforeAutospacing="0" w:after="0" w:line="520" w:lineRule="atLeast"/>
        <w:ind w:left="0" w:leftChars="0" w:firstLine="640"/>
        <w:rPr>
          <w:rFonts w:ascii="Times New Roman"/>
          <w:color w:val="auto"/>
          <w:sz w:val="32"/>
        </w:rPr>
      </w:pPr>
      <w:r>
        <w:rPr>
          <w:rFonts w:ascii="Times New Roman" w:eastAsia="仿宋_GB2312"/>
          <w:color w:val="auto"/>
          <w:sz w:val="32"/>
          <w:szCs w:val="32"/>
        </w:rPr>
        <w:t>对于次要评价指标，仪器功能一般主要分析仪器运行过程中是否能实时监测运行状态并自动对用户进行提示、异常状态报警功能、运行过程追踪记录功能、数据备份功能、样本/反应载体/试剂正确识别功能等；稳定性主要分析仪器在临床试验过程中可持续正常工作；使用便捷性主要分析试验参数设置的便捷性及操作界面友好性等；使用安全性主要包括机械安全性、电气安全性、噪声安全性、生物安全性等。</w:t>
      </w:r>
    </w:p>
    <w:p>
      <w:pPr>
        <w:spacing w:line="520" w:lineRule="atLeast"/>
        <w:ind w:right="-67" w:rightChars="-32" w:firstLine="640" w:firstLineChars="200"/>
        <w:rPr>
          <w:rFonts w:eastAsia="仿宋_GB2312"/>
          <w:color w:val="auto"/>
          <w:sz w:val="32"/>
          <w:szCs w:val="32"/>
        </w:rPr>
      </w:pPr>
      <w:r>
        <w:rPr>
          <w:rFonts w:hint="eastAsia" w:eastAsia="仿宋_GB2312"/>
          <w:color w:val="auto"/>
          <w:sz w:val="32"/>
          <w:szCs w:val="32"/>
          <w:lang w:val="en-US" w:eastAsia="zh-CN"/>
        </w:rPr>
        <w:t>2.3</w:t>
      </w:r>
      <w:r>
        <w:rPr>
          <w:rFonts w:eastAsia="仿宋_GB2312"/>
          <w:color w:val="auto"/>
          <w:sz w:val="32"/>
          <w:szCs w:val="32"/>
        </w:rPr>
        <w:t>质量控制</w:t>
      </w:r>
    </w:p>
    <w:p>
      <w:pPr>
        <w:overflowPunct w:val="0"/>
        <w:spacing w:line="520" w:lineRule="atLeast"/>
        <w:ind w:firstLine="640" w:firstLineChars="200"/>
        <w:rPr>
          <w:rFonts w:eastAsia="黑体"/>
          <w:bCs/>
          <w:color w:val="auto"/>
          <w:sz w:val="32"/>
          <w:szCs w:val="32"/>
        </w:rPr>
      </w:pPr>
      <w:r>
        <w:rPr>
          <w:rFonts w:eastAsia="仿宋_GB2312"/>
          <w:color w:val="auto"/>
          <w:sz w:val="32"/>
          <w:szCs w:val="32"/>
        </w:rPr>
        <w:t>临床试验开始前，建议进行临床试验的培训，以熟悉并掌握相关试验方法的操作、仪器、技术性能等，最大限度控制试验误差。整个试验过程都应处于有效的质量控制下，最大限度保证试验数据的准确性及可重复性。</w:t>
      </w:r>
    </w:p>
    <w:p>
      <w:pPr>
        <w:overflowPunct w:val="0"/>
        <w:spacing w:line="520" w:lineRule="atLeast"/>
        <w:ind w:firstLine="640" w:firstLineChars="200"/>
        <w:rPr>
          <w:rFonts w:hint="eastAsia" w:ascii="仿宋_GB2312" w:hAnsi="仿宋_GB2312" w:eastAsia="仿宋_GB2312" w:cs="仿宋_GB2312"/>
          <w:bCs w:val="0"/>
          <w:color w:val="auto"/>
          <w:sz w:val="32"/>
          <w:szCs w:val="32"/>
        </w:rPr>
      </w:pPr>
      <w:r>
        <w:rPr>
          <w:rFonts w:hint="eastAsia" w:ascii="仿宋_GB2312" w:hAnsi="仿宋_GB2312" w:eastAsia="仿宋_GB2312" w:cs="仿宋_GB2312"/>
          <w:bCs w:val="0"/>
          <w:color w:val="auto"/>
          <w:sz w:val="32"/>
          <w:szCs w:val="32"/>
          <w:lang w:eastAsia="zh-CN"/>
        </w:rPr>
        <w:t>3</w:t>
      </w:r>
      <w:r>
        <w:rPr>
          <w:rFonts w:hint="eastAsia" w:ascii="仿宋_GB2312" w:hAnsi="仿宋_GB2312" w:eastAsia="仿宋_GB2312" w:cs="仿宋_GB2312"/>
          <w:bCs w:val="0"/>
          <w:color w:val="auto"/>
          <w:sz w:val="32"/>
          <w:szCs w:val="32"/>
          <w:lang w:val="en-US" w:eastAsia="zh-CN"/>
        </w:rPr>
        <w:t>.</w:t>
      </w:r>
      <w:r>
        <w:rPr>
          <w:rFonts w:hint="eastAsia" w:ascii="仿宋_GB2312" w:hAnsi="仿宋_GB2312" w:eastAsia="仿宋_GB2312" w:cs="仿宋_GB2312"/>
          <w:bCs w:val="0"/>
          <w:color w:val="auto"/>
          <w:sz w:val="32"/>
          <w:szCs w:val="32"/>
        </w:rPr>
        <w:t>决策是否开展医疗器械临床试验</w:t>
      </w:r>
    </w:p>
    <w:p>
      <w:pPr>
        <w:spacing w:line="520" w:lineRule="atLeast"/>
        <w:ind w:firstLine="640" w:firstLineChars="200"/>
        <w:rPr>
          <w:rFonts w:eastAsia="仿宋_GB2312"/>
          <w:color w:val="auto"/>
          <w:kern w:val="0"/>
          <w:sz w:val="32"/>
          <w:szCs w:val="32"/>
        </w:rPr>
      </w:pPr>
      <w:r>
        <w:rPr>
          <w:rFonts w:eastAsia="仿宋_GB2312"/>
          <w:color w:val="auto"/>
          <w:kern w:val="0"/>
          <w:sz w:val="32"/>
          <w:szCs w:val="32"/>
        </w:rPr>
        <w:t>对于具有下列情形之一的产品，通过同品种医疗器械临床数据进行分析评价无法充分证明产品安全性、有效性的，应当进行临床试验，包括：</w:t>
      </w:r>
    </w:p>
    <w:p>
      <w:pPr>
        <w:spacing w:line="520" w:lineRule="atLeast"/>
        <w:ind w:firstLine="640" w:firstLineChars="200"/>
        <w:rPr>
          <w:rFonts w:eastAsia="仿宋_GB2312"/>
          <w:color w:val="auto"/>
          <w:kern w:val="0"/>
          <w:sz w:val="32"/>
          <w:szCs w:val="32"/>
        </w:rPr>
      </w:pPr>
      <w:r>
        <w:rPr>
          <w:rFonts w:hint="eastAsia" w:eastAsia="仿宋_GB2312"/>
          <w:color w:val="auto"/>
          <w:kern w:val="0"/>
          <w:sz w:val="32"/>
          <w:szCs w:val="32"/>
          <w:lang w:val="en-US" w:eastAsia="zh-CN"/>
        </w:rPr>
        <w:t>3.1</w:t>
      </w:r>
      <w:r>
        <w:rPr>
          <w:rFonts w:hint="eastAsia" w:eastAsia="仿宋_GB2312"/>
          <w:color w:val="auto"/>
          <w:kern w:val="0"/>
          <w:sz w:val="32"/>
          <w:szCs w:val="32"/>
        </w:rPr>
        <w:t>申报产品的基本原理（例如：微液滴生成原理、微滴检测原理、荧光信号采集原理、信号处理与分析原理等）</w:t>
      </w:r>
      <w:r>
        <w:rPr>
          <w:rFonts w:eastAsia="仿宋_GB2312"/>
          <w:color w:val="auto"/>
          <w:sz w:val="32"/>
          <w:szCs w:val="32"/>
        </w:rPr>
        <w:t>具有全新的技术特性。</w:t>
      </w:r>
    </w:p>
    <w:p>
      <w:pPr>
        <w:spacing w:line="520" w:lineRule="atLeast"/>
        <w:ind w:firstLine="640" w:firstLineChars="200"/>
        <w:rPr>
          <w:rFonts w:eastAsia="仿宋_GB2312"/>
          <w:color w:val="auto"/>
          <w:kern w:val="0"/>
          <w:sz w:val="32"/>
          <w:szCs w:val="32"/>
        </w:rPr>
      </w:pPr>
      <w:r>
        <w:rPr>
          <w:rFonts w:hint="eastAsia" w:eastAsia="仿宋_GB2312"/>
          <w:color w:val="auto"/>
          <w:kern w:val="0"/>
          <w:sz w:val="32"/>
          <w:szCs w:val="32"/>
          <w:lang w:val="en-US" w:eastAsia="zh-CN"/>
        </w:rPr>
        <w:t>3.2</w:t>
      </w:r>
      <w:r>
        <w:rPr>
          <w:rFonts w:eastAsia="仿宋_GB2312"/>
          <w:color w:val="auto"/>
          <w:sz w:val="32"/>
          <w:szCs w:val="32"/>
        </w:rPr>
        <w:t>申报产品具有新的临床预期使用场景和功能，</w:t>
      </w:r>
      <w:r>
        <w:rPr>
          <w:rFonts w:eastAsia="仿宋_GB2312"/>
          <w:color w:val="auto"/>
          <w:kern w:val="0"/>
          <w:sz w:val="32"/>
          <w:szCs w:val="32"/>
        </w:rPr>
        <w:t>且该功能从未在境内获得批准。</w:t>
      </w:r>
    </w:p>
    <w:p>
      <w:pPr>
        <w:spacing w:line="520" w:lineRule="atLeast"/>
        <w:ind w:firstLine="640" w:firstLineChars="200"/>
        <w:rPr>
          <w:rFonts w:eastAsia="仿宋_GB2312"/>
          <w:color w:val="auto"/>
          <w:kern w:val="0"/>
          <w:sz w:val="32"/>
          <w:szCs w:val="32"/>
        </w:rPr>
      </w:pPr>
      <w:r>
        <w:rPr>
          <w:rFonts w:eastAsia="仿宋_GB2312"/>
          <w:color w:val="auto"/>
          <w:kern w:val="0"/>
          <w:sz w:val="32"/>
          <w:szCs w:val="32"/>
        </w:rPr>
        <w:t>3.</w:t>
      </w:r>
      <w:r>
        <w:rPr>
          <w:rFonts w:hint="eastAsia" w:eastAsia="仿宋_GB2312"/>
          <w:color w:val="auto"/>
          <w:kern w:val="0"/>
          <w:sz w:val="32"/>
          <w:szCs w:val="32"/>
          <w:lang w:val="en-US" w:eastAsia="zh-CN"/>
        </w:rPr>
        <w:t>3</w:t>
      </w:r>
      <w:r>
        <w:rPr>
          <w:rFonts w:eastAsia="仿宋_GB2312"/>
          <w:color w:val="auto"/>
          <w:kern w:val="0"/>
          <w:sz w:val="32"/>
          <w:szCs w:val="32"/>
        </w:rPr>
        <w:t>针对与同品种医疗器械之间的差异，</w:t>
      </w:r>
      <w:r>
        <w:rPr>
          <w:rFonts w:eastAsia="仿宋_GB2312"/>
          <w:color w:val="auto"/>
          <w:sz w:val="32"/>
          <w:szCs w:val="32"/>
        </w:rPr>
        <w:t>若不能通过非临床研究数据</w:t>
      </w:r>
      <w:r>
        <w:rPr>
          <w:rFonts w:eastAsia="仿宋_GB2312"/>
          <w:bCs/>
          <w:color w:val="auto"/>
          <w:sz w:val="32"/>
          <w:szCs w:val="32"/>
        </w:rPr>
        <w:t>、</w:t>
      </w:r>
      <w:r>
        <w:rPr>
          <w:rFonts w:eastAsia="仿宋_GB2312"/>
          <w:color w:val="auto"/>
          <w:sz w:val="32"/>
          <w:szCs w:val="32"/>
        </w:rPr>
        <w:t>临床应用数据等证据资料证明申报产品的安全性和有效性</w:t>
      </w:r>
      <w:r>
        <w:rPr>
          <w:rFonts w:eastAsia="仿宋_GB2312"/>
          <w:bCs/>
          <w:color w:val="auto"/>
          <w:sz w:val="32"/>
          <w:szCs w:val="32"/>
        </w:rPr>
        <w:t>，</w:t>
      </w:r>
      <w:r>
        <w:rPr>
          <w:rFonts w:eastAsia="仿宋_GB2312"/>
          <w:color w:val="auto"/>
          <w:sz w:val="32"/>
          <w:szCs w:val="32"/>
        </w:rPr>
        <w:t>申请人需要考虑通过临床试验来获得临床数据。</w:t>
      </w:r>
    </w:p>
    <w:p>
      <w:pPr>
        <w:spacing w:line="520" w:lineRule="atLeast"/>
        <w:ind w:right="-67" w:rightChars="-32" w:firstLine="640" w:firstLineChars="200"/>
        <w:rPr>
          <w:rFonts w:eastAsia="仿宋_GB2312"/>
          <w:color w:val="auto"/>
          <w:sz w:val="32"/>
          <w:szCs w:val="32"/>
        </w:rPr>
      </w:pPr>
      <w:r>
        <w:rPr>
          <w:rFonts w:eastAsia="仿宋_GB2312"/>
          <w:color w:val="auto"/>
          <w:sz w:val="32"/>
          <w:szCs w:val="32"/>
        </w:rPr>
        <w:t>具体决策是否开展医疗器械临床试验可参照《决策是否开展医疗器械临床试验技术指导原则》，并提供充分的依据。</w:t>
      </w:r>
    </w:p>
    <w:p>
      <w:pPr>
        <w:spacing w:line="520" w:lineRule="atLeast"/>
        <w:ind w:right="-67" w:rightChars="-32" w:firstLine="640" w:firstLineChars="200"/>
        <w:rPr>
          <w:rFonts w:eastAsia="楷体_GB2312"/>
          <w:color w:val="auto"/>
          <w:sz w:val="32"/>
          <w:szCs w:val="32"/>
        </w:rPr>
      </w:pPr>
      <w:r>
        <w:rPr>
          <w:rFonts w:eastAsia="楷体_GB2312"/>
          <w:color w:val="auto"/>
          <w:sz w:val="32"/>
          <w:szCs w:val="32"/>
        </w:rPr>
        <w:t>（五）</w:t>
      </w:r>
      <w:r>
        <w:rPr>
          <w:rFonts w:hint="eastAsia" w:eastAsia="楷体_GB2312"/>
          <w:color w:val="auto"/>
          <w:sz w:val="32"/>
          <w:szCs w:val="32"/>
        </w:rPr>
        <w:t>产品说明书和标签样稿</w:t>
      </w:r>
    </w:p>
    <w:p>
      <w:pPr>
        <w:tabs>
          <w:tab w:val="left" w:pos="851"/>
        </w:tabs>
        <w:spacing w:line="520" w:lineRule="atLeast"/>
        <w:ind w:firstLine="640"/>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1.</w:t>
      </w:r>
      <w:r>
        <w:rPr>
          <w:rFonts w:hint="eastAsia" w:ascii="Times New Roman" w:hAnsi="Times New Roman" w:eastAsia="仿宋_GB2312"/>
          <w:color w:val="auto"/>
          <w:kern w:val="0"/>
          <w:sz w:val="32"/>
          <w:szCs w:val="32"/>
        </w:rPr>
        <w:t>产品说明书</w:t>
      </w:r>
    </w:p>
    <w:p>
      <w:pPr>
        <w:spacing w:line="520" w:lineRule="atLeast"/>
        <w:ind w:firstLine="640"/>
        <w:rPr>
          <w:rFonts w:hint="eastAsia"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产品说明书应当符合《医疗器械说明书和标签管理规定》及其他适用规定的要求。</w:t>
      </w:r>
    </w:p>
    <w:p>
      <w:pPr>
        <w:spacing w:line="520" w:lineRule="atLeast"/>
        <w:ind w:firstLine="640"/>
        <w:rPr>
          <w:rFonts w:hint="eastAsia"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产品说明书的内容均应有明确的来源，与综述资料、研究资料等注册申报资料的内容保持一致。</w:t>
      </w:r>
    </w:p>
    <w:p>
      <w:pPr>
        <w:spacing w:line="520" w:lineRule="atLeast"/>
        <w:ind w:firstLine="640"/>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1.1结构组成：</w:t>
      </w:r>
    </w:p>
    <w:p>
      <w:pPr>
        <w:spacing w:line="520" w:lineRule="atLeast"/>
        <w:ind w:firstLine="640" w:firstLineChars="200"/>
        <w:jc w:val="left"/>
        <w:rPr>
          <w:rFonts w:hint="eastAsia" w:eastAsia="仿宋_GB2312"/>
          <w:color w:val="auto"/>
          <w:kern w:val="0"/>
          <w:sz w:val="32"/>
          <w:szCs w:val="32"/>
          <w:highlight w:val="none"/>
          <w:lang w:val="en-US" w:eastAsia="zh-CN"/>
        </w:rPr>
      </w:pPr>
      <w:r>
        <w:rPr>
          <w:rFonts w:hint="eastAsia" w:eastAsia="仿宋_GB2312"/>
          <w:color w:val="auto"/>
          <w:kern w:val="0"/>
          <w:sz w:val="32"/>
          <w:szCs w:val="32"/>
          <w:highlight w:val="none"/>
          <w:lang w:val="en-US" w:eastAsia="zh-CN"/>
        </w:rPr>
        <w:t>如数字PCR分析仪可以与PCR扩增仪配套使用，其结构组成也可不包含PCR扩增模块，但需在说明书中明确可配套使用的PCR扩增仪的名称、型号、上市情况等信息。</w:t>
      </w:r>
    </w:p>
    <w:p>
      <w:pPr>
        <w:spacing w:line="520" w:lineRule="atLeast"/>
        <w:ind w:firstLine="640"/>
        <w:rPr>
          <w:rFonts w:hint="default" w:eastAsia="仿宋_GB2312"/>
          <w:color w:val="auto"/>
          <w:kern w:val="0"/>
          <w:sz w:val="32"/>
          <w:szCs w:val="32"/>
          <w:lang w:val="en-US" w:eastAsia="zh-CN"/>
        </w:rPr>
      </w:pPr>
      <w:r>
        <w:rPr>
          <w:rFonts w:hint="eastAsia" w:eastAsia="仿宋_GB2312"/>
          <w:color w:val="auto"/>
          <w:kern w:val="0"/>
          <w:sz w:val="32"/>
          <w:szCs w:val="32"/>
          <w:lang w:eastAsia="zh-CN"/>
        </w:rPr>
        <w:t>说明书中注明配套芯片的型号、材料、结构和</w:t>
      </w:r>
      <w:r>
        <w:rPr>
          <w:rFonts w:hint="eastAsia" w:eastAsia="仿宋_GB2312"/>
          <w:color w:val="auto"/>
          <w:kern w:val="0"/>
          <w:sz w:val="32"/>
          <w:szCs w:val="32"/>
          <w:lang w:val="en-US" w:eastAsia="zh-CN"/>
        </w:rPr>
        <w:t>关键尺寸。建议图示明确芯片结构和尺寸。</w:t>
      </w:r>
    </w:p>
    <w:p>
      <w:pPr>
        <w:numPr>
          <w:ilvl w:val="-1"/>
          <w:numId w:val="0"/>
        </w:numPr>
        <w:spacing w:line="520" w:lineRule="atLeast"/>
        <w:ind w:firstLine="420" w:firstLineChars="0"/>
        <w:rPr>
          <w:rFonts w:hint="eastAsia" w:ascii="Times New Roman" w:hAnsi="Times New Roman" w:eastAsia="仿宋_GB2312"/>
          <w:color w:val="auto"/>
          <w:kern w:val="0"/>
          <w:sz w:val="32"/>
          <w:szCs w:val="32"/>
          <w:lang w:val="en-US" w:eastAsia="zh-CN"/>
        </w:rPr>
      </w:pPr>
      <w:r>
        <w:rPr>
          <w:rFonts w:hint="eastAsia" w:eastAsia="仿宋_GB2312"/>
          <w:color w:val="auto"/>
          <w:kern w:val="0"/>
          <w:sz w:val="32"/>
          <w:szCs w:val="32"/>
          <w:lang w:val="en-US" w:eastAsia="zh-CN"/>
        </w:rPr>
        <w:t xml:space="preserve"> 1.2稳定性中注明校准周期，仪器校准方法。</w:t>
      </w:r>
    </w:p>
    <w:p>
      <w:pPr>
        <w:numPr>
          <w:ilvl w:val="-1"/>
          <w:numId w:val="0"/>
        </w:numPr>
        <w:spacing w:line="520" w:lineRule="atLeast"/>
        <w:ind w:firstLine="420" w:firstLineChars="0"/>
        <w:rPr>
          <w:rFonts w:hint="eastAsia" w:eastAsia="仿宋_GB2312"/>
          <w:color w:val="auto"/>
          <w:lang w:eastAsia="zh-CN"/>
        </w:rPr>
      </w:pPr>
      <w:r>
        <w:rPr>
          <w:rFonts w:hint="eastAsia" w:eastAsia="仿宋_GB2312"/>
          <w:color w:val="auto"/>
          <w:kern w:val="0"/>
          <w:sz w:val="32"/>
          <w:szCs w:val="32"/>
          <w:lang w:val="en-US" w:eastAsia="zh-CN"/>
        </w:rPr>
        <w:t xml:space="preserve"> 1.3</w:t>
      </w:r>
      <w:r>
        <w:rPr>
          <w:rFonts w:hint="eastAsia" w:ascii="Times New Roman" w:hAnsi="Times New Roman" w:eastAsia="仿宋_GB2312"/>
          <w:color w:val="auto"/>
          <w:kern w:val="0"/>
          <w:sz w:val="32"/>
          <w:szCs w:val="32"/>
        </w:rPr>
        <w:t>清洁</w:t>
      </w:r>
      <w:r>
        <w:rPr>
          <w:rFonts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rPr>
        <w:t>消毒工艺</w:t>
      </w:r>
      <w:r>
        <w:rPr>
          <w:rFonts w:hint="eastAsia" w:eastAsia="仿宋_GB2312"/>
          <w:color w:val="auto"/>
          <w:kern w:val="0"/>
          <w:sz w:val="32"/>
          <w:szCs w:val="32"/>
          <w:lang w:eastAsia="zh-CN"/>
        </w:rPr>
        <w:t>：</w:t>
      </w:r>
    </w:p>
    <w:p>
      <w:pPr>
        <w:spacing w:line="520" w:lineRule="atLeast"/>
        <w:ind w:firstLine="640"/>
        <w:rPr>
          <w:rFonts w:hint="eastAsia" w:eastAsia="仿宋_GB2312"/>
          <w:color w:val="auto"/>
          <w:kern w:val="0"/>
          <w:sz w:val="32"/>
          <w:szCs w:val="32"/>
          <w:lang w:val="en-US" w:eastAsia="zh-CN"/>
        </w:rPr>
      </w:pPr>
      <w:r>
        <w:rPr>
          <w:rFonts w:hint="eastAsia" w:ascii="Times New Roman" w:hAnsi="Times New Roman" w:eastAsia="仿宋_GB2312"/>
          <w:color w:val="auto"/>
          <w:kern w:val="0"/>
          <w:sz w:val="32"/>
          <w:szCs w:val="32"/>
        </w:rPr>
        <w:t>明确采取的污染控制措施，包括仪器清洁与消毒工艺等，</w:t>
      </w:r>
      <w:r>
        <w:rPr>
          <w:rFonts w:hint="eastAsia" w:eastAsia="仿宋_GB2312"/>
          <w:color w:val="auto"/>
          <w:kern w:val="0"/>
          <w:sz w:val="32"/>
          <w:szCs w:val="32"/>
          <w:lang w:val="en-US" w:eastAsia="zh-CN"/>
        </w:rPr>
        <w:t>如管路清洗、紫外线消毒等。</w:t>
      </w:r>
    </w:p>
    <w:p>
      <w:pPr>
        <w:spacing w:line="520" w:lineRule="atLeast"/>
        <w:ind w:firstLine="640"/>
        <w:rPr>
          <w:rFonts w:hint="default" w:eastAsia="仿宋_GB2312"/>
          <w:color w:val="auto"/>
          <w:kern w:val="0"/>
          <w:sz w:val="32"/>
          <w:szCs w:val="32"/>
          <w:lang w:val="en-US" w:eastAsia="zh-CN"/>
        </w:rPr>
      </w:pPr>
      <w:r>
        <w:rPr>
          <w:rFonts w:hint="eastAsia" w:eastAsia="仿宋_GB2312"/>
          <w:color w:val="auto"/>
          <w:kern w:val="0"/>
          <w:sz w:val="32"/>
          <w:szCs w:val="32"/>
          <w:lang w:val="en-US" w:eastAsia="zh-CN"/>
        </w:rPr>
        <w:t>由于数字PCR的高敏感性，需消除核酸和试剂残留，</w:t>
      </w:r>
      <w:r>
        <w:rPr>
          <w:rFonts w:hint="eastAsia" w:eastAsia="仿宋_GB2312"/>
          <w:strike w:val="0"/>
          <w:color w:val="auto"/>
          <w:kern w:val="0"/>
          <w:sz w:val="32"/>
          <w:szCs w:val="32"/>
          <w:lang w:val="en-US" w:eastAsia="zh-CN"/>
        </w:rPr>
        <w:t>建议清洁/消毒后做阴性对照测试</w:t>
      </w:r>
      <w:r>
        <w:rPr>
          <w:rFonts w:hint="eastAsia" w:eastAsia="仿宋_GB2312"/>
          <w:color w:val="auto"/>
          <w:kern w:val="0"/>
          <w:sz w:val="32"/>
          <w:szCs w:val="32"/>
          <w:lang w:val="en-US" w:eastAsia="zh-CN"/>
        </w:rPr>
        <w:t>。</w:t>
      </w:r>
    </w:p>
    <w:p>
      <w:pPr>
        <w:pStyle w:val="16"/>
        <w:spacing w:line="520" w:lineRule="atLeast"/>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2.</w:t>
      </w:r>
      <w:r>
        <w:rPr>
          <w:rFonts w:hint="eastAsia" w:ascii="Times New Roman" w:hAnsi="Times New Roman" w:eastAsia="仿宋_GB2312"/>
          <w:color w:val="auto"/>
          <w:kern w:val="0"/>
          <w:sz w:val="32"/>
          <w:szCs w:val="32"/>
        </w:rPr>
        <w:t>最小销售单元的标签样稿</w:t>
      </w:r>
    </w:p>
    <w:p>
      <w:pPr>
        <w:adjustRightInd w:val="0"/>
        <w:snapToGrid w:val="0"/>
        <w:spacing w:line="520" w:lineRule="atLeast"/>
        <w:ind w:firstLine="640"/>
        <w:rPr>
          <w:rFonts w:ascii="Times New Roman" w:hAnsi="Times New Roman" w:eastAsia="仿宋_GB2312"/>
          <w:color w:val="auto"/>
          <w:sz w:val="32"/>
          <w:szCs w:val="32"/>
        </w:rPr>
      </w:pPr>
      <w:r>
        <w:rPr>
          <w:rFonts w:hint="eastAsia" w:ascii="Times New Roman" w:hAnsi="Times New Roman" w:eastAsia="仿宋_GB2312"/>
          <w:color w:val="auto"/>
          <w:kern w:val="0"/>
          <w:sz w:val="32"/>
          <w:szCs w:val="32"/>
        </w:rPr>
        <w:t>标签样稿应当符合《医疗器械说明书和标签管理规定》的要求，标签内容应当包括第十三条规定的内容。</w:t>
      </w:r>
    </w:p>
    <w:p>
      <w:pPr>
        <w:numPr>
          <w:ilvl w:val="0"/>
          <w:numId w:val="1"/>
        </w:numPr>
        <w:spacing w:line="520" w:lineRule="atLeast"/>
        <w:ind w:right="-67" w:rightChars="-32" w:firstLine="640" w:firstLineChars="200"/>
        <w:rPr>
          <w:rFonts w:eastAsia="黑体"/>
          <w:color w:val="auto"/>
          <w:sz w:val="32"/>
          <w:szCs w:val="32"/>
        </w:rPr>
      </w:pPr>
      <w:r>
        <w:rPr>
          <w:rFonts w:hint="eastAsia" w:eastAsia="黑体"/>
          <w:color w:val="auto"/>
          <w:sz w:val="32"/>
          <w:szCs w:val="32"/>
        </w:rPr>
        <w:t>参考文献</w:t>
      </w:r>
    </w:p>
    <w:p>
      <w:pPr>
        <w:numPr>
          <w:ilvl w:val="0"/>
          <w:numId w:val="2"/>
        </w:numPr>
        <w:spacing w:line="520" w:lineRule="atLeast"/>
        <w:ind w:firstLine="640" w:firstLineChars="200"/>
        <w:rPr>
          <w:rFonts w:eastAsia="仿宋_GB2312"/>
          <w:color w:val="auto"/>
          <w:sz w:val="32"/>
          <w:szCs w:val="32"/>
        </w:rPr>
      </w:pPr>
      <w:r>
        <w:rPr>
          <w:rFonts w:hint="eastAsia" w:eastAsia="仿宋_GB2312"/>
          <w:color w:val="auto"/>
          <w:sz w:val="32"/>
          <w:szCs w:val="32"/>
          <w:lang w:val="en-US" w:eastAsia="zh-CN"/>
        </w:rPr>
        <w:t>彭年才</w:t>
      </w:r>
      <w:r>
        <w:rPr>
          <w:rFonts w:eastAsia="仿宋_GB2312"/>
          <w:color w:val="auto"/>
          <w:sz w:val="32"/>
          <w:szCs w:val="32"/>
        </w:rPr>
        <w:t>.</w:t>
      </w:r>
      <w:r>
        <w:rPr>
          <w:rFonts w:hint="eastAsia" w:eastAsia="仿宋_GB2312"/>
          <w:color w:val="auto"/>
          <w:sz w:val="32"/>
          <w:szCs w:val="32"/>
          <w:lang w:val="en-US" w:eastAsia="zh-CN"/>
        </w:rPr>
        <w:t>数字PCR：原理、技术及应用</w:t>
      </w:r>
      <w:r>
        <w:rPr>
          <w:rFonts w:eastAsia="仿宋_GB2312"/>
          <w:color w:val="auto"/>
          <w:sz w:val="32"/>
          <w:szCs w:val="32"/>
        </w:rPr>
        <w:t>[</w:t>
      </w:r>
      <w:r>
        <w:rPr>
          <w:rFonts w:hint="eastAsia" w:eastAsia="仿宋_GB2312"/>
          <w:color w:val="auto"/>
          <w:sz w:val="32"/>
          <w:szCs w:val="32"/>
          <w:lang w:val="en-US" w:eastAsia="zh-CN"/>
        </w:rPr>
        <w:t>M</w:t>
      </w:r>
      <w:r>
        <w:rPr>
          <w:rFonts w:eastAsia="仿宋_GB2312"/>
          <w:color w:val="auto"/>
          <w:sz w:val="32"/>
          <w:szCs w:val="32"/>
        </w:rPr>
        <w:t>].北京:</w:t>
      </w:r>
      <w:r>
        <w:rPr>
          <w:rFonts w:hint="eastAsia" w:eastAsia="仿宋_GB2312"/>
          <w:color w:val="auto"/>
          <w:sz w:val="32"/>
          <w:szCs w:val="32"/>
          <w:lang w:val="en-US" w:eastAsia="zh-CN"/>
        </w:rPr>
        <w:t>科学出版社</w:t>
      </w:r>
      <w:r>
        <w:rPr>
          <w:rFonts w:eastAsia="仿宋_GB2312"/>
          <w:color w:val="auto"/>
          <w:sz w:val="32"/>
          <w:szCs w:val="32"/>
        </w:rPr>
        <w:t>,</w:t>
      </w:r>
      <w:r>
        <w:rPr>
          <w:rFonts w:hint="eastAsia" w:eastAsia="仿宋_GB2312"/>
          <w:color w:val="auto"/>
          <w:sz w:val="32"/>
          <w:szCs w:val="32"/>
          <w:lang w:val="en-US" w:eastAsia="zh-CN"/>
        </w:rPr>
        <w:t>2024.1</w:t>
      </w:r>
      <w:r>
        <w:rPr>
          <w:rFonts w:eastAsia="仿宋_GB2312"/>
          <w:color w:val="auto"/>
          <w:sz w:val="32"/>
          <w:szCs w:val="32"/>
        </w:rPr>
        <w:t>.</w:t>
      </w:r>
    </w:p>
    <w:p>
      <w:pPr>
        <w:numPr>
          <w:ilvl w:val="0"/>
          <w:numId w:val="2"/>
        </w:numPr>
        <w:spacing w:line="520" w:lineRule="atLeast"/>
        <w:ind w:firstLine="640" w:firstLineChars="200"/>
        <w:rPr>
          <w:rFonts w:eastAsia="仿宋_GB2312"/>
          <w:color w:val="auto"/>
          <w:sz w:val="32"/>
          <w:szCs w:val="32"/>
        </w:rPr>
      </w:pPr>
      <w:r>
        <w:rPr>
          <w:rFonts w:hint="eastAsia" w:eastAsia="仿宋_GB2312"/>
          <w:color w:val="auto"/>
          <w:sz w:val="32"/>
          <w:szCs w:val="32"/>
          <w:lang w:val="en-US" w:eastAsia="zh-CN"/>
        </w:rPr>
        <w:t>刘毅,郭永(译者).数字PCR方法和方案</w:t>
      </w:r>
      <w:r>
        <w:rPr>
          <w:rFonts w:eastAsia="仿宋_GB2312"/>
          <w:color w:val="auto"/>
          <w:sz w:val="32"/>
          <w:szCs w:val="32"/>
        </w:rPr>
        <w:t>[</w:t>
      </w:r>
      <w:r>
        <w:rPr>
          <w:rFonts w:hint="eastAsia" w:eastAsia="仿宋_GB2312"/>
          <w:color w:val="auto"/>
          <w:sz w:val="32"/>
          <w:szCs w:val="32"/>
          <w:lang w:val="en-US" w:eastAsia="zh-CN"/>
        </w:rPr>
        <w:t>M</w:t>
      </w:r>
      <w:r>
        <w:rPr>
          <w:rFonts w:eastAsia="仿宋_GB2312"/>
          <w:color w:val="auto"/>
          <w:sz w:val="32"/>
          <w:szCs w:val="32"/>
        </w:rPr>
        <w:t>]</w:t>
      </w:r>
      <w:r>
        <w:rPr>
          <w:rFonts w:hint="eastAsia" w:eastAsia="仿宋_GB2312"/>
          <w:color w:val="auto"/>
          <w:sz w:val="32"/>
          <w:szCs w:val="32"/>
          <w:lang w:val="en-US" w:eastAsia="zh-CN"/>
        </w:rPr>
        <w:t>.</w:t>
      </w:r>
      <w:r>
        <w:rPr>
          <w:rFonts w:eastAsia="仿宋_GB2312"/>
          <w:color w:val="auto"/>
          <w:sz w:val="32"/>
          <w:szCs w:val="32"/>
        </w:rPr>
        <w:t>北京:</w:t>
      </w:r>
      <w:r>
        <w:rPr>
          <w:rFonts w:hint="eastAsia" w:eastAsia="仿宋_GB2312"/>
          <w:color w:val="auto"/>
          <w:sz w:val="32"/>
          <w:szCs w:val="32"/>
          <w:lang w:val="en-US" w:eastAsia="zh-CN"/>
        </w:rPr>
        <w:t>科学出版社</w:t>
      </w:r>
      <w:r>
        <w:rPr>
          <w:rFonts w:eastAsia="仿宋_GB2312"/>
          <w:color w:val="auto"/>
          <w:sz w:val="32"/>
          <w:szCs w:val="32"/>
        </w:rPr>
        <w:t>,</w:t>
      </w:r>
      <w:r>
        <w:rPr>
          <w:rFonts w:hint="eastAsia" w:eastAsia="仿宋_GB2312"/>
          <w:color w:val="auto"/>
          <w:sz w:val="32"/>
          <w:szCs w:val="32"/>
          <w:lang w:val="en-US" w:eastAsia="zh-CN"/>
        </w:rPr>
        <w:t>2023.7</w:t>
      </w:r>
      <w:r>
        <w:rPr>
          <w:rFonts w:eastAsia="仿宋_GB2312"/>
          <w:color w:val="auto"/>
          <w:sz w:val="32"/>
          <w:szCs w:val="32"/>
        </w:rPr>
        <w:t>.</w:t>
      </w:r>
    </w:p>
    <w:p>
      <w:pPr>
        <w:numPr>
          <w:ilvl w:val="0"/>
          <w:numId w:val="2"/>
        </w:numPr>
        <w:spacing w:line="520" w:lineRule="atLeast"/>
        <w:ind w:firstLine="640" w:firstLineChars="200"/>
        <w:rPr>
          <w:rFonts w:eastAsia="仿宋_GB2312"/>
          <w:color w:val="auto"/>
          <w:sz w:val="32"/>
          <w:szCs w:val="32"/>
        </w:rPr>
      </w:pPr>
      <w:r>
        <w:rPr>
          <w:rFonts w:hint="eastAsia" w:eastAsia="仿宋_GB2312"/>
          <w:color w:val="auto"/>
          <w:sz w:val="32"/>
          <w:szCs w:val="32"/>
        </w:rPr>
        <w:t>YY</w:t>
      </w:r>
      <w:r>
        <w:rPr>
          <w:rFonts w:hint="eastAsia" w:eastAsia="仿宋_GB2312"/>
          <w:color w:val="auto"/>
          <w:sz w:val="32"/>
          <w:szCs w:val="32"/>
          <w:lang w:val="en-US" w:eastAsia="zh-CN"/>
        </w:rPr>
        <w:t>/</w:t>
      </w:r>
      <w:r>
        <w:rPr>
          <w:rFonts w:hint="eastAsia" w:eastAsia="仿宋_GB2312"/>
          <w:color w:val="auto"/>
          <w:sz w:val="32"/>
          <w:szCs w:val="32"/>
        </w:rPr>
        <w:t>T 1918-2023</w:t>
      </w:r>
      <w:r>
        <w:rPr>
          <w:rFonts w:hint="eastAsia" w:eastAsia="仿宋_GB2312"/>
          <w:color w:val="auto"/>
          <w:sz w:val="32"/>
          <w:szCs w:val="32"/>
          <w:lang w:val="en-US" w:eastAsia="zh-CN"/>
        </w:rPr>
        <w:t>,</w:t>
      </w:r>
      <w:r>
        <w:rPr>
          <w:rFonts w:hint="eastAsia" w:eastAsia="仿宋_GB2312"/>
          <w:color w:val="auto"/>
          <w:sz w:val="32"/>
          <w:szCs w:val="32"/>
        </w:rPr>
        <w:t>数字聚合酶链反应分析系统</w:t>
      </w:r>
      <w:r>
        <w:rPr>
          <w:rFonts w:eastAsia="仿宋_GB2312"/>
          <w:color w:val="auto"/>
          <w:sz w:val="32"/>
          <w:szCs w:val="32"/>
        </w:rPr>
        <w:t>[</w:t>
      </w:r>
      <w:r>
        <w:rPr>
          <w:rFonts w:hint="eastAsia" w:eastAsia="仿宋_GB2312"/>
          <w:color w:val="auto"/>
          <w:sz w:val="32"/>
          <w:szCs w:val="32"/>
          <w:lang w:val="en-US" w:eastAsia="zh-CN"/>
        </w:rPr>
        <w:t>S</w:t>
      </w:r>
      <w:r>
        <w:rPr>
          <w:rFonts w:eastAsia="仿宋_GB2312"/>
          <w:color w:val="auto"/>
          <w:sz w:val="32"/>
          <w:szCs w:val="32"/>
        </w:rPr>
        <w:t>]</w:t>
      </w:r>
    </w:p>
    <w:p>
      <w:pPr>
        <w:numPr>
          <w:ilvl w:val="0"/>
          <w:numId w:val="2"/>
        </w:numPr>
        <w:spacing w:line="520" w:lineRule="atLeast"/>
        <w:ind w:firstLine="640" w:firstLineChars="200"/>
        <w:rPr>
          <w:rFonts w:eastAsia="仿宋_GB2312"/>
          <w:color w:val="auto"/>
          <w:sz w:val="32"/>
          <w:szCs w:val="32"/>
        </w:rPr>
      </w:pPr>
      <w:r>
        <w:rPr>
          <w:rFonts w:hint="eastAsia" w:eastAsia="仿宋_GB2312"/>
          <w:color w:val="auto"/>
          <w:sz w:val="32"/>
          <w:szCs w:val="32"/>
        </w:rPr>
        <w:t>国家食品药品监督管理局.医疗器械注册单元划分指导原则:总局关于发布医疗器械注册单元划分指导原则的通告2017年第187号[Z].</w:t>
      </w:r>
    </w:p>
    <w:p>
      <w:pPr>
        <w:widowControl/>
        <w:spacing w:line="520" w:lineRule="atLeast"/>
        <w:ind w:firstLine="640" w:firstLineChars="200"/>
        <w:rPr>
          <w:rFonts w:eastAsia="仿宋_GB2312"/>
          <w:color w:val="auto"/>
          <w:sz w:val="32"/>
          <w:szCs w:val="32"/>
        </w:rPr>
      </w:pPr>
      <w:r>
        <w:rPr>
          <w:rFonts w:eastAsia="仿宋_GB2312"/>
          <w:color w:val="auto"/>
          <w:sz w:val="32"/>
          <w:szCs w:val="32"/>
        </w:rPr>
        <w:t>[5]国家药品监督管理局.医疗器械产品技术要求编写指导原则:国家药监局通告2022年第8号[Z].</w:t>
      </w:r>
    </w:p>
    <w:p>
      <w:pPr>
        <w:widowControl/>
        <w:spacing w:line="520" w:lineRule="atLeast"/>
        <w:ind w:firstLine="640" w:firstLineChars="200"/>
        <w:rPr>
          <w:rFonts w:eastAsia="仿宋_GB2312"/>
          <w:color w:val="auto"/>
          <w:sz w:val="32"/>
          <w:szCs w:val="32"/>
        </w:rPr>
      </w:pPr>
      <w:r>
        <w:rPr>
          <w:rFonts w:eastAsia="仿宋_GB2312"/>
          <w:color w:val="auto"/>
          <w:sz w:val="32"/>
          <w:szCs w:val="32"/>
        </w:rPr>
        <w:t>[6]</w:t>
      </w:r>
      <w:r>
        <w:rPr>
          <w:rFonts w:eastAsia="仿宋_GB2312"/>
          <w:color w:val="auto"/>
          <w:kern w:val="0"/>
          <w:sz w:val="32"/>
          <w:szCs w:val="32"/>
        </w:rPr>
        <w:t>国家药品监督管理局医疗器械审评中心</w:t>
      </w:r>
      <w:r>
        <w:rPr>
          <w:rFonts w:eastAsia="仿宋_GB2312"/>
          <w:color w:val="auto"/>
          <w:sz w:val="32"/>
          <w:szCs w:val="32"/>
        </w:rPr>
        <w:t>.医疗器械网络安全注册审查指导原则（2022年修订版）:</w:t>
      </w:r>
      <w:r>
        <w:rPr>
          <w:rFonts w:eastAsia="仿宋_GB2312"/>
          <w:color w:val="auto"/>
          <w:kern w:val="0"/>
          <w:sz w:val="32"/>
          <w:szCs w:val="32"/>
        </w:rPr>
        <w:t>国家药监局器审中心通告2022年第7号</w:t>
      </w:r>
      <w:r>
        <w:rPr>
          <w:rFonts w:eastAsia="仿宋_GB2312"/>
          <w:color w:val="auto"/>
          <w:sz w:val="32"/>
          <w:szCs w:val="32"/>
        </w:rPr>
        <w:t>[Z].</w:t>
      </w:r>
    </w:p>
    <w:p>
      <w:pPr>
        <w:widowControl/>
        <w:spacing w:line="520" w:lineRule="atLeast"/>
        <w:ind w:firstLine="640" w:firstLineChars="200"/>
        <w:rPr>
          <w:rFonts w:eastAsia="仿宋_GB2312"/>
          <w:color w:val="auto"/>
          <w:sz w:val="32"/>
          <w:szCs w:val="32"/>
        </w:rPr>
      </w:pPr>
      <w:r>
        <w:rPr>
          <w:rFonts w:eastAsia="仿宋_GB2312"/>
          <w:color w:val="auto"/>
          <w:sz w:val="32"/>
          <w:szCs w:val="32"/>
        </w:rPr>
        <w:t>[7]</w:t>
      </w:r>
      <w:r>
        <w:rPr>
          <w:rFonts w:eastAsia="仿宋_GB2312"/>
          <w:color w:val="auto"/>
          <w:kern w:val="0"/>
          <w:sz w:val="32"/>
          <w:szCs w:val="32"/>
        </w:rPr>
        <w:t>国家药品监督管理局医疗器械审评中心.医疗器械软件注册审查指导原则（2022年修订版）:国家药监局器审中心通告2022年第9号</w:t>
      </w:r>
      <w:r>
        <w:rPr>
          <w:rFonts w:eastAsia="仿宋_GB2312"/>
          <w:color w:val="auto"/>
          <w:sz w:val="32"/>
          <w:szCs w:val="32"/>
        </w:rPr>
        <w:t>[Z].</w:t>
      </w:r>
    </w:p>
    <w:p>
      <w:pPr>
        <w:widowControl/>
        <w:spacing w:line="520" w:lineRule="atLeast"/>
        <w:ind w:firstLine="640" w:firstLineChars="200"/>
        <w:rPr>
          <w:rFonts w:ascii="Times New Roman" w:hAnsi="Times New Roman" w:eastAsia="仿宋_GB2312"/>
          <w:color w:val="auto"/>
          <w:sz w:val="32"/>
          <w:szCs w:val="28"/>
        </w:rPr>
      </w:pPr>
      <w:r>
        <w:rPr>
          <w:rFonts w:eastAsia="仿宋_GB2312"/>
          <w:color w:val="auto"/>
          <w:sz w:val="32"/>
          <w:szCs w:val="32"/>
        </w:rPr>
        <w:t>[</w:t>
      </w:r>
      <w:r>
        <w:rPr>
          <w:rFonts w:hint="eastAsia" w:eastAsia="仿宋_GB2312"/>
          <w:color w:val="auto"/>
          <w:sz w:val="32"/>
          <w:szCs w:val="32"/>
          <w:lang w:val="en-US" w:eastAsia="zh-CN"/>
        </w:rPr>
        <w:t>8</w:t>
      </w:r>
      <w:r>
        <w:rPr>
          <w:rFonts w:eastAsia="仿宋_GB2312"/>
          <w:color w:val="auto"/>
          <w:sz w:val="32"/>
          <w:szCs w:val="32"/>
        </w:rPr>
        <w:t>]</w:t>
      </w:r>
      <w:r>
        <w:rPr>
          <w:rFonts w:eastAsia="仿宋_GB2312"/>
          <w:color w:val="auto"/>
          <w:kern w:val="0"/>
          <w:sz w:val="32"/>
          <w:szCs w:val="32"/>
        </w:rPr>
        <w:t>GB/T 42062</w:t>
      </w:r>
      <w:r>
        <w:rPr>
          <w:rFonts w:hint="eastAsia" w:eastAsia="仿宋_GB2312"/>
          <w:color w:val="auto"/>
          <w:kern w:val="0"/>
          <w:sz w:val="32"/>
          <w:szCs w:val="32"/>
          <w:lang w:val="en-US" w:eastAsia="zh-CN"/>
        </w:rPr>
        <w:t>,</w:t>
      </w:r>
      <w:r>
        <w:rPr>
          <w:rFonts w:eastAsia="仿宋_GB2312"/>
          <w:color w:val="auto"/>
          <w:kern w:val="0"/>
          <w:sz w:val="32"/>
          <w:szCs w:val="32"/>
        </w:rPr>
        <w:t>医疗器械 风险管理对医疗器械的应用</w:t>
      </w:r>
      <w:r>
        <w:rPr>
          <w:rFonts w:ascii="Times New Roman" w:hAnsi="Times New Roman" w:eastAsia="仿宋_GB2312"/>
          <w:color w:val="auto"/>
          <w:sz w:val="32"/>
          <w:szCs w:val="28"/>
        </w:rPr>
        <w:t>[S].</w:t>
      </w:r>
    </w:p>
    <w:p>
      <w:pPr>
        <w:widowControl/>
        <w:spacing w:line="520" w:lineRule="atLeast"/>
        <w:ind w:firstLine="640" w:firstLineChars="200"/>
        <w:rPr>
          <w:color w:val="auto"/>
        </w:rPr>
      </w:pPr>
      <w:r>
        <w:rPr>
          <w:rFonts w:eastAsia="仿宋_GB2312"/>
          <w:color w:val="auto"/>
          <w:sz w:val="32"/>
          <w:szCs w:val="32"/>
        </w:rPr>
        <w:t>[</w:t>
      </w:r>
      <w:r>
        <w:rPr>
          <w:rFonts w:hint="eastAsia" w:eastAsia="仿宋_GB2312"/>
          <w:color w:val="auto"/>
          <w:sz w:val="32"/>
          <w:szCs w:val="32"/>
          <w:lang w:val="en-US" w:eastAsia="zh-CN"/>
        </w:rPr>
        <w:t>9</w:t>
      </w:r>
      <w:r>
        <w:rPr>
          <w:rFonts w:eastAsia="仿宋_GB2312"/>
          <w:color w:val="auto"/>
          <w:sz w:val="32"/>
          <w:szCs w:val="32"/>
        </w:rPr>
        <w:t>]</w:t>
      </w:r>
      <w:r>
        <w:rPr>
          <w:rFonts w:eastAsia="仿宋_GB2312"/>
          <w:color w:val="auto"/>
          <w:kern w:val="0"/>
          <w:sz w:val="32"/>
          <w:szCs w:val="32"/>
        </w:rPr>
        <w:t>YY/T 1437</w:t>
      </w:r>
      <w:r>
        <w:rPr>
          <w:rFonts w:hint="eastAsia" w:eastAsia="仿宋_GB2312"/>
          <w:color w:val="auto"/>
          <w:kern w:val="0"/>
          <w:sz w:val="32"/>
          <w:szCs w:val="32"/>
          <w:lang w:val="en-US" w:eastAsia="zh-CN"/>
        </w:rPr>
        <w:t>,</w:t>
      </w:r>
      <w:r>
        <w:rPr>
          <w:rFonts w:ascii="Times New Roman" w:hAnsi="Times New Roman" w:eastAsia="仿宋_GB2312"/>
          <w:color w:val="auto"/>
          <w:sz w:val="32"/>
          <w:szCs w:val="28"/>
        </w:rPr>
        <w:t xml:space="preserve">医疗器械 </w:t>
      </w:r>
      <w:r>
        <w:rPr>
          <w:rFonts w:hint="eastAsia" w:eastAsia="仿宋_GB2312"/>
          <w:color w:val="auto"/>
          <w:sz w:val="32"/>
          <w:szCs w:val="28"/>
          <w:lang w:val="en-US" w:eastAsia="zh-CN"/>
        </w:rPr>
        <w:t>GB/T 42064应用指南</w:t>
      </w:r>
      <w:r>
        <w:rPr>
          <w:rFonts w:ascii="Times New Roman" w:hAnsi="Times New Roman" w:eastAsia="仿宋_GB2312"/>
          <w:color w:val="auto"/>
          <w:sz w:val="32"/>
          <w:szCs w:val="28"/>
        </w:rPr>
        <w:t>[S].</w:t>
      </w:r>
    </w:p>
    <w:p>
      <w:pPr>
        <w:widowControl/>
        <w:overflowPunct/>
        <w:spacing w:line="520" w:lineRule="atLeast"/>
        <w:ind w:firstLine="640" w:firstLineChars="200"/>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[10]</w:t>
      </w:r>
      <w:r>
        <w:rPr>
          <w:rFonts w:hint="default" w:eastAsia="仿宋_GB2312"/>
          <w:color w:val="auto"/>
          <w:sz w:val="32"/>
          <w:szCs w:val="32"/>
        </w:rPr>
        <w:t xml:space="preserve"> </w:t>
      </w:r>
      <w:r>
        <w:rPr>
          <w:rFonts w:eastAsia="仿宋_GB2312"/>
          <w:color w:val="auto"/>
          <w:sz w:val="32"/>
          <w:szCs w:val="32"/>
        </w:rPr>
        <w:t>国家药品监督管理局.</w:t>
      </w:r>
      <w:r>
        <w:rPr>
          <w:rFonts w:hint="default" w:ascii="Times New Roman" w:hAnsi="Times New Roman" w:eastAsia="仿宋_GB2312" w:cs="Times New Roman"/>
          <w:color w:val="auto"/>
          <w:sz w:val="32"/>
          <w:szCs w:val="32"/>
          <w:lang w:bidi="ar"/>
        </w:rPr>
        <w:t>医疗器械临床试验质量管理规范：国家药监局公告2022年第28号</w:t>
      </w:r>
      <w:r>
        <w:rPr>
          <w:rFonts w:eastAsia="仿宋_GB2312"/>
          <w:color w:val="auto"/>
          <w:sz w:val="32"/>
          <w:szCs w:val="32"/>
        </w:rPr>
        <w:t>[Z].</w:t>
      </w:r>
    </w:p>
    <w:p>
      <w:pPr>
        <w:widowControl/>
        <w:overflowPunct/>
        <w:spacing w:line="520" w:lineRule="atLeast"/>
        <w:ind w:firstLine="640" w:firstLineChars="200"/>
        <w:rPr>
          <w:rFonts w:eastAsia="仿宋_GB2312"/>
          <w:color w:val="auto"/>
          <w:sz w:val="32"/>
          <w:szCs w:val="32"/>
        </w:rPr>
      </w:pPr>
      <w:r>
        <w:rPr>
          <w:rFonts w:hint="default" w:ascii="Times New Roman" w:hAnsi="Times New Roman" w:eastAsia="仿宋_GB2312" w:cs="Times New Roman"/>
          <w:color w:val="auto"/>
          <w:sz w:val="32"/>
          <w:szCs w:val="32"/>
          <w:lang w:bidi="ar"/>
        </w:rPr>
        <w:t>[1</w:t>
      </w:r>
      <w:r>
        <w:rPr>
          <w:rFonts w:ascii="Times New Roman" w:hAnsi="Times New Roman" w:eastAsia="仿宋_GB2312" w:cs="Times New Roman"/>
          <w:color w:val="auto"/>
          <w:sz w:val="32"/>
          <w:szCs w:val="32"/>
          <w:lang w:bidi="ar"/>
        </w:rPr>
        <w:t>1</w:t>
      </w:r>
      <w:r>
        <w:rPr>
          <w:rFonts w:hint="default" w:ascii="Times New Roman" w:hAnsi="Times New Roman" w:eastAsia="仿宋_GB2312" w:cs="Times New Roman"/>
          <w:color w:val="auto"/>
          <w:sz w:val="32"/>
          <w:szCs w:val="32"/>
          <w:lang w:bidi="ar"/>
        </w:rPr>
        <w:t>]</w:t>
      </w:r>
      <w:r>
        <w:rPr>
          <w:rFonts w:eastAsia="仿宋_GB2312"/>
          <w:color w:val="auto"/>
          <w:kern w:val="2"/>
          <w:sz w:val="32"/>
          <w:szCs w:val="32"/>
        </w:rPr>
        <w:t xml:space="preserve"> 国家药品监督管理局</w:t>
      </w:r>
      <w:r>
        <w:rPr>
          <w:rFonts w:eastAsia="仿宋_GB2312"/>
          <w:color w:val="auto"/>
          <w:sz w:val="32"/>
          <w:szCs w:val="32"/>
        </w:rPr>
        <w:t>.</w:t>
      </w:r>
      <w:r>
        <w:rPr>
          <w:rFonts w:hint="default" w:ascii="Times New Roman" w:hAnsi="Times New Roman" w:eastAsia="仿宋_GB2312" w:cs="Times New Roman"/>
          <w:color w:val="auto"/>
          <w:sz w:val="32"/>
          <w:szCs w:val="32"/>
          <w:lang w:bidi="ar"/>
        </w:rPr>
        <w:t xml:space="preserve"> 医疗器械临床评价技术审查指导原则：国家药监局通告2021年第73号</w:t>
      </w:r>
      <w:r>
        <w:rPr>
          <w:rFonts w:eastAsia="仿宋_GB2312"/>
          <w:color w:val="auto"/>
          <w:sz w:val="32"/>
          <w:szCs w:val="32"/>
        </w:rPr>
        <w:t>[Z].</w:t>
      </w:r>
    </w:p>
    <w:p>
      <w:pPr>
        <w:widowControl/>
        <w:spacing w:line="520" w:lineRule="atLeast"/>
        <w:ind w:firstLine="420" w:firstLineChars="200"/>
        <w:rPr>
          <w:rFonts w:eastAsia="黑体"/>
          <w:bCs/>
          <w:color w:val="000000"/>
          <w:kern w:val="44"/>
          <w:szCs w:val="32"/>
        </w:rPr>
      </w:pPr>
      <w:r>
        <w:rPr>
          <w:rFonts w:eastAsia="黑体"/>
          <w:bCs/>
          <w:color w:val="000000"/>
          <w:kern w:val="44"/>
          <w:szCs w:val="32"/>
        </w:rPr>
        <w:br w:type="page"/>
      </w:r>
    </w:p>
    <w:p>
      <w:pPr>
        <w:spacing w:line="520" w:lineRule="atLeast"/>
        <w:rPr>
          <w:rFonts w:eastAsia="黑体"/>
          <w:bCs/>
          <w:color w:val="000000"/>
          <w:kern w:val="44"/>
          <w:sz w:val="32"/>
          <w:szCs w:val="32"/>
        </w:rPr>
      </w:pPr>
      <w:r>
        <w:rPr>
          <w:rFonts w:eastAsia="黑体"/>
          <w:bCs/>
          <w:color w:val="000000"/>
          <w:kern w:val="44"/>
          <w:sz w:val="32"/>
          <w:szCs w:val="32"/>
        </w:rPr>
        <w:t>附件</w:t>
      </w:r>
    </w:p>
    <w:p>
      <w:pPr>
        <w:widowControl/>
        <w:spacing w:line="520" w:lineRule="atLeast"/>
        <w:jc w:val="center"/>
        <w:rPr>
          <w:rFonts w:ascii="Times New Roman" w:hAnsi="Times New Roman" w:eastAsia="方正小标宋简体" w:cs="Times New Roman"/>
          <w:bCs/>
          <w:color w:val="000000"/>
          <w:kern w:val="44"/>
          <w:sz w:val="44"/>
          <w:szCs w:val="44"/>
          <w:lang w:val="en-US" w:eastAsia="zh-CN" w:bidi="ar-SA"/>
        </w:rPr>
      </w:pPr>
      <w:r>
        <w:rPr>
          <w:rFonts w:ascii="Times New Roman" w:hAnsi="Times New Roman" w:eastAsia="方正小标宋简体" w:cs="Times New Roman"/>
          <w:bCs/>
          <w:color w:val="000000"/>
          <w:kern w:val="44"/>
          <w:sz w:val="44"/>
          <w:szCs w:val="44"/>
          <w:lang w:val="en-US" w:eastAsia="zh-CN" w:bidi="ar-SA"/>
        </w:rPr>
        <w:t>申报产品与同品种</w:t>
      </w:r>
      <w:r>
        <w:rPr>
          <w:rFonts w:hint="eastAsia" w:ascii="Times New Roman" w:hAnsi="Times New Roman" w:eastAsia="方正小标宋简体" w:cs="Times New Roman"/>
          <w:bCs/>
          <w:color w:val="000000"/>
          <w:kern w:val="44"/>
          <w:sz w:val="44"/>
          <w:szCs w:val="44"/>
          <w:lang w:val="en-US" w:eastAsia="zh-CN" w:bidi="ar-SA"/>
        </w:rPr>
        <w:t>器械</w:t>
      </w:r>
      <w:r>
        <w:rPr>
          <w:rFonts w:ascii="Times New Roman" w:hAnsi="Times New Roman" w:eastAsia="方正小标宋简体" w:cs="Times New Roman"/>
          <w:bCs/>
          <w:color w:val="000000"/>
          <w:kern w:val="44"/>
          <w:sz w:val="44"/>
          <w:szCs w:val="44"/>
          <w:lang w:val="en-US" w:eastAsia="zh-CN" w:bidi="ar-SA"/>
        </w:rPr>
        <w:t>对比表</w:t>
      </w:r>
    </w:p>
    <w:p>
      <w:pPr>
        <w:widowControl/>
        <w:spacing w:line="520" w:lineRule="atLeast"/>
        <w:jc w:val="center"/>
        <w:rPr>
          <w:rFonts w:ascii="Times New Roman" w:hAnsi="Times New Roman" w:eastAsia="方正小标宋简体" w:cs="Times New Roman"/>
          <w:bCs/>
          <w:color w:val="000000"/>
          <w:kern w:val="44"/>
          <w:sz w:val="36"/>
          <w:szCs w:val="36"/>
          <w:lang w:val="en-US" w:eastAsia="zh-CN" w:bidi="ar-SA"/>
        </w:rPr>
      </w:pPr>
      <w:r>
        <w:rPr>
          <w:rFonts w:ascii="Times New Roman" w:hAnsi="Times New Roman" w:eastAsia="方正小标宋简体" w:cs="Times New Roman"/>
          <w:bCs/>
          <w:color w:val="000000"/>
          <w:kern w:val="44"/>
          <w:sz w:val="36"/>
          <w:szCs w:val="36"/>
          <w:lang w:val="en-US" w:eastAsia="zh-CN" w:bidi="ar-SA"/>
        </w:rPr>
        <w:t xml:space="preserve"> </w:t>
      </w:r>
    </w:p>
    <w:p>
      <w:pPr>
        <w:widowControl/>
        <w:numPr>
          <w:ilvl w:val="0"/>
          <w:numId w:val="3"/>
        </w:numPr>
        <w:spacing w:before="0" w:beforeAutospacing="0" w:after="0" w:line="520" w:lineRule="atLeast"/>
        <w:ind w:left="200" w:leftChars="0" w:firstLine="640" w:firstLineChars="0"/>
        <w:jc w:val="both"/>
        <w:rPr>
          <w:rFonts w:ascii="Times New Roman" w:hAnsi="Times New Roman" w:eastAsia="仿宋_GB2312" w:cs="Times New Roman"/>
          <w:bCs w:val="0"/>
          <w:color w:val="000000"/>
          <w:kern w:val="2"/>
          <w:sz w:val="32"/>
          <w:szCs w:val="32"/>
          <w:lang w:val="en-US" w:eastAsia="zh-CN" w:bidi="ar-SA"/>
        </w:rPr>
      </w:pPr>
      <w:r>
        <w:rPr>
          <w:rFonts w:ascii="Times New Roman" w:hAnsi="Times New Roman" w:eastAsia="仿宋_GB2312" w:cs="Times New Roman"/>
          <w:bCs w:val="0"/>
          <w:color w:val="000000"/>
          <w:kern w:val="2"/>
          <w:sz w:val="32"/>
          <w:szCs w:val="32"/>
          <w:lang w:val="en-US" w:eastAsia="zh-CN" w:bidi="ar-SA"/>
        </w:rPr>
        <w:t>适用范围</w:t>
      </w:r>
    </w:p>
    <w:tbl>
      <w:tblPr>
        <w:tblStyle w:val="10"/>
        <w:tblW w:w="863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40"/>
        <w:gridCol w:w="931"/>
        <w:gridCol w:w="2468"/>
        <w:gridCol w:w="976"/>
        <w:gridCol w:w="787"/>
        <w:gridCol w:w="760"/>
        <w:gridCol w:w="740"/>
        <w:gridCol w:w="122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3" w:hRule="atLeast"/>
          <w:jc w:val="center"/>
        </w:trPr>
        <w:tc>
          <w:tcPr>
            <w:tcW w:w="1671" w:type="dxa"/>
            <w:gridSpan w:val="2"/>
            <w:vMerge w:val="restart"/>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ind w:firstLine="480" w:firstLineChars="200"/>
              <w:textAlignment w:val="center"/>
              <w:rPr>
                <w:rFonts w:eastAsia="黑体"/>
                <w:color w:val="000000"/>
                <w:kern w:val="0"/>
                <w:sz w:val="24"/>
              </w:rPr>
            </w:pPr>
            <w:r>
              <w:rPr>
                <w:rFonts w:eastAsia="黑体"/>
                <w:color w:val="000000"/>
                <w:kern w:val="0"/>
                <w:sz w:val="24"/>
              </w:rPr>
              <w:t>序号</w:t>
            </w:r>
          </w:p>
        </w:tc>
        <w:tc>
          <w:tcPr>
            <w:tcW w:w="2468" w:type="dxa"/>
            <w:vMerge w:val="restart"/>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rFonts w:eastAsia="黑体"/>
                <w:color w:val="000000"/>
                <w:kern w:val="0"/>
                <w:sz w:val="24"/>
              </w:rPr>
            </w:pPr>
            <w:r>
              <w:rPr>
                <w:rFonts w:eastAsia="黑体"/>
                <w:color w:val="000000"/>
                <w:kern w:val="0"/>
                <w:sz w:val="24"/>
              </w:rPr>
              <w:t>对比项目</w:t>
            </w:r>
          </w:p>
        </w:tc>
        <w:tc>
          <w:tcPr>
            <w:tcW w:w="976" w:type="dxa"/>
            <w:vMerge w:val="restart"/>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rFonts w:eastAsia="黑体"/>
                <w:color w:val="000000"/>
                <w:kern w:val="0"/>
                <w:sz w:val="24"/>
              </w:rPr>
            </w:pPr>
            <w:r>
              <w:rPr>
                <w:rFonts w:eastAsia="黑体"/>
                <w:color w:val="000000"/>
                <w:kern w:val="0"/>
                <w:sz w:val="24"/>
              </w:rPr>
              <w:t>同品种产品</w:t>
            </w:r>
          </w:p>
        </w:tc>
        <w:tc>
          <w:tcPr>
            <w:tcW w:w="787" w:type="dxa"/>
            <w:vMerge w:val="restart"/>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rFonts w:eastAsia="黑体"/>
                <w:color w:val="000000"/>
                <w:kern w:val="0"/>
                <w:sz w:val="24"/>
              </w:rPr>
            </w:pPr>
            <w:r>
              <w:rPr>
                <w:rFonts w:eastAsia="黑体"/>
                <w:color w:val="000000"/>
                <w:kern w:val="0"/>
                <w:sz w:val="24"/>
              </w:rPr>
              <w:t>申报产品</w:t>
            </w:r>
          </w:p>
        </w:tc>
        <w:tc>
          <w:tcPr>
            <w:tcW w:w="760" w:type="dxa"/>
            <w:vMerge w:val="restart"/>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rFonts w:eastAsia="黑体"/>
                <w:color w:val="000000"/>
                <w:kern w:val="0"/>
                <w:sz w:val="24"/>
              </w:rPr>
            </w:pPr>
            <w:r>
              <w:rPr>
                <w:rFonts w:eastAsia="黑体"/>
                <w:color w:val="000000"/>
                <w:kern w:val="0"/>
                <w:sz w:val="24"/>
              </w:rPr>
              <w:t>相同性</w:t>
            </w:r>
          </w:p>
        </w:tc>
        <w:tc>
          <w:tcPr>
            <w:tcW w:w="740" w:type="dxa"/>
            <w:vMerge w:val="restart"/>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rFonts w:eastAsia="黑体"/>
                <w:color w:val="000000"/>
                <w:kern w:val="0"/>
                <w:sz w:val="24"/>
              </w:rPr>
            </w:pPr>
            <w:r>
              <w:rPr>
                <w:rFonts w:eastAsia="黑体"/>
                <w:color w:val="000000"/>
                <w:kern w:val="0"/>
                <w:sz w:val="24"/>
              </w:rPr>
              <w:t>差异性</w:t>
            </w:r>
          </w:p>
        </w:tc>
        <w:tc>
          <w:tcPr>
            <w:tcW w:w="1228" w:type="dxa"/>
            <w:vMerge w:val="restart"/>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rFonts w:eastAsia="黑体"/>
                <w:color w:val="000000"/>
                <w:kern w:val="0"/>
                <w:sz w:val="24"/>
              </w:rPr>
            </w:pPr>
            <w:r>
              <w:rPr>
                <w:rFonts w:eastAsia="黑体"/>
                <w:color w:val="000000"/>
                <w:kern w:val="0"/>
                <w:sz w:val="24"/>
              </w:rPr>
              <w:t>支持性资料概述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3" w:hRule="atLeast"/>
          <w:jc w:val="center"/>
        </w:trPr>
        <w:tc>
          <w:tcPr>
            <w:tcW w:w="1671" w:type="dxa"/>
            <w:gridSpan w:val="2"/>
            <w:vMerge w:val="continue"/>
            <w:tcBorders>
              <w:top w:val="single" w:color="000000" w:sz="8" w:space="0"/>
              <w:left w:val="single" w:color="000000" w:sz="8" w:space="0"/>
              <w:bottom w:val="single" w:color="000000" w:sz="8" w:space="0"/>
              <w:right w:val="single" w:color="000000" w:sz="8" w:space="0"/>
            </w:tcBorders>
            <w:vAlign w:val="center"/>
          </w:tcPr>
          <w:p>
            <w:pPr>
              <w:spacing w:line="520" w:lineRule="atLeast"/>
            </w:pPr>
          </w:p>
        </w:tc>
        <w:tc>
          <w:tcPr>
            <w:tcW w:w="2468" w:type="dxa"/>
            <w:vMerge w:val="continue"/>
            <w:tcBorders>
              <w:top w:val="single" w:color="000000" w:sz="8" w:space="0"/>
              <w:left w:val="single" w:color="000000" w:sz="8" w:space="0"/>
              <w:bottom w:val="single" w:color="000000" w:sz="8" w:space="0"/>
              <w:right w:val="single" w:color="000000" w:sz="8" w:space="0"/>
            </w:tcBorders>
            <w:vAlign w:val="center"/>
          </w:tcPr>
          <w:p>
            <w:pPr>
              <w:spacing w:line="520" w:lineRule="atLeast"/>
            </w:pPr>
          </w:p>
        </w:tc>
        <w:tc>
          <w:tcPr>
            <w:tcW w:w="976" w:type="dxa"/>
            <w:vMerge w:val="continue"/>
            <w:tcBorders>
              <w:top w:val="single" w:color="000000" w:sz="8" w:space="0"/>
              <w:left w:val="single" w:color="000000" w:sz="8" w:space="0"/>
              <w:bottom w:val="single" w:color="000000" w:sz="8" w:space="0"/>
              <w:right w:val="single" w:color="000000" w:sz="8" w:space="0"/>
            </w:tcBorders>
            <w:vAlign w:val="center"/>
          </w:tcPr>
          <w:p>
            <w:pPr>
              <w:spacing w:line="520" w:lineRule="atLeast"/>
            </w:pPr>
          </w:p>
        </w:tc>
        <w:tc>
          <w:tcPr>
            <w:tcW w:w="787" w:type="dxa"/>
            <w:vMerge w:val="continue"/>
            <w:tcBorders>
              <w:top w:val="single" w:color="000000" w:sz="8" w:space="0"/>
              <w:left w:val="single" w:color="000000" w:sz="8" w:space="0"/>
              <w:bottom w:val="single" w:color="000000" w:sz="8" w:space="0"/>
              <w:right w:val="single" w:color="000000" w:sz="8" w:space="0"/>
            </w:tcBorders>
            <w:vAlign w:val="center"/>
          </w:tcPr>
          <w:p>
            <w:pPr>
              <w:spacing w:line="520" w:lineRule="atLeast"/>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pPr>
              <w:spacing w:line="520" w:lineRule="atLeast"/>
            </w:pPr>
          </w:p>
        </w:tc>
        <w:tc>
          <w:tcPr>
            <w:tcW w:w="740" w:type="dxa"/>
            <w:vMerge w:val="continue"/>
            <w:tcBorders>
              <w:top w:val="single" w:color="000000" w:sz="8" w:space="0"/>
              <w:left w:val="single" w:color="000000" w:sz="8" w:space="0"/>
              <w:bottom w:val="single" w:color="000000" w:sz="8" w:space="0"/>
              <w:right w:val="single" w:color="000000" w:sz="8" w:space="0"/>
            </w:tcBorders>
            <w:vAlign w:val="center"/>
          </w:tcPr>
          <w:p>
            <w:pPr>
              <w:spacing w:line="520" w:lineRule="atLeast"/>
            </w:pPr>
          </w:p>
        </w:tc>
        <w:tc>
          <w:tcPr>
            <w:tcW w:w="1228" w:type="dxa"/>
            <w:vMerge w:val="continue"/>
            <w:tcBorders>
              <w:top w:val="single" w:color="000000" w:sz="8" w:space="0"/>
              <w:left w:val="single" w:color="000000" w:sz="8" w:space="0"/>
              <w:bottom w:val="single" w:color="000000" w:sz="8" w:space="0"/>
              <w:right w:val="single" w:color="000000" w:sz="8" w:space="0"/>
            </w:tcBorders>
            <w:vAlign w:val="center"/>
          </w:tcPr>
          <w:p>
            <w:pPr>
              <w:spacing w:line="520" w:lineRule="atLeast"/>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2" w:hRule="atLeast"/>
          <w:jc w:val="center"/>
        </w:trPr>
        <w:tc>
          <w:tcPr>
            <w:tcW w:w="740" w:type="dxa"/>
            <w:vMerge w:val="restart"/>
            <w:tcBorders>
              <w:top w:val="nil"/>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sz w:val="24"/>
              </w:rPr>
            </w:pPr>
            <w:r>
              <w:rPr>
                <w:rFonts w:ascii="Times New Roman" w:cs="Times New Roman"/>
                <w:color w:val="000000"/>
                <w:sz w:val="24"/>
              </w:rPr>
              <w:t>适用范围</w:t>
            </w:r>
          </w:p>
        </w:tc>
        <w:tc>
          <w:tcPr>
            <w:tcW w:w="931"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strike/>
                <w:color w:val="000000"/>
                <w:kern w:val="0"/>
                <w:sz w:val="24"/>
              </w:rPr>
            </w:pPr>
            <w:r>
              <w:rPr>
                <w:color w:val="000000"/>
                <w:kern w:val="0"/>
                <w:sz w:val="24"/>
              </w:rPr>
              <w:t>1.1</w:t>
            </w:r>
          </w:p>
        </w:tc>
        <w:tc>
          <w:tcPr>
            <w:tcW w:w="2468"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sz w:val="24"/>
              </w:rPr>
            </w:pPr>
            <w:r>
              <w:rPr>
                <w:rFonts w:hint="eastAsia"/>
                <w:color w:val="000000"/>
                <w:sz w:val="24"/>
              </w:rPr>
              <w:t>检测原理</w:t>
            </w:r>
          </w:p>
        </w:tc>
        <w:tc>
          <w:tcPr>
            <w:tcW w:w="976" w:type="dxa"/>
            <w:tcBorders>
              <w:top w:val="single" w:color="000000" w:sz="8" w:space="0"/>
              <w:left w:val="single" w:color="000000" w:sz="8" w:space="0"/>
              <w:bottom w:val="single" w:color="000000" w:sz="8" w:space="0"/>
              <w:right w:val="single" w:color="000000" w:sz="8" w:space="0"/>
            </w:tcBorders>
            <w:vAlign w:val="center"/>
          </w:tcPr>
          <w:p>
            <w:pPr>
              <w:spacing w:line="520" w:lineRule="atLeast"/>
              <w:ind w:firstLine="480" w:firstLineChars="200"/>
              <w:jc w:val="center"/>
              <w:rPr>
                <w:color w:val="000000"/>
                <w:sz w:val="24"/>
              </w:rPr>
            </w:pPr>
          </w:p>
        </w:tc>
        <w:tc>
          <w:tcPr>
            <w:tcW w:w="787" w:type="dxa"/>
            <w:tcBorders>
              <w:top w:val="single" w:color="000000" w:sz="8" w:space="0"/>
              <w:left w:val="single" w:color="000000" w:sz="8" w:space="0"/>
              <w:bottom w:val="single" w:color="000000" w:sz="8" w:space="0"/>
              <w:right w:val="single" w:color="000000" w:sz="8" w:space="0"/>
            </w:tcBorders>
            <w:vAlign w:val="center"/>
          </w:tcPr>
          <w:p>
            <w:pPr>
              <w:spacing w:line="520" w:lineRule="atLeast"/>
              <w:ind w:firstLine="480" w:firstLineChars="200"/>
              <w:jc w:val="center"/>
              <w:rPr>
                <w:color w:val="000000"/>
                <w:sz w:val="24"/>
              </w:rPr>
            </w:pPr>
          </w:p>
        </w:tc>
        <w:tc>
          <w:tcPr>
            <w:tcW w:w="760" w:type="dxa"/>
            <w:tcBorders>
              <w:top w:val="single" w:color="000000" w:sz="8" w:space="0"/>
              <w:left w:val="single" w:color="000000" w:sz="8" w:space="0"/>
              <w:bottom w:val="single" w:color="000000" w:sz="8" w:space="0"/>
              <w:right w:val="single" w:color="000000" w:sz="8" w:space="0"/>
            </w:tcBorders>
            <w:vAlign w:val="center"/>
          </w:tcPr>
          <w:p>
            <w:pPr>
              <w:spacing w:line="520" w:lineRule="atLeast"/>
              <w:ind w:firstLine="480" w:firstLineChars="200"/>
              <w:jc w:val="center"/>
              <w:rPr>
                <w:color w:val="000000"/>
                <w:sz w:val="24"/>
              </w:rPr>
            </w:pPr>
          </w:p>
        </w:tc>
        <w:tc>
          <w:tcPr>
            <w:tcW w:w="740" w:type="dxa"/>
            <w:tcBorders>
              <w:top w:val="single" w:color="000000" w:sz="8" w:space="0"/>
              <w:left w:val="single" w:color="000000" w:sz="8" w:space="0"/>
              <w:bottom w:val="single" w:color="000000" w:sz="8" w:space="0"/>
              <w:right w:val="single" w:color="000000" w:sz="8" w:space="0"/>
            </w:tcBorders>
            <w:vAlign w:val="center"/>
          </w:tcPr>
          <w:p>
            <w:pPr>
              <w:spacing w:line="520" w:lineRule="atLeast"/>
              <w:ind w:firstLine="480" w:firstLineChars="200"/>
              <w:jc w:val="center"/>
              <w:rPr>
                <w:color w:val="000000"/>
                <w:sz w:val="24"/>
              </w:rPr>
            </w:pPr>
          </w:p>
        </w:tc>
        <w:tc>
          <w:tcPr>
            <w:tcW w:w="1228" w:type="dxa"/>
            <w:tcBorders>
              <w:top w:val="single" w:color="000000" w:sz="8" w:space="0"/>
              <w:left w:val="single" w:color="000000" w:sz="8" w:space="0"/>
              <w:bottom w:val="single" w:color="000000" w:sz="8" w:space="0"/>
              <w:right w:val="single" w:color="000000" w:sz="8" w:space="0"/>
            </w:tcBorders>
            <w:vAlign w:val="center"/>
          </w:tcPr>
          <w:p>
            <w:pPr>
              <w:spacing w:line="520" w:lineRule="atLeast"/>
              <w:ind w:firstLine="480" w:firstLineChars="200"/>
              <w:jc w:val="center"/>
              <w:rPr>
                <w:color w:val="000000"/>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6" w:hRule="atLeast"/>
          <w:jc w:val="center"/>
        </w:trPr>
        <w:tc>
          <w:tcPr>
            <w:tcW w:w="740" w:type="dxa"/>
            <w:vMerge w:val="continue"/>
            <w:tcBorders>
              <w:top w:val="nil"/>
              <w:left w:val="single" w:color="000000" w:sz="8" w:space="0"/>
              <w:bottom w:val="single" w:color="000000" w:sz="8" w:space="0"/>
              <w:right w:val="single" w:color="000000" w:sz="8" w:space="0"/>
            </w:tcBorders>
            <w:vAlign w:val="center"/>
          </w:tcPr>
          <w:p>
            <w:pPr>
              <w:spacing w:line="520" w:lineRule="atLeast"/>
            </w:pPr>
          </w:p>
        </w:tc>
        <w:tc>
          <w:tcPr>
            <w:tcW w:w="931"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kern w:val="0"/>
                <w:sz w:val="24"/>
              </w:rPr>
            </w:pPr>
            <w:r>
              <w:rPr>
                <w:color w:val="000000"/>
                <w:kern w:val="0"/>
                <w:sz w:val="24"/>
              </w:rPr>
              <w:t>1.2</w:t>
            </w:r>
          </w:p>
        </w:tc>
        <w:tc>
          <w:tcPr>
            <w:tcW w:w="2468"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sz w:val="24"/>
              </w:rPr>
            </w:pPr>
            <w:r>
              <w:rPr>
                <w:rFonts w:hint="eastAsia"/>
                <w:color w:val="000000"/>
                <w:kern w:val="0"/>
                <w:sz w:val="24"/>
              </w:rPr>
              <w:t>定性/定量检测</w:t>
            </w:r>
          </w:p>
        </w:tc>
        <w:tc>
          <w:tcPr>
            <w:tcW w:w="976" w:type="dxa"/>
            <w:tcBorders>
              <w:top w:val="single" w:color="000000" w:sz="8" w:space="0"/>
              <w:left w:val="single" w:color="000000" w:sz="8" w:space="0"/>
              <w:bottom w:val="single" w:color="000000" w:sz="8" w:space="0"/>
              <w:right w:val="single" w:color="000000" w:sz="8" w:space="0"/>
            </w:tcBorders>
            <w:vAlign w:val="center"/>
          </w:tcPr>
          <w:p>
            <w:pPr>
              <w:spacing w:line="520" w:lineRule="atLeast"/>
              <w:ind w:firstLine="480" w:firstLineChars="200"/>
              <w:jc w:val="center"/>
              <w:rPr>
                <w:color w:val="000000"/>
                <w:sz w:val="24"/>
              </w:rPr>
            </w:pPr>
          </w:p>
        </w:tc>
        <w:tc>
          <w:tcPr>
            <w:tcW w:w="787" w:type="dxa"/>
            <w:tcBorders>
              <w:top w:val="single" w:color="000000" w:sz="8" w:space="0"/>
              <w:left w:val="single" w:color="000000" w:sz="8" w:space="0"/>
              <w:bottom w:val="single" w:color="000000" w:sz="8" w:space="0"/>
              <w:right w:val="single" w:color="000000" w:sz="8" w:space="0"/>
            </w:tcBorders>
            <w:vAlign w:val="center"/>
          </w:tcPr>
          <w:p>
            <w:pPr>
              <w:spacing w:line="520" w:lineRule="atLeast"/>
              <w:ind w:firstLine="480" w:firstLineChars="200"/>
              <w:jc w:val="center"/>
              <w:rPr>
                <w:color w:val="000000"/>
                <w:sz w:val="24"/>
              </w:rPr>
            </w:pPr>
          </w:p>
        </w:tc>
        <w:tc>
          <w:tcPr>
            <w:tcW w:w="760" w:type="dxa"/>
            <w:tcBorders>
              <w:top w:val="single" w:color="000000" w:sz="8" w:space="0"/>
              <w:left w:val="single" w:color="000000" w:sz="8" w:space="0"/>
              <w:bottom w:val="single" w:color="000000" w:sz="8" w:space="0"/>
              <w:right w:val="single" w:color="000000" w:sz="8" w:space="0"/>
            </w:tcBorders>
            <w:vAlign w:val="center"/>
          </w:tcPr>
          <w:p>
            <w:pPr>
              <w:spacing w:line="520" w:lineRule="atLeast"/>
              <w:ind w:firstLine="480" w:firstLineChars="200"/>
              <w:jc w:val="center"/>
              <w:rPr>
                <w:color w:val="000000"/>
                <w:sz w:val="24"/>
              </w:rPr>
            </w:pPr>
          </w:p>
        </w:tc>
        <w:tc>
          <w:tcPr>
            <w:tcW w:w="740" w:type="dxa"/>
            <w:tcBorders>
              <w:top w:val="single" w:color="000000" w:sz="8" w:space="0"/>
              <w:left w:val="single" w:color="000000" w:sz="8" w:space="0"/>
              <w:bottom w:val="single" w:color="000000" w:sz="8" w:space="0"/>
              <w:right w:val="single" w:color="000000" w:sz="8" w:space="0"/>
            </w:tcBorders>
            <w:vAlign w:val="center"/>
          </w:tcPr>
          <w:p>
            <w:pPr>
              <w:spacing w:line="520" w:lineRule="atLeast"/>
              <w:ind w:firstLine="480" w:firstLineChars="200"/>
              <w:jc w:val="center"/>
              <w:rPr>
                <w:color w:val="000000"/>
                <w:sz w:val="24"/>
              </w:rPr>
            </w:pPr>
          </w:p>
        </w:tc>
        <w:tc>
          <w:tcPr>
            <w:tcW w:w="1228" w:type="dxa"/>
            <w:tcBorders>
              <w:top w:val="single" w:color="000000" w:sz="8" w:space="0"/>
              <w:left w:val="single" w:color="000000" w:sz="8" w:space="0"/>
              <w:bottom w:val="single" w:color="000000" w:sz="8" w:space="0"/>
              <w:right w:val="single" w:color="000000" w:sz="8" w:space="0"/>
            </w:tcBorders>
            <w:vAlign w:val="center"/>
          </w:tcPr>
          <w:p>
            <w:pPr>
              <w:spacing w:line="520" w:lineRule="atLeast"/>
              <w:ind w:firstLine="480" w:firstLineChars="200"/>
              <w:jc w:val="center"/>
              <w:rPr>
                <w:color w:val="000000"/>
                <w:sz w:val="24"/>
              </w:rPr>
            </w:pPr>
          </w:p>
        </w:tc>
      </w:tr>
    </w:tbl>
    <w:p>
      <w:pPr>
        <w:autoSpaceDE w:val="0"/>
        <w:autoSpaceDN w:val="0"/>
        <w:adjustRightInd w:val="0"/>
        <w:spacing w:line="520" w:lineRule="atLeast"/>
        <w:ind w:firstLine="420" w:firstLineChars="200"/>
        <w:rPr>
          <w:rFonts w:eastAsia="仿宋_GB2312"/>
          <w:color w:val="000000"/>
          <w:szCs w:val="32"/>
        </w:rPr>
      </w:pPr>
    </w:p>
    <w:p>
      <w:pPr>
        <w:widowControl/>
        <w:spacing w:before="0" w:beforeAutospacing="0" w:after="0" w:line="520" w:lineRule="atLeast"/>
        <w:ind w:left="420" w:leftChars="200" w:firstLine="0" w:firstLineChars="0"/>
        <w:jc w:val="both"/>
        <w:rPr>
          <w:rFonts w:ascii="Times New Roman" w:hAnsi="Times New Roman" w:eastAsia="仿宋_GB2312" w:cs="Times New Roman"/>
          <w:bCs w:val="0"/>
          <w:color w:val="000000"/>
          <w:kern w:val="2"/>
          <w:sz w:val="32"/>
          <w:szCs w:val="32"/>
          <w:lang w:val="en-US" w:eastAsia="zh-CN" w:bidi="ar-SA"/>
        </w:rPr>
      </w:pPr>
      <w:r>
        <w:rPr>
          <w:rFonts w:ascii="Times New Roman" w:hAnsi="Times New Roman" w:eastAsia="仿宋_GB2312" w:cs="Times New Roman"/>
          <w:bCs w:val="0"/>
          <w:color w:val="000000"/>
          <w:kern w:val="2"/>
          <w:sz w:val="32"/>
          <w:szCs w:val="32"/>
          <w:lang w:val="en-US" w:eastAsia="zh-CN" w:bidi="ar-SA"/>
        </w:rPr>
        <w:t>2.基本原理</w:t>
      </w:r>
    </w:p>
    <w:tbl>
      <w:tblPr>
        <w:tblStyle w:val="10"/>
        <w:tblW w:w="863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35"/>
        <w:gridCol w:w="861"/>
        <w:gridCol w:w="2406"/>
        <w:gridCol w:w="1020"/>
        <w:gridCol w:w="860"/>
        <w:gridCol w:w="810"/>
        <w:gridCol w:w="760"/>
        <w:gridCol w:w="11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3" w:hRule="atLeast"/>
          <w:jc w:val="center"/>
        </w:trPr>
        <w:tc>
          <w:tcPr>
            <w:tcW w:w="1596" w:type="dxa"/>
            <w:gridSpan w:val="2"/>
            <w:vMerge w:val="restart"/>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rFonts w:eastAsia="黑体"/>
                <w:color w:val="000000"/>
                <w:kern w:val="0"/>
                <w:sz w:val="24"/>
              </w:rPr>
            </w:pPr>
            <w:r>
              <w:rPr>
                <w:rFonts w:eastAsia="黑体"/>
                <w:color w:val="000000"/>
                <w:kern w:val="0"/>
                <w:sz w:val="24"/>
              </w:rPr>
              <w:t>序号</w:t>
            </w:r>
          </w:p>
        </w:tc>
        <w:tc>
          <w:tcPr>
            <w:tcW w:w="2406" w:type="dxa"/>
            <w:vMerge w:val="restart"/>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rFonts w:eastAsia="黑体"/>
                <w:color w:val="000000"/>
                <w:kern w:val="0"/>
                <w:sz w:val="24"/>
              </w:rPr>
            </w:pPr>
            <w:r>
              <w:rPr>
                <w:rFonts w:eastAsia="黑体"/>
                <w:color w:val="000000"/>
                <w:kern w:val="0"/>
                <w:sz w:val="24"/>
              </w:rPr>
              <w:t>对比项目</w:t>
            </w:r>
          </w:p>
        </w:tc>
        <w:tc>
          <w:tcPr>
            <w:tcW w:w="1020" w:type="dxa"/>
            <w:vMerge w:val="restart"/>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rFonts w:eastAsia="黑体"/>
                <w:color w:val="000000"/>
                <w:kern w:val="0"/>
                <w:sz w:val="24"/>
              </w:rPr>
            </w:pPr>
            <w:r>
              <w:rPr>
                <w:rFonts w:eastAsia="黑体"/>
                <w:color w:val="000000"/>
                <w:kern w:val="0"/>
                <w:sz w:val="24"/>
              </w:rPr>
              <w:t>同品种产品</w:t>
            </w:r>
          </w:p>
        </w:tc>
        <w:tc>
          <w:tcPr>
            <w:tcW w:w="860" w:type="dxa"/>
            <w:vMerge w:val="restart"/>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rFonts w:eastAsia="黑体"/>
                <w:color w:val="000000"/>
                <w:kern w:val="0"/>
                <w:sz w:val="24"/>
              </w:rPr>
            </w:pPr>
            <w:r>
              <w:rPr>
                <w:rFonts w:eastAsia="黑体"/>
                <w:color w:val="000000"/>
                <w:kern w:val="0"/>
                <w:sz w:val="24"/>
              </w:rPr>
              <w:t>申报产品</w:t>
            </w:r>
          </w:p>
        </w:tc>
        <w:tc>
          <w:tcPr>
            <w:tcW w:w="810" w:type="dxa"/>
            <w:vMerge w:val="restart"/>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rFonts w:eastAsia="黑体"/>
                <w:color w:val="000000"/>
                <w:kern w:val="0"/>
                <w:sz w:val="24"/>
              </w:rPr>
            </w:pPr>
            <w:r>
              <w:rPr>
                <w:rFonts w:eastAsia="黑体"/>
                <w:color w:val="000000"/>
                <w:kern w:val="0"/>
                <w:sz w:val="24"/>
              </w:rPr>
              <w:t>相同性</w:t>
            </w:r>
          </w:p>
        </w:tc>
        <w:tc>
          <w:tcPr>
            <w:tcW w:w="760" w:type="dxa"/>
            <w:vMerge w:val="restart"/>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rFonts w:eastAsia="黑体"/>
                <w:color w:val="000000"/>
                <w:kern w:val="0"/>
                <w:sz w:val="24"/>
              </w:rPr>
            </w:pPr>
            <w:r>
              <w:rPr>
                <w:rFonts w:eastAsia="黑体"/>
                <w:color w:val="000000"/>
                <w:kern w:val="0"/>
                <w:sz w:val="24"/>
              </w:rPr>
              <w:t>差异性</w:t>
            </w:r>
          </w:p>
        </w:tc>
        <w:tc>
          <w:tcPr>
            <w:tcW w:w="1178" w:type="dxa"/>
            <w:vMerge w:val="restart"/>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rFonts w:eastAsia="黑体"/>
                <w:color w:val="000000"/>
                <w:kern w:val="0"/>
                <w:sz w:val="24"/>
              </w:rPr>
            </w:pPr>
            <w:r>
              <w:rPr>
                <w:rFonts w:eastAsia="黑体"/>
                <w:color w:val="000000"/>
                <w:kern w:val="0"/>
                <w:sz w:val="24"/>
              </w:rPr>
              <w:t>支持性资料概述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3" w:hRule="atLeast"/>
          <w:jc w:val="center"/>
        </w:trPr>
        <w:tc>
          <w:tcPr>
            <w:tcW w:w="1596" w:type="dxa"/>
            <w:gridSpan w:val="2"/>
            <w:vMerge w:val="continue"/>
            <w:tcBorders>
              <w:top w:val="single" w:color="000000" w:sz="8" w:space="0"/>
              <w:left w:val="single" w:color="000000" w:sz="8" w:space="0"/>
              <w:bottom w:val="single" w:color="000000" w:sz="8" w:space="0"/>
              <w:right w:val="single" w:color="000000" w:sz="8" w:space="0"/>
            </w:tcBorders>
            <w:vAlign w:val="center"/>
          </w:tcPr>
          <w:p>
            <w:pPr>
              <w:spacing w:line="520" w:lineRule="atLeast"/>
            </w:pPr>
          </w:p>
        </w:tc>
        <w:tc>
          <w:tcPr>
            <w:tcW w:w="2406" w:type="dxa"/>
            <w:vMerge w:val="continue"/>
            <w:tcBorders>
              <w:top w:val="single" w:color="000000" w:sz="8" w:space="0"/>
              <w:left w:val="single" w:color="000000" w:sz="8" w:space="0"/>
              <w:bottom w:val="single" w:color="000000" w:sz="8" w:space="0"/>
              <w:right w:val="single" w:color="000000" w:sz="8" w:space="0"/>
            </w:tcBorders>
            <w:vAlign w:val="center"/>
          </w:tcPr>
          <w:p>
            <w:pPr>
              <w:spacing w:line="520" w:lineRule="atLeast"/>
            </w:pPr>
          </w:p>
        </w:tc>
        <w:tc>
          <w:tcPr>
            <w:tcW w:w="1020" w:type="dxa"/>
            <w:vMerge w:val="continue"/>
            <w:tcBorders>
              <w:top w:val="single" w:color="000000" w:sz="8" w:space="0"/>
              <w:left w:val="single" w:color="000000" w:sz="8" w:space="0"/>
              <w:bottom w:val="single" w:color="000000" w:sz="8" w:space="0"/>
              <w:right w:val="single" w:color="000000" w:sz="8" w:space="0"/>
            </w:tcBorders>
            <w:vAlign w:val="center"/>
          </w:tcPr>
          <w:p>
            <w:pPr>
              <w:spacing w:line="520" w:lineRule="atLeast"/>
            </w:pPr>
          </w:p>
        </w:tc>
        <w:tc>
          <w:tcPr>
            <w:tcW w:w="860" w:type="dxa"/>
            <w:vMerge w:val="continue"/>
            <w:tcBorders>
              <w:top w:val="single" w:color="000000" w:sz="8" w:space="0"/>
              <w:left w:val="single" w:color="000000" w:sz="8" w:space="0"/>
              <w:bottom w:val="single" w:color="000000" w:sz="8" w:space="0"/>
              <w:right w:val="single" w:color="000000" w:sz="8" w:space="0"/>
            </w:tcBorders>
            <w:vAlign w:val="center"/>
          </w:tcPr>
          <w:p>
            <w:pPr>
              <w:spacing w:line="520" w:lineRule="atLeast"/>
            </w:pPr>
          </w:p>
        </w:tc>
        <w:tc>
          <w:tcPr>
            <w:tcW w:w="810" w:type="dxa"/>
            <w:vMerge w:val="continue"/>
            <w:tcBorders>
              <w:top w:val="single" w:color="000000" w:sz="8" w:space="0"/>
              <w:left w:val="single" w:color="000000" w:sz="8" w:space="0"/>
              <w:bottom w:val="single" w:color="000000" w:sz="8" w:space="0"/>
              <w:right w:val="single" w:color="000000" w:sz="8" w:space="0"/>
            </w:tcBorders>
            <w:vAlign w:val="center"/>
          </w:tcPr>
          <w:p>
            <w:pPr>
              <w:spacing w:line="520" w:lineRule="atLeast"/>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pPr>
              <w:spacing w:line="520" w:lineRule="atLeast"/>
            </w:pPr>
          </w:p>
        </w:tc>
        <w:tc>
          <w:tcPr>
            <w:tcW w:w="1178" w:type="dxa"/>
            <w:vMerge w:val="continue"/>
            <w:tcBorders>
              <w:top w:val="single" w:color="000000" w:sz="8" w:space="0"/>
              <w:left w:val="single" w:color="000000" w:sz="8" w:space="0"/>
              <w:bottom w:val="single" w:color="000000" w:sz="8" w:space="0"/>
              <w:right w:val="single" w:color="000000" w:sz="8" w:space="0"/>
            </w:tcBorders>
            <w:vAlign w:val="center"/>
          </w:tcPr>
          <w:p>
            <w:pPr>
              <w:spacing w:line="520" w:lineRule="atLeast"/>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43" w:hRule="atLeast"/>
          <w:jc w:val="center"/>
        </w:trPr>
        <w:tc>
          <w:tcPr>
            <w:tcW w:w="735" w:type="dxa"/>
            <w:vMerge w:val="restart"/>
            <w:tcBorders>
              <w:top w:val="nil"/>
              <w:left w:val="single" w:color="000000" w:sz="8" w:space="0"/>
              <w:bottom w:val="single" w:color="000000" w:sz="8" w:space="0"/>
              <w:right w:val="single" w:color="000000" w:sz="8" w:space="0"/>
            </w:tcBorders>
            <w:vAlign w:val="center"/>
          </w:tcPr>
          <w:p>
            <w:pPr>
              <w:spacing w:line="520" w:lineRule="atLeast"/>
              <w:jc w:val="center"/>
              <w:rPr>
                <w:color w:val="000000"/>
                <w:sz w:val="24"/>
              </w:rPr>
            </w:pPr>
            <w:r>
              <w:rPr>
                <w:rFonts w:ascii="Times New Roman" w:cs="Times New Roman"/>
                <w:color w:val="000000"/>
                <w:sz w:val="24"/>
              </w:rPr>
              <w:t>基本原理</w:t>
            </w:r>
          </w:p>
        </w:tc>
        <w:tc>
          <w:tcPr>
            <w:tcW w:w="861"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kern w:val="0"/>
                <w:sz w:val="24"/>
              </w:rPr>
            </w:pPr>
            <w:r>
              <w:rPr>
                <w:color w:val="000000"/>
                <w:kern w:val="0"/>
                <w:sz w:val="24"/>
              </w:rPr>
              <w:t>2.1</w:t>
            </w:r>
          </w:p>
        </w:tc>
        <w:tc>
          <w:tcPr>
            <w:tcW w:w="2406"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sz w:val="24"/>
              </w:rPr>
            </w:pPr>
            <w:r>
              <w:rPr>
                <w:sz w:val="24"/>
              </w:rPr>
              <w:t>工作原理a</w:t>
            </w:r>
          </w:p>
        </w:tc>
        <w:tc>
          <w:tcPr>
            <w:tcW w:w="102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pPr>
          </w:p>
        </w:tc>
        <w:tc>
          <w:tcPr>
            <w:tcW w:w="86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81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60"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sz w:val="24"/>
              </w:rPr>
            </w:pPr>
          </w:p>
        </w:tc>
        <w:tc>
          <w:tcPr>
            <w:tcW w:w="1178"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jc w:val="center"/>
        </w:trPr>
        <w:tc>
          <w:tcPr>
            <w:tcW w:w="735" w:type="dxa"/>
            <w:vMerge w:val="continue"/>
            <w:tcBorders>
              <w:top w:val="nil"/>
              <w:left w:val="single" w:color="000000" w:sz="8" w:space="0"/>
              <w:bottom w:val="single" w:color="000000" w:sz="8" w:space="0"/>
              <w:right w:val="single" w:color="000000" w:sz="8" w:space="0"/>
            </w:tcBorders>
            <w:vAlign w:val="center"/>
          </w:tcPr>
          <w:p>
            <w:pPr>
              <w:spacing w:line="520" w:lineRule="atLeast"/>
            </w:pPr>
          </w:p>
        </w:tc>
        <w:tc>
          <w:tcPr>
            <w:tcW w:w="861"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kern w:val="0"/>
                <w:sz w:val="24"/>
              </w:rPr>
            </w:pPr>
            <w:r>
              <w:rPr>
                <w:color w:val="000000"/>
                <w:kern w:val="0"/>
                <w:sz w:val="24"/>
              </w:rPr>
              <w:t>2.1.1</w:t>
            </w:r>
          </w:p>
        </w:tc>
        <w:tc>
          <w:tcPr>
            <w:tcW w:w="2406"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sz w:val="24"/>
              </w:rPr>
            </w:pPr>
            <w:r>
              <w:rPr>
                <w:rFonts w:hint="eastAsia"/>
                <w:sz w:val="24"/>
              </w:rPr>
              <w:t>微反应单元生成原理</w:t>
            </w:r>
          </w:p>
        </w:tc>
        <w:tc>
          <w:tcPr>
            <w:tcW w:w="102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pPr>
          </w:p>
        </w:tc>
        <w:tc>
          <w:tcPr>
            <w:tcW w:w="86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81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60"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sz w:val="24"/>
              </w:rPr>
            </w:pPr>
          </w:p>
        </w:tc>
        <w:tc>
          <w:tcPr>
            <w:tcW w:w="1178"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jc w:val="center"/>
        </w:trPr>
        <w:tc>
          <w:tcPr>
            <w:tcW w:w="735" w:type="dxa"/>
            <w:vMerge w:val="continue"/>
            <w:tcBorders>
              <w:top w:val="nil"/>
              <w:left w:val="single" w:color="000000" w:sz="8" w:space="0"/>
              <w:bottom w:val="single" w:color="000000" w:sz="8" w:space="0"/>
              <w:right w:val="single" w:color="000000" w:sz="8" w:space="0"/>
            </w:tcBorders>
            <w:vAlign w:val="center"/>
          </w:tcPr>
          <w:p>
            <w:pPr>
              <w:spacing w:line="520" w:lineRule="atLeast"/>
            </w:pPr>
          </w:p>
        </w:tc>
        <w:tc>
          <w:tcPr>
            <w:tcW w:w="861"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kern w:val="0"/>
                <w:sz w:val="24"/>
              </w:rPr>
            </w:pPr>
            <w:r>
              <w:rPr>
                <w:color w:val="000000"/>
                <w:kern w:val="0"/>
                <w:sz w:val="24"/>
              </w:rPr>
              <w:t>2.1.2</w:t>
            </w:r>
          </w:p>
        </w:tc>
        <w:tc>
          <w:tcPr>
            <w:tcW w:w="2406"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sz w:val="24"/>
              </w:rPr>
            </w:pPr>
            <w:r>
              <w:rPr>
                <w:rFonts w:hint="eastAsia"/>
                <w:sz w:val="24"/>
              </w:rPr>
              <w:t>生化反应原理</w:t>
            </w:r>
          </w:p>
        </w:tc>
        <w:tc>
          <w:tcPr>
            <w:tcW w:w="102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pPr>
          </w:p>
        </w:tc>
        <w:tc>
          <w:tcPr>
            <w:tcW w:w="86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81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60"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sz w:val="24"/>
              </w:rPr>
            </w:pPr>
          </w:p>
        </w:tc>
        <w:tc>
          <w:tcPr>
            <w:tcW w:w="1178"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jc w:val="center"/>
        </w:trPr>
        <w:tc>
          <w:tcPr>
            <w:tcW w:w="735" w:type="dxa"/>
            <w:vMerge w:val="continue"/>
            <w:tcBorders>
              <w:top w:val="nil"/>
              <w:left w:val="single" w:color="000000" w:sz="8" w:space="0"/>
              <w:bottom w:val="single" w:color="000000" w:sz="8" w:space="0"/>
              <w:right w:val="single" w:color="000000" w:sz="8" w:space="0"/>
            </w:tcBorders>
            <w:vAlign w:val="center"/>
          </w:tcPr>
          <w:p>
            <w:pPr>
              <w:spacing w:line="520" w:lineRule="atLeast"/>
            </w:pPr>
          </w:p>
        </w:tc>
        <w:tc>
          <w:tcPr>
            <w:tcW w:w="861"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kern w:val="0"/>
                <w:sz w:val="24"/>
              </w:rPr>
            </w:pPr>
            <w:r>
              <w:rPr>
                <w:rFonts w:hint="eastAsia"/>
                <w:color w:val="000000"/>
                <w:kern w:val="0"/>
                <w:sz w:val="24"/>
              </w:rPr>
              <w:t>2</w:t>
            </w:r>
            <w:r>
              <w:rPr>
                <w:color w:val="000000"/>
                <w:kern w:val="0"/>
                <w:sz w:val="24"/>
              </w:rPr>
              <w:t>.1.3</w:t>
            </w:r>
          </w:p>
        </w:tc>
        <w:tc>
          <w:tcPr>
            <w:tcW w:w="2406"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rFonts w:hint="eastAsia"/>
                <w:sz w:val="24"/>
              </w:rPr>
            </w:pPr>
            <w:r>
              <w:rPr>
                <w:rFonts w:hint="eastAsia"/>
                <w:sz w:val="24"/>
              </w:rPr>
              <w:t>温度控制原理</w:t>
            </w:r>
          </w:p>
        </w:tc>
        <w:tc>
          <w:tcPr>
            <w:tcW w:w="102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pPr>
          </w:p>
        </w:tc>
        <w:tc>
          <w:tcPr>
            <w:tcW w:w="86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81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60"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sz w:val="24"/>
              </w:rPr>
            </w:pPr>
          </w:p>
        </w:tc>
        <w:tc>
          <w:tcPr>
            <w:tcW w:w="1178"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jc w:val="center"/>
        </w:trPr>
        <w:tc>
          <w:tcPr>
            <w:tcW w:w="735" w:type="dxa"/>
            <w:vMerge w:val="continue"/>
            <w:tcBorders>
              <w:top w:val="nil"/>
              <w:left w:val="single" w:color="000000" w:sz="8" w:space="0"/>
              <w:bottom w:val="single" w:color="000000" w:sz="8" w:space="0"/>
              <w:right w:val="single" w:color="000000" w:sz="8" w:space="0"/>
            </w:tcBorders>
            <w:vAlign w:val="center"/>
          </w:tcPr>
          <w:p>
            <w:pPr>
              <w:spacing w:line="520" w:lineRule="atLeast"/>
            </w:pPr>
          </w:p>
        </w:tc>
        <w:tc>
          <w:tcPr>
            <w:tcW w:w="861"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kern w:val="0"/>
                <w:sz w:val="24"/>
              </w:rPr>
            </w:pPr>
            <w:r>
              <w:rPr>
                <w:color w:val="000000"/>
                <w:kern w:val="0"/>
                <w:sz w:val="24"/>
              </w:rPr>
              <w:t>2.1.4</w:t>
            </w:r>
          </w:p>
        </w:tc>
        <w:tc>
          <w:tcPr>
            <w:tcW w:w="2406"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sz w:val="24"/>
              </w:rPr>
            </w:pPr>
            <w:r>
              <w:rPr>
                <w:rFonts w:hint="eastAsia"/>
                <w:sz w:val="24"/>
              </w:rPr>
              <w:t>信号采集原理</w:t>
            </w:r>
          </w:p>
        </w:tc>
        <w:tc>
          <w:tcPr>
            <w:tcW w:w="102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pPr>
          </w:p>
        </w:tc>
        <w:tc>
          <w:tcPr>
            <w:tcW w:w="86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81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60"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sz w:val="24"/>
              </w:rPr>
            </w:pPr>
          </w:p>
        </w:tc>
        <w:tc>
          <w:tcPr>
            <w:tcW w:w="1178"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jc w:val="center"/>
        </w:trPr>
        <w:tc>
          <w:tcPr>
            <w:tcW w:w="735" w:type="dxa"/>
            <w:vMerge w:val="continue"/>
            <w:tcBorders>
              <w:top w:val="nil"/>
              <w:left w:val="single" w:color="000000" w:sz="8" w:space="0"/>
              <w:bottom w:val="single" w:color="000000" w:sz="8" w:space="0"/>
              <w:right w:val="single" w:color="000000" w:sz="8" w:space="0"/>
            </w:tcBorders>
            <w:vAlign w:val="center"/>
          </w:tcPr>
          <w:p>
            <w:pPr>
              <w:spacing w:line="520" w:lineRule="atLeast"/>
            </w:pPr>
          </w:p>
        </w:tc>
        <w:tc>
          <w:tcPr>
            <w:tcW w:w="861"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kern w:val="0"/>
                <w:sz w:val="24"/>
              </w:rPr>
            </w:pPr>
            <w:r>
              <w:rPr>
                <w:color w:val="000000"/>
                <w:kern w:val="0"/>
                <w:sz w:val="24"/>
              </w:rPr>
              <w:t>2.1.5</w:t>
            </w:r>
          </w:p>
        </w:tc>
        <w:tc>
          <w:tcPr>
            <w:tcW w:w="2406"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sz w:val="24"/>
              </w:rPr>
            </w:pPr>
            <w:r>
              <w:rPr>
                <w:rFonts w:hint="eastAsia"/>
                <w:sz w:val="24"/>
              </w:rPr>
              <w:t>信号处理与分析原理</w:t>
            </w:r>
          </w:p>
        </w:tc>
        <w:tc>
          <w:tcPr>
            <w:tcW w:w="102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pPr>
          </w:p>
        </w:tc>
        <w:tc>
          <w:tcPr>
            <w:tcW w:w="86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81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60"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sz w:val="24"/>
              </w:rPr>
            </w:pPr>
          </w:p>
        </w:tc>
        <w:tc>
          <w:tcPr>
            <w:tcW w:w="1178"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jc w:val="center"/>
        </w:trPr>
        <w:tc>
          <w:tcPr>
            <w:tcW w:w="735" w:type="dxa"/>
            <w:vMerge w:val="continue"/>
            <w:tcBorders>
              <w:top w:val="nil"/>
              <w:left w:val="single" w:color="000000" w:sz="8" w:space="0"/>
              <w:bottom w:val="single" w:color="000000" w:sz="8" w:space="0"/>
              <w:right w:val="single" w:color="000000" w:sz="8" w:space="0"/>
            </w:tcBorders>
            <w:vAlign w:val="center"/>
          </w:tcPr>
          <w:p>
            <w:pPr>
              <w:spacing w:line="520" w:lineRule="atLeast"/>
            </w:pPr>
          </w:p>
        </w:tc>
        <w:tc>
          <w:tcPr>
            <w:tcW w:w="861"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kern w:val="0"/>
                <w:sz w:val="24"/>
              </w:rPr>
            </w:pPr>
            <w:r>
              <w:rPr>
                <w:color w:val="000000"/>
                <w:kern w:val="0"/>
                <w:sz w:val="24"/>
              </w:rPr>
              <w:t>2.1.6</w:t>
            </w:r>
          </w:p>
        </w:tc>
        <w:tc>
          <w:tcPr>
            <w:tcW w:w="2406"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sz w:val="24"/>
              </w:rPr>
            </w:pPr>
            <w:r>
              <w:rPr>
                <w:sz w:val="24"/>
              </w:rPr>
              <w:t>系统集成原理</w:t>
            </w:r>
          </w:p>
        </w:tc>
        <w:tc>
          <w:tcPr>
            <w:tcW w:w="102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pPr>
          </w:p>
        </w:tc>
        <w:tc>
          <w:tcPr>
            <w:tcW w:w="86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81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60"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sz w:val="24"/>
              </w:rPr>
            </w:pPr>
          </w:p>
        </w:tc>
        <w:tc>
          <w:tcPr>
            <w:tcW w:w="1178"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jc w:val="center"/>
        </w:trPr>
        <w:tc>
          <w:tcPr>
            <w:tcW w:w="735" w:type="dxa"/>
            <w:vMerge w:val="continue"/>
            <w:tcBorders>
              <w:top w:val="nil"/>
              <w:left w:val="single" w:color="000000" w:sz="8" w:space="0"/>
              <w:bottom w:val="single" w:color="000000" w:sz="8" w:space="0"/>
              <w:right w:val="single" w:color="000000" w:sz="8" w:space="0"/>
            </w:tcBorders>
            <w:vAlign w:val="center"/>
          </w:tcPr>
          <w:p>
            <w:pPr>
              <w:spacing w:line="520" w:lineRule="atLeast"/>
            </w:pPr>
          </w:p>
        </w:tc>
        <w:tc>
          <w:tcPr>
            <w:tcW w:w="861"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kern w:val="0"/>
                <w:sz w:val="24"/>
              </w:rPr>
            </w:pPr>
            <w:r>
              <w:rPr>
                <w:color w:val="000000"/>
                <w:kern w:val="0"/>
                <w:sz w:val="24"/>
              </w:rPr>
              <w:t>2.1.7</w:t>
            </w:r>
          </w:p>
        </w:tc>
        <w:tc>
          <w:tcPr>
            <w:tcW w:w="2406"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rPr>
                <w:sz w:val="24"/>
              </w:rPr>
            </w:pPr>
            <w:r>
              <w:rPr>
                <w:rFonts w:hint="eastAsia"/>
                <w:color w:val="000000"/>
                <w:kern w:val="0"/>
                <w:sz w:val="24"/>
              </w:rPr>
              <w:t>其他需要对比的项目</w:t>
            </w:r>
          </w:p>
        </w:tc>
        <w:tc>
          <w:tcPr>
            <w:tcW w:w="102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pPr>
          </w:p>
        </w:tc>
        <w:tc>
          <w:tcPr>
            <w:tcW w:w="86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81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60"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sz w:val="24"/>
              </w:rPr>
            </w:pPr>
          </w:p>
        </w:tc>
        <w:tc>
          <w:tcPr>
            <w:tcW w:w="1178"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jc w:val="center"/>
        </w:trPr>
        <w:tc>
          <w:tcPr>
            <w:tcW w:w="735" w:type="dxa"/>
            <w:vMerge w:val="continue"/>
            <w:tcBorders>
              <w:top w:val="nil"/>
              <w:left w:val="single" w:color="000000" w:sz="8" w:space="0"/>
              <w:bottom w:val="single" w:color="000000" w:sz="8" w:space="0"/>
              <w:right w:val="single" w:color="000000" w:sz="8" w:space="0"/>
            </w:tcBorders>
            <w:vAlign w:val="center"/>
          </w:tcPr>
          <w:p>
            <w:pPr>
              <w:spacing w:line="520" w:lineRule="atLeast"/>
            </w:pPr>
          </w:p>
        </w:tc>
        <w:tc>
          <w:tcPr>
            <w:tcW w:w="861"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kern w:val="0"/>
                <w:sz w:val="24"/>
              </w:rPr>
            </w:pPr>
            <w:r>
              <w:rPr>
                <w:sz w:val="24"/>
              </w:rPr>
              <w:t>2.2</w:t>
            </w:r>
          </w:p>
        </w:tc>
        <w:tc>
          <w:tcPr>
            <w:tcW w:w="2406"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kern w:val="0"/>
                <w:sz w:val="24"/>
              </w:rPr>
            </w:pPr>
            <w:r>
              <w:rPr>
                <w:sz w:val="24"/>
              </w:rPr>
              <w:t>产品类型</w:t>
            </w:r>
            <w:r>
              <w:rPr>
                <w:sz w:val="24"/>
                <w:vertAlign w:val="superscript"/>
              </w:rPr>
              <w:t>b</w:t>
            </w:r>
          </w:p>
        </w:tc>
        <w:tc>
          <w:tcPr>
            <w:tcW w:w="102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86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81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60"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sz w:val="24"/>
              </w:rPr>
            </w:pPr>
          </w:p>
        </w:tc>
        <w:tc>
          <w:tcPr>
            <w:tcW w:w="1178"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sz w:val="24"/>
              </w:rPr>
            </w:pPr>
          </w:p>
        </w:tc>
      </w:tr>
    </w:tbl>
    <w:p>
      <w:pPr>
        <w:autoSpaceDE w:val="0"/>
        <w:autoSpaceDN w:val="0"/>
        <w:adjustRightInd w:val="0"/>
        <w:spacing w:line="520" w:lineRule="atLeast"/>
        <w:ind w:firstLine="420" w:firstLineChars="200"/>
        <w:rPr>
          <w:rFonts w:eastAsia="仿宋_GB2312"/>
          <w:color w:val="000000"/>
          <w:szCs w:val="32"/>
        </w:rPr>
      </w:pPr>
    </w:p>
    <w:p>
      <w:pPr>
        <w:autoSpaceDE w:val="0"/>
        <w:autoSpaceDN w:val="0"/>
        <w:adjustRightInd w:val="0"/>
        <w:spacing w:line="520" w:lineRule="atLeast"/>
        <w:ind w:firstLine="420" w:firstLineChars="200"/>
        <w:rPr>
          <w:rFonts w:eastAsia="仿宋_GB2312"/>
          <w:color w:val="000000"/>
          <w:szCs w:val="32"/>
        </w:rPr>
      </w:pPr>
      <w:r>
        <w:rPr>
          <w:rFonts w:eastAsia="仿宋_GB2312"/>
          <w:color w:val="000000"/>
          <w:szCs w:val="32"/>
          <w:highlight w:val="none"/>
        </w:rPr>
        <w:t>a申报产品和同品种产品的工作原理应一致。应详述核心结构模块的原理，包括：</w:t>
      </w:r>
      <w:r>
        <w:rPr>
          <w:rFonts w:hint="eastAsia" w:eastAsia="仿宋_GB2312"/>
          <w:color w:val="000000"/>
          <w:szCs w:val="32"/>
        </w:rPr>
        <w:t>微液滴生成原理</w:t>
      </w:r>
      <w:r>
        <w:rPr>
          <w:rFonts w:eastAsia="仿宋_GB2312"/>
          <w:color w:val="000000"/>
          <w:szCs w:val="32"/>
          <w:highlight w:val="none"/>
        </w:rPr>
        <w:t>（包括等）。</w:t>
      </w:r>
    </w:p>
    <w:p>
      <w:pPr>
        <w:autoSpaceDE w:val="0"/>
        <w:autoSpaceDN w:val="0"/>
        <w:adjustRightInd w:val="0"/>
        <w:spacing w:line="520" w:lineRule="atLeast"/>
        <w:ind w:firstLine="420" w:firstLineChars="200"/>
        <w:rPr>
          <w:sz w:val="24"/>
        </w:rPr>
      </w:pPr>
      <w:r>
        <w:rPr>
          <w:rFonts w:eastAsia="仿宋_GB2312"/>
          <w:color w:val="000000"/>
          <w:szCs w:val="32"/>
        </w:rPr>
        <w:t>b产品类型应明确便携式、固定式（台式/落地式）。</w:t>
      </w:r>
    </w:p>
    <w:p>
      <w:pPr>
        <w:widowControl/>
        <w:spacing w:before="0" w:beforeAutospacing="0" w:after="0" w:line="520" w:lineRule="atLeast"/>
        <w:ind w:left="0" w:leftChars="0" w:firstLine="640" w:firstLineChars="200"/>
        <w:jc w:val="both"/>
        <w:rPr>
          <w:rFonts w:ascii="Times New Roman" w:hAnsi="Times New Roman" w:eastAsia="仿宋_GB2312" w:cs="Times New Roman"/>
          <w:bCs w:val="0"/>
          <w:color w:val="000000"/>
          <w:kern w:val="2"/>
          <w:sz w:val="32"/>
          <w:szCs w:val="32"/>
          <w:lang w:val="en-US" w:eastAsia="zh-CN" w:bidi="ar-SA"/>
        </w:rPr>
      </w:pPr>
      <w:r>
        <w:rPr>
          <w:rFonts w:ascii="Times New Roman" w:hAnsi="Times New Roman" w:eastAsia="仿宋_GB2312" w:cs="Times New Roman"/>
          <w:bCs w:val="0"/>
          <w:color w:val="000000"/>
          <w:kern w:val="2"/>
          <w:sz w:val="32"/>
          <w:szCs w:val="32"/>
          <w:lang w:val="en-US" w:eastAsia="zh-CN" w:bidi="ar-SA"/>
        </w:rPr>
        <w:t>3.结构组成</w:t>
      </w:r>
    </w:p>
    <w:tbl>
      <w:tblPr>
        <w:tblStyle w:val="10"/>
        <w:tblW w:w="863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20"/>
        <w:gridCol w:w="961"/>
        <w:gridCol w:w="2475"/>
        <w:gridCol w:w="975"/>
        <w:gridCol w:w="741"/>
        <w:gridCol w:w="800"/>
        <w:gridCol w:w="780"/>
        <w:gridCol w:w="11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3" w:hRule="atLeast"/>
          <w:jc w:val="center"/>
        </w:trPr>
        <w:tc>
          <w:tcPr>
            <w:tcW w:w="1681" w:type="dxa"/>
            <w:gridSpan w:val="2"/>
            <w:vMerge w:val="restart"/>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rFonts w:eastAsia="黑体"/>
                <w:color w:val="000000"/>
                <w:kern w:val="0"/>
                <w:sz w:val="24"/>
              </w:rPr>
            </w:pPr>
            <w:r>
              <w:rPr>
                <w:rFonts w:eastAsia="黑体"/>
                <w:color w:val="000000"/>
                <w:kern w:val="0"/>
                <w:sz w:val="24"/>
              </w:rPr>
              <w:t>序号</w:t>
            </w:r>
          </w:p>
        </w:tc>
        <w:tc>
          <w:tcPr>
            <w:tcW w:w="2475" w:type="dxa"/>
            <w:vMerge w:val="restart"/>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rFonts w:eastAsia="黑体"/>
                <w:color w:val="000000"/>
                <w:kern w:val="0"/>
                <w:sz w:val="24"/>
              </w:rPr>
            </w:pPr>
            <w:r>
              <w:rPr>
                <w:rFonts w:eastAsia="黑体"/>
                <w:color w:val="000000"/>
                <w:kern w:val="0"/>
                <w:sz w:val="24"/>
              </w:rPr>
              <w:t>对比项目</w:t>
            </w:r>
          </w:p>
        </w:tc>
        <w:tc>
          <w:tcPr>
            <w:tcW w:w="975" w:type="dxa"/>
            <w:vMerge w:val="restart"/>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rFonts w:eastAsia="黑体"/>
                <w:color w:val="000000"/>
                <w:kern w:val="0"/>
                <w:sz w:val="24"/>
              </w:rPr>
            </w:pPr>
            <w:r>
              <w:rPr>
                <w:rFonts w:eastAsia="黑体"/>
                <w:color w:val="000000"/>
                <w:kern w:val="0"/>
                <w:sz w:val="24"/>
              </w:rPr>
              <w:t>同品种产品</w:t>
            </w:r>
          </w:p>
        </w:tc>
        <w:tc>
          <w:tcPr>
            <w:tcW w:w="741" w:type="dxa"/>
            <w:vMerge w:val="restart"/>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rFonts w:eastAsia="黑体"/>
                <w:color w:val="000000"/>
                <w:kern w:val="0"/>
                <w:sz w:val="24"/>
              </w:rPr>
            </w:pPr>
            <w:r>
              <w:rPr>
                <w:rFonts w:eastAsia="黑体"/>
                <w:color w:val="000000"/>
                <w:kern w:val="0"/>
                <w:sz w:val="24"/>
              </w:rPr>
              <w:t>申报产品</w:t>
            </w:r>
          </w:p>
        </w:tc>
        <w:tc>
          <w:tcPr>
            <w:tcW w:w="800" w:type="dxa"/>
            <w:vMerge w:val="restart"/>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rFonts w:eastAsia="黑体"/>
                <w:color w:val="000000"/>
                <w:kern w:val="0"/>
                <w:sz w:val="24"/>
              </w:rPr>
            </w:pPr>
            <w:r>
              <w:rPr>
                <w:rFonts w:eastAsia="黑体"/>
                <w:color w:val="000000"/>
                <w:kern w:val="0"/>
                <w:sz w:val="24"/>
              </w:rPr>
              <w:t>相同性</w:t>
            </w:r>
          </w:p>
        </w:tc>
        <w:tc>
          <w:tcPr>
            <w:tcW w:w="780" w:type="dxa"/>
            <w:vMerge w:val="restart"/>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rFonts w:eastAsia="黑体"/>
                <w:color w:val="000000"/>
                <w:kern w:val="0"/>
                <w:sz w:val="24"/>
              </w:rPr>
            </w:pPr>
            <w:r>
              <w:rPr>
                <w:rFonts w:eastAsia="黑体"/>
                <w:color w:val="000000"/>
                <w:kern w:val="0"/>
                <w:sz w:val="24"/>
              </w:rPr>
              <w:t>差异性</w:t>
            </w:r>
          </w:p>
        </w:tc>
        <w:tc>
          <w:tcPr>
            <w:tcW w:w="1178" w:type="dxa"/>
            <w:vMerge w:val="restart"/>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rFonts w:eastAsia="黑体"/>
                <w:color w:val="000000"/>
                <w:kern w:val="0"/>
                <w:sz w:val="24"/>
              </w:rPr>
            </w:pPr>
            <w:r>
              <w:rPr>
                <w:rFonts w:eastAsia="黑体"/>
                <w:color w:val="000000"/>
                <w:kern w:val="0"/>
                <w:sz w:val="24"/>
              </w:rPr>
              <w:t>支持性资料概述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3" w:hRule="atLeast"/>
          <w:jc w:val="center"/>
        </w:trPr>
        <w:tc>
          <w:tcPr>
            <w:tcW w:w="1681" w:type="dxa"/>
            <w:gridSpan w:val="2"/>
            <w:vMerge w:val="continue"/>
            <w:tcBorders>
              <w:top w:val="single" w:color="000000" w:sz="8" w:space="0"/>
              <w:left w:val="single" w:color="000000" w:sz="8" w:space="0"/>
              <w:bottom w:val="single" w:color="000000" w:sz="8" w:space="0"/>
              <w:right w:val="single" w:color="000000" w:sz="8" w:space="0"/>
            </w:tcBorders>
            <w:vAlign w:val="center"/>
          </w:tcPr>
          <w:p>
            <w:pPr>
              <w:spacing w:line="520" w:lineRule="atLeast"/>
            </w:pPr>
          </w:p>
        </w:tc>
        <w:tc>
          <w:tcPr>
            <w:tcW w:w="2475" w:type="dxa"/>
            <w:vMerge w:val="continue"/>
            <w:tcBorders>
              <w:top w:val="single" w:color="000000" w:sz="8" w:space="0"/>
              <w:left w:val="single" w:color="000000" w:sz="8" w:space="0"/>
              <w:bottom w:val="single" w:color="000000" w:sz="8" w:space="0"/>
              <w:right w:val="single" w:color="000000" w:sz="8" w:space="0"/>
            </w:tcBorders>
            <w:vAlign w:val="center"/>
          </w:tcPr>
          <w:p>
            <w:pPr>
              <w:spacing w:line="520" w:lineRule="atLeast"/>
            </w:pPr>
          </w:p>
        </w:tc>
        <w:tc>
          <w:tcPr>
            <w:tcW w:w="975" w:type="dxa"/>
            <w:vMerge w:val="continue"/>
            <w:tcBorders>
              <w:top w:val="single" w:color="000000" w:sz="8" w:space="0"/>
              <w:left w:val="single" w:color="000000" w:sz="8" w:space="0"/>
              <w:bottom w:val="single" w:color="000000" w:sz="8" w:space="0"/>
              <w:right w:val="single" w:color="000000" w:sz="8" w:space="0"/>
            </w:tcBorders>
            <w:vAlign w:val="center"/>
          </w:tcPr>
          <w:p>
            <w:pPr>
              <w:spacing w:line="520" w:lineRule="atLeast"/>
            </w:pPr>
          </w:p>
        </w:tc>
        <w:tc>
          <w:tcPr>
            <w:tcW w:w="741" w:type="dxa"/>
            <w:vMerge w:val="continue"/>
            <w:tcBorders>
              <w:top w:val="single" w:color="000000" w:sz="8" w:space="0"/>
              <w:left w:val="single" w:color="000000" w:sz="8" w:space="0"/>
              <w:bottom w:val="single" w:color="000000" w:sz="8" w:space="0"/>
              <w:right w:val="single" w:color="000000" w:sz="8" w:space="0"/>
            </w:tcBorders>
            <w:vAlign w:val="center"/>
          </w:tcPr>
          <w:p>
            <w:pPr>
              <w:spacing w:line="520" w:lineRule="atLeast"/>
            </w:pPr>
          </w:p>
        </w:tc>
        <w:tc>
          <w:tcPr>
            <w:tcW w:w="800" w:type="dxa"/>
            <w:vMerge w:val="continue"/>
            <w:tcBorders>
              <w:top w:val="single" w:color="000000" w:sz="8" w:space="0"/>
              <w:left w:val="single" w:color="000000" w:sz="8" w:space="0"/>
              <w:bottom w:val="single" w:color="000000" w:sz="8" w:space="0"/>
              <w:right w:val="single" w:color="000000" w:sz="8" w:space="0"/>
            </w:tcBorders>
            <w:vAlign w:val="center"/>
          </w:tcPr>
          <w:p>
            <w:pPr>
              <w:spacing w:line="520" w:lineRule="atLeast"/>
            </w:pPr>
          </w:p>
        </w:tc>
        <w:tc>
          <w:tcPr>
            <w:tcW w:w="780" w:type="dxa"/>
            <w:vMerge w:val="continue"/>
            <w:tcBorders>
              <w:top w:val="single" w:color="000000" w:sz="8" w:space="0"/>
              <w:left w:val="single" w:color="000000" w:sz="8" w:space="0"/>
              <w:bottom w:val="single" w:color="000000" w:sz="8" w:space="0"/>
              <w:right w:val="single" w:color="000000" w:sz="8" w:space="0"/>
            </w:tcBorders>
            <w:vAlign w:val="center"/>
          </w:tcPr>
          <w:p>
            <w:pPr>
              <w:spacing w:line="520" w:lineRule="atLeast"/>
            </w:pPr>
          </w:p>
        </w:tc>
        <w:tc>
          <w:tcPr>
            <w:tcW w:w="1178" w:type="dxa"/>
            <w:vMerge w:val="continue"/>
            <w:tcBorders>
              <w:top w:val="single" w:color="000000" w:sz="8" w:space="0"/>
              <w:left w:val="single" w:color="000000" w:sz="8" w:space="0"/>
              <w:bottom w:val="single" w:color="000000" w:sz="8" w:space="0"/>
              <w:right w:val="single" w:color="000000" w:sz="8" w:space="0"/>
            </w:tcBorders>
            <w:vAlign w:val="center"/>
          </w:tcPr>
          <w:p>
            <w:pPr>
              <w:spacing w:line="520" w:lineRule="atLeast"/>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20" w:type="dxa"/>
            <w:vMerge w:val="restart"/>
            <w:tcBorders>
              <w:top w:val="nil"/>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sz w:val="24"/>
              </w:rPr>
            </w:pPr>
            <w:r>
              <w:rPr>
                <w:rFonts w:ascii="Times New Roman" w:cs="Times New Roman"/>
                <w:color w:val="000000"/>
                <w:sz w:val="24"/>
              </w:rPr>
              <w:t>结构组成</w:t>
            </w:r>
          </w:p>
        </w:tc>
        <w:tc>
          <w:tcPr>
            <w:tcW w:w="961"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kern w:val="0"/>
                <w:sz w:val="24"/>
              </w:rPr>
            </w:pPr>
            <w:r>
              <w:rPr>
                <w:color w:val="000000"/>
                <w:kern w:val="0"/>
                <w:sz w:val="24"/>
              </w:rPr>
              <w:t>3.1</w:t>
            </w:r>
          </w:p>
        </w:tc>
        <w:tc>
          <w:tcPr>
            <w:tcW w:w="2475"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sz w:val="24"/>
              </w:rPr>
            </w:pPr>
            <w:r>
              <w:rPr>
                <w:sz w:val="24"/>
              </w:rPr>
              <w:t>产品组成</w:t>
            </w:r>
            <w:r>
              <w:rPr>
                <w:sz w:val="24"/>
                <w:vertAlign w:val="superscript"/>
              </w:rPr>
              <w:t>a</w:t>
            </w:r>
          </w:p>
        </w:tc>
        <w:tc>
          <w:tcPr>
            <w:tcW w:w="975"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41"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80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8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1178"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20" w:type="dxa"/>
            <w:vMerge w:val="continue"/>
            <w:tcBorders>
              <w:top w:val="nil"/>
              <w:left w:val="single" w:color="000000" w:sz="8" w:space="0"/>
              <w:bottom w:val="single" w:color="000000" w:sz="8" w:space="0"/>
              <w:right w:val="single" w:color="000000" w:sz="8" w:space="0"/>
            </w:tcBorders>
            <w:vAlign w:val="center"/>
          </w:tcPr>
          <w:p>
            <w:pPr>
              <w:spacing w:line="520" w:lineRule="atLeast"/>
            </w:pPr>
          </w:p>
        </w:tc>
        <w:tc>
          <w:tcPr>
            <w:tcW w:w="961"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kern w:val="0"/>
                <w:sz w:val="24"/>
              </w:rPr>
            </w:pPr>
            <w:r>
              <w:rPr>
                <w:color w:val="000000"/>
                <w:kern w:val="0"/>
                <w:sz w:val="24"/>
              </w:rPr>
              <w:t>3.2</w:t>
            </w:r>
          </w:p>
        </w:tc>
        <w:tc>
          <w:tcPr>
            <w:tcW w:w="2475"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kern w:val="0"/>
                <w:sz w:val="24"/>
              </w:rPr>
            </w:pPr>
            <w:r>
              <w:rPr>
                <w:color w:val="000000"/>
                <w:kern w:val="0"/>
                <w:sz w:val="24"/>
              </w:rPr>
              <w:t>核心部件</w:t>
            </w:r>
            <w:r>
              <w:rPr>
                <w:sz w:val="24"/>
                <w:vertAlign w:val="superscript"/>
              </w:rPr>
              <w:t>b</w:t>
            </w:r>
          </w:p>
        </w:tc>
        <w:tc>
          <w:tcPr>
            <w:tcW w:w="975"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41"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80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8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1178"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20" w:type="dxa"/>
            <w:vMerge w:val="continue"/>
            <w:tcBorders>
              <w:top w:val="nil"/>
              <w:left w:val="single" w:color="000000" w:sz="8" w:space="0"/>
              <w:bottom w:val="single" w:color="000000" w:sz="8" w:space="0"/>
              <w:right w:val="single" w:color="000000" w:sz="8" w:space="0"/>
            </w:tcBorders>
            <w:vAlign w:val="center"/>
          </w:tcPr>
          <w:p>
            <w:pPr>
              <w:spacing w:line="520" w:lineRule="atLeast"/>
            </w:pPr>
          </w:p>
        </w:tc>
        <w:tc>
          <w:tcPr>
            <w:tcW w:w="961"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kern w:val="0"/>
                <w:sz w:val="24"/>
              </w:rPr>
            </w:pPr>
            <w:r>
              <w:rPr>
                <w:color w:val="000000"/>
                <w:kern w:val="0"/>
                <w:sz w:val="24"/>
              </w:rPr>
              <w:t>3.2.1</w:t>
            </w:r>
          </w:p>
        </w:tc>
        <w:tc>
          <w:tcPr>
            <w:tcW w:w="2475"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sz w:val="24"/>
              </w:rPr>
            </w:pPr>
            <w:r>
              <w:rPr>
                <w:rFonts w:hint="eastAsia"/>
                <w:color w:val="000000"/>
                <w:kern w:val="0"/>
                <w:sz w:val="24"/>
              </w:rPr>
              <w:t>微反应单元生成模块</w:t>
            </w:r>
          </w:p>
        </w:tc>
        <w:tc>
          <w:tcPr>
            <w:tcW w:w="975"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41"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80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8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1178"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720" w:type="dxa"/>
            <w:vMerge w:val="continue"/>
            <w:tcBorders>
              <w:top w:val="nil"/>
              <w:left w:val="single" w:color="000000" w:sz="8" w:space="0"/>
              <w:bottom w:val="single" w:color="000000" w:sz="8" w:space="0"/>
              <w:right w:val="single" w:color="000000" w:sz="8" w:space="0"/>
            </w:tcBorders>
            <w:vAlign w:val="center"/>
          </w:tcPr>
          <w:p>
            <w:pPr>
              <w:spacing w:line="520" w:lineRule="atLeast"/>
            </w:pPr>
          </w:p>
        </w:tc>
        <w:tc>
          <w:tcPr>
            <w:tcW w:w="961"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kern w:val="0"/>
                <w:sz w:val="24"/>
              </w:rPr>
            </w:pPr>
            <w:r>
              <w:rPr>
                <w:color w:val="000000"/>
                <w:kern w:val="0"/>
                <w:sz w:val="24"/>
              </w:rPr>
              <w:t>3.2.2</w:t>
            </w:r>
          </w:p>
        </w:tc>
        <w:tc>
          <w:tcPr>
            <w:tcW w:w="2475"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kern w:val="0"/>
                <w:sz w:val="24"/>
              </w:rPr>
            </w:pPr>
            <w:r>
              <w:rPr>
                <w:sz w:val="24"/>
              </w:rPr>
              <w:t>温控模块</w:t>
            </w:r>
          </w:p>
        </w:tc>
        <w:tc>
          <w:tcPr>
            <w:tcW w:w="975"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41"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80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8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1178"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7" w:hRule="atLeast"/>
          <w:jc w:val="center"/>
        </w:trPr>
        <w:tc>
          <w:tcPr>
            <w:tcW w:w="720" w:type="dxa"/>
            <w:vMerge w:val="continue"/>
            <w:tcBorders>
              <w:top w:val="nil"/>
              <w:left w:val="single" w:color="000000" w:sz="8" w:space="0"/>
              <w:bottom w:val="single" w:color="000000" w:sz="8" w:space="0"/>
              <w:right w:val="single" w:color="000000" w:sz="8" w:space="0"/>
            </w:tcBorders>
            <w:vAlign w:val="center"/>
          </w:tcPr>
          <w:p>
            <w:pPr>
              <w:spacing w:line="520" w:lineRule="atLeast"/>
            </w:pPr>
          </w:p>
        </w:tc>
        <w:tc>
          <w:tcPr>
            <w:tcW w:w="961"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kern w:val="0"/>
                <w:sz w:val="24"/>
              </w:rPr>
            </w:pPr>
            <w:r>
              <w:rPr>
                <w:color w:val="000000"/>
                <w:kern w:val="0"/>
                <w:sz w:val="24"/>
              </w:rPr>
              <w:t>3.2.3</w:t>
            </w:r>
          </w:p>
        </w:tc>
        <w:tc>
          <w:tcPr>
            <w:tcW w:w="2475"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kern w:val="0"/>
                <w:sz w:val="24"/>
              </w:rPr>
            </w:pPr>
            <w:r>
              <w:rPr>
                <w:rFonts w:hint="eastAsia"/>
                <w:color w:val="000000"/>
                <w:kern w:val="0"/>
                <w:sz w:val="24"/>
              </w:rPr>
              <w:t>信号采集模块</w:t>
            </w:r>
          </w:p>
        </w:tc>
        <w:tc>
          <w:tcPr>
            <w:tcW w:w="975"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41"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80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8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1178"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20" w:type="dxa"/>
            <w:vMerge w:val="continue"/>
            <w:tcBorders>
              <w:top w:val="nil"/>
              <w:left w:val="single" w:color="000000" w:sz="8" w:space="0"/>
              <w:bottom w:val="single" w:color="000000" w:sz="8" w:space="0"/>
              <w:right w:val="single" w:color="000000" w:sz="8" w:space="0"/>
            </w:tcBorders>
            <w:vAlign w:val="center"/>
          </w:tcPr>
          <w:p>
            <w:pPr>
              <w:spacing w:line="520" w:lineRule="atLeast"/>
            </w:pPr>
          </w:p>
        </w:tc>
        <w:tc>
          <w:tcPr>
            <w:tcW w:w="961"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kern w:val="0"/>
                <w:sz w:val="24"/>
              </w:rPr>
            </w:pPr>
            <w:r>
              <w:rPr>
                <w:color w:val="000000"/>
                <w:kern w:val="0"/>
                <w:sz w:val="24"/>
              </w:rPr>
              <w:t>3.2.4</w:t>
            </w:r>
          </w:p>
        </w:tc>
        <w:tc>
          <w:tcPr>
            <w:tcW w:w="2475"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kern w:val="0"/>
                <w:sz w:val="24"/>
              </w:rPr>
            </w:pPr>
            <w:r>
              <w:rPr>
                <w:rFonts w:hint="eastAsia"/>
                <w:sz w:val="24"/>
              </w:rPr>
              <w:t>信号处理模块</w:t>
            </w:r>
          </w:p>
        </w:tc>
        <w:tc>
          <w:tcPr>
            <w:tcW w:w="975"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41"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80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8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1178"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20" w:type="dxa"/>
            <w:vMerge w:val="continue"/>
            <w:tcBorders>
              <w:top w:val="nil"/>
              <w:left w:val="single" w:color="000000" w:sz="8" w:space="0"/>
              <w:bottom w:val="nil"/>
              <w:right w:val="single" w:color="000000" w:sz="8" w:space="0"/>
            </w:tcBorders>
            <w:vAlign w:val="center"/>
          </w:tcPr>
          <w:p>
            <w:pPr>
              <w:spacing w:line="520" w:lineRule="atLeast"/>
            </w:pPr>
          </w:p>
        </w:tc>
        <w:tc>
          <w:tcPr>
            <w:tcW w:w="961"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kern w:val="0"/>
                <w:sz w:val="24"/>
              </w:rPr>
            </w:pPr>
            <w:r>
              <w:rPr>
                <w:rFonts w:hint="eastAsia"/>
                <w:color w:val="000000"/>
                <w:kern w:val="0"/>
                <w:sz w:val="24"/>
              </w:rPr>
              <w:t>3</w:t>
            </w:r>
            <w:r>
              <w:rPr>
                <w:color w:val="000000"/>
                <w:kern w:val="0"/>
                <w:sz w:val="24"/>
              </w:rPr>
              <w:t>.2.5</w:t>
            </w:r>
          </w:p>
        </w:tc>
        <w:tc>
          <w:tcPr>
            <w:tcW w:w="2475"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kern w:val="0"/>
                <w:sz w:val="24"/>
              </w:rPr>
            </w:pPr>
            <w:r>
              <w:rPr>
                <w:rFonts w:hint="eastAsia"/>
                <w:color w:val="000000"/>
                <w:kern w:val="0"/>
                <w:sz w:val="24"/>
              </w:rPr>
              <w:t>机械传动模块</w:t>
            </w:r>
          </w:p>
        </w:tc>
        <w:tc>
          <w:tcPr>
            <w:tcW w:w="975"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41"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80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8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1178"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20" w:type="dxa"/>
            <w:tcBorders>
              <w:top w:val="nil"/>
              <w:left w:val="single" w:color="000000" w:sz="8" w:space="0"/>
              <w:bottom w:val="single" w:color="000000" w:sz="8" w:space="0"/>
              <w:right w:val="single" w:color="000000" w:sz="8" w:space="0"/>
            </w:tcBorders>
            <w:vAlign w:val="center"/>
          </w:tcPr>
          <w:p>
            <w:pPr>
              <w:spacing w:line="520" w:lineRule="atLeast"/>
            </w:pPr>
          </w:p>
        </w:tc>
        <w:tc>
          <w:tcPr>
            <w:tcW w:w="961"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rFonts w:hint="eastAsia"/>
                <w:color w:val="000000"/>
                <w:kern w:val="0"/>
                <w:sz w:val="24"/>
              </w:rPr>
            </w:pPr>
            <w:r>
              <w:rPr>
                <w:rFonts w:hint="eastAsia"/>
                <w:color w:val="000000"/>
                <w:kern w:val="0"/>
                <w:sz w:val="24"/>
              </w:rPr>
              <w:t>3</w:t>
            </w:r>
            <w:r>
              <w:rPr>
                <w:color w:val="000000"/>
                <w:kern w:val="0"/>
                <w:sz w:val="24"/>
              </w:rPr>
              <w:t>.2.6</w:t>
            </w:r>
          </w:p>
        </w:tc>
        <w:tc>
          <w:tcPr>
            <w:tcW w:w="2475"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rFonts w:hint="eastAsia"/>
                <w:color w:val="000000"/>
                <w:kern w:val="0"/>
                <w:sz w:val="24"/>
              </w:rPr>
            </w:pPr>
            <w:r>
              <w:rPr>
                <w:rFonts w:hint="eastAsia"/>
                <w:color w:val="000000"/>
                <w:kern w:val="0"/>
                <w:sz w:val="24"/>
              </w:rPr>
              <w:t>其他需要对比的项目</w:t>
            </w:r>
          </w:p>
        </w:tc>
        <w:tc>
          <w:tcPr>
            <w:tcW w:w="975"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41"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80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8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1178"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r>
    </w:tbl>
    <w:p>
      <w:pPr>
        <w:autoSpaceDE w:val="0"/>
        <w:autoSpaceDN w:val="0"/>
        <w:adjustRightInd w:val="0"/>
        <w:spacing w:line="520" w:lineRule="atLeast"/>
        <w:ind w:firstLine="420" w:firstLineChars="200"/>
        <w:rPr>
          <w:rFonts w:eastAsia="仿宋_GB2312"/>
          <w:color w:val="000000"/>
          <w:szCs w:val="32"/>
        </w:rPr>
      </w:pPr>
      <w:r>
        <w:rPr>
          <w:rFonts w:eastAsia="仿宋_GB2312"/>
          <w:color w:val="000000"/>
          <w:szCs w:val="32"/>
        </w:rPr>
        <w:t>a产品组成应包括描述申报产品的所有结构组成。对</w:t>
      </w:r>
      <w:r>
        <w:rPr>
          <w:rFonts w:hint="eastAsia" w:eastAsia="仿宋_GB2312"/>
          <w:color w:val="000000"/>
          <w:szCs w:val="32"/>
        </w:rPr>
        <w:t>微反应单元生成模块、温控模块、信号采集模块、机械传动模块、控制模块、流体液路系统/气路系统、电源模块以及软件</w:t>
      </w:r>
      <w:r>
        <w:rPr>
          <w:rFonts w:eastAsia="仿宋_GB2312"/>
          <w:color w:val="000000"/>
          <w:szCs w:val="32"/>
        </w:rPr>
        <w:t>等功能模块进行逐项详细比对。</w:t>
      </w:r>
      <w:r>
        <w:rPr>
          <w:rFonts w:hint="eastAsia" w:eastAsia="仿宋_GB2312"/>
          <w:color w:val="000000"/>
          <w:szCs w:val="32"/>
        </w:rPr>
        <w:t>建议结合图示标注及性能参数进行对比。</w:t>
      </w:r>
    </w:p>
    <w:p>
      <w:pPr>
        <w:autoSpaceDE w:val="0"/>
        <w:autoSpaceDN w:val="0"/>
        <w:adjustRightInd w:val="0"/>
        <w:spacing w:line="520" w:lineRule="atLeast"/>
        <w:ind w:firstLine="420" w:firstLineChars="200"/>
        <w:rPr>
          <w:rFonts w:eastAsia="仿宋_GB2312"/>
          <w:color w:val="000000"/>
          <w:szCs w:val="32"/>
        </w:rPr>
      </w:pPr>
      <w:r>
        <w:rPr>
          <w:rFonts w:eastAsia="仿宋_GB2312"/>
          <w:color w:val="000000"/>
          <w:szCs w:val="32"/>
        </w:rPr>
        <w:t>b核心部件应至少对</w:t>
      </w:r>
      <w:r>
        <w:rPr>
          <w:rFonts w:hint="eastAsia" w:eastAsia="仿宋_GB2312"/>
          <w:color w:val="000000"/>
          <w:szCs w:val="32"/>
        </w:rPr>
        <w:t>微液滴生成模块、温控模块、信号采集模块</w:t>
      </w:r>
      <w:r>
        <w:rPr>
          <w:rFonts w:eastAsia="仿宋_GB2312"/>
          <w:color w:val="000000"/>
          <w:szCs w:val="32"/>
        </w:rPr>
        <w:t>（光学或非光学信号采集的关键器件）和</w:t>
      </w:r>
      <w:r>
        <w:rPr>
          <w:rFonts w:hint="eastAsia" w:eastAsia="仿宋_GB2312"/>
          <w:color w:val="000000"/>
          <w:szCs w:val="32"/>
        </w:rPr>
        <w:t>信号</w:t>
      </w:r>
      <w:r>
        <w:rPr>
          <w:rFonts w:eastAsia="仿宋_GB2312"/>
          <w:color w:val="000000"/>
          <w:szCs w:val="32"/>
        </w:rPr>
        <w:t>处理</w:t>
      </w:r>
      <w:r>
        <w:rPr>
          <w:rFonts w:hint="eastAsia" w:eastAsia="仿宋_GB2312"/>
          <w:color w:val="000000"/>
          <w:szCs w:val="32"/>
        </w:rPr>
        <w:t>模块</w:t>
      </w:r>
      <w:r>
        <w:rPr>
          <w:rFonts w:eastAsia="仿宋_GB2312"/>
          <w:color w:val="000000"/>
          <w:szCs w:val="32"/>
        </w:rPr>
        <w:t>及其元件技术指标进行对比。</w:t>
      </w:r>
    </w:p>
    <w:p>
      <w:pPr>
        <w:widowControl/>
        <w:adjustRightInd w:val="0"/>
        <w:snapToGrid w:val="0"/>
        <w:spacing w:line="520" w:lineRule="atLeast"/>
        <w:ind w:firstLine="480" w:firstLineChars="200"/>
        <w:jc w:val="both"/>
        <w:rPr>
          <w:rFonts w:ascii="Times New Roman" w:hAnsi="Times New Roman" w:eastAsia="仿宋_GB2312" w:cs="Times New Roman"/>
          <w:snapToGrid w:val="0"/>
          <w:kern w:val="0"/>
          <w:sz w:val="24"/>
          <w:szCs w:val="24"/>
          <w:lang w:val="en-US" w:eastAsia="zh-CN" w:bidi="ar-SA"/>
        </w:rPr>
      </w:pPr>
      <w:r>
        <w:rPr>
          <w:rFonts w:ascii="Times New Roman" w:hAnsi="Times New Roman" w:eastAsia="仿宋_GB2312" w:cs="Times New Roman"/>
          <w:snapToGrid w:val="0"/>
          <w:kern w:val="0"/>
          <w:sz w:val="24"/>
          <w:szCs w:val="24"/>
          <w:lang w:val="en-US" w:eastAsia="zh-CN" w:bidi="ar-SA"/>
        </w:rPr>
        <w:t xml:space="preserve"> </w:t>
      </w:r>
    </w:p>
    <w:p>
      <w:pPr>
        <w:widowControl/>
        <w:spacing w:before="0" w:beforeAutospacing="0" w:after="0" w:line="520" w:lineRule="atLeast"/>
        <w:ind w:left="0" w:leftChars="0" w:firstLine="640" w:firstLineChars="200"/>
        <w:jc w:val="both"/>
        <w:rPr>
          <w:rFonts w:ascii="Times New Roman" w:hAnsi="Times New Roman" w:eastAsia="仿宋_GB2312" w:cs="Times New Roman"/>
          <w:bCs w:val="0"/>
          <w:color w:val="000000"/>
          <w:kern w:val="2"/>
          <w:sz w:val="32"/>
          <w:szCs w:val="32"/>
          <w:lang w:val="en-US" w:eastAsia="zh-CN" w:bidi="ar-SA"/>
        </w:rPr>
      </w:pPr>
      <w:r>
        <w:rPr>
          <w:rFonts w:ascii="Times New Roman" w:hAnsi="Times New Roman" w:eastAsia="仿宋_GB2312" w:cs="Times New Roman"/>
          <w:bCs w:val="0"/>
          <w:color w:val="000000"/>
          <w:kern w:val="2"/>
          <w:sz w:val="32"/>
          <w:szCs w:val="32"/>
          <w:lang w:val="en-US" w:eastAsia="zh-CN" w:bidi="ar-SA"/>
        </w:rPr>
        <w:t>4.性能要求</w:t>
      </w:r>
    </w:p>
    <w:tbl>
      <w:tblPr>
        <w:tblStyle w:val="10"/>
        <w:tblW w:w="863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270"/>
        <w:gridCol w:w="631"/>
        <w:gridCol w:w="2238"/>
        <w:gridCol w:w="976"/>
        <w:gridCol w:w="697"/>
        <w:gridCol w:w="780"/>
        <w:gridCol w:w="760"/>
        <w:gridCol w:w="12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3" w:hRule="atLeast"/>
          <w:jc w:val="center"/>
        </w:trPr>
        <w:tc>
          <w:tcPr>
            <w:tcW w:w="1901" w:type="dxa"/>
            <w:gridSpan w:val="2"/>
            <w:vMerge w:val="restart"/>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rFonts w:eastAsia="黑体"/>
                <w:color w:val="000000"/>
                <w:kern w:val="0"/>
                <w:sz w:val="24"/>
              </w:rPr>
            </w:pPr>
            <w:r>
              <w:rPr>
                <w:rFonts w:eastAsia="黑体"/>
                <w:color w:val="000000"/>
                <w:kern w:val="0"/>
                <w:sz w:val="24"/>
              </w:rPr>
              <w:t>序号</w:t>
            </w:r>
          </w:p>
        </w:tc>
        <w:tc>
          <w:tcPr>
            <w:tcW w:w="2238" w:type="dxa"/>
            <w:vMerge w:val="restart"/>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rFonts w:eastAsia="黑体"/>
                <w:color w:val="000000"/>
                <w:kern w:val="0"/>
                <w:sz w:val="24"/>
              </w:rPr>
            </w:pPr>
            <w:r>
              <w:rPr>
                <w:rFonts w:eastAsia="黑体"/>
                <w:color w:val="000000"/>
                <w:kern w:val="0"/>
                <w:sz w:val="24"/>
              </w:rPr>
              <w:t>对比项目</w:t>
            </w:r>
          </w:p>
        </w:tc>
        <w:tc>
          <w:tcPr>
            <w:tcW w:w="976" w:type="dxa"/>
            <w:vMerge w:val="restart"/>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rFonts w:eastAsia="黑体"/>
                <w:color w:val="000000"/>
                <w:kern w:val="0"/>
                <w:sz w:val="24"/>
              </w:rPr>
            </w:pPr>
            <w:r>
              <w:rPr>
                <w:rFonts w:eastAsia="黑体"/>
                <w:color w:val="000000"/>
                <w:kern w:val="0"/>
                <w:sz w:val="24"/>
              </w:rPr>
              <w:t>同品种产品</w:t>
            </w:r>
          </w:p>
        </w:tc>
        <w:tc>
          <w:tcPr>
            <w:tcW w:w="697" w:type="dxa"/>
            <w:vMerge w:val="restart"/>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rFonts w:eastAsia="黑体"/>
                <w:color w:val="000000"/>
                <w:kern w:val="0"/>
                <w:sz w:val="24"/>
              </w:rPr>
            </w:pPr>
            <w:r>
              <w:rPr>
                <w:rFonts w:eastAsia="黑体"/>
                <w:color w:val="000000"/>
                <w:kern w:val="0"/>
                <w:sz w:val="24"/>
              </w:rPr>
              <w:t>申报产品</w:t>
            </w:r>
          </w:p>
        </w:tc>
        <w:tc>
          <w:tcPr>
            <w:tcW w:w="780" w:type="dxa"/>
            <w:vMerge w:val="restart"/>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rFonts w:eastAsia="黑体"/>
                <w:color w:val="000000"/>
                <w:kern w:val="0"/>
                <w:sz w:val="24"/>
              </w:rPr>
            </w:pPr>
            <w:r>
              <w:rPr>
                <w:rFonts w:eastAsia="黑体"/>
                <w:color w:val="000000"/>
                <w:kern w:val="0"/>
                <w:sz w:val="24"/>
              </w:rPr>
              <w:t>相同性</w:t>
            </w:r>
          </w:p>
        </w:tc>
        <w:tc>
          <w:tcPr>
            <w:tcW w:w="760" w:type="dxa"/>
            <w:vMerge w:val="restart"/>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rFonts w:eastAsia="黑体"/>
                <w:color w:val="000000"/>
                <w:kern w:val="0"/>
                <w:sz w:val="24"/>
              </w:rPr>
            </w:pPr>
            <w:r>
              <w:rPr>
                <w:rFonts w:eastAsia="黑体"/>
                <w:color w:val="000000"/>
                <w:kern w:val="0"/>
                <w:sz w:val="24"/>
              </w:rPr>
              <w:t>差异性</w:t>
            </w:r>
          </w:p>
        </w:tc>
        <w:tc>
          <w:tcPr>
            <w:tcW w:w="1278" w:type="dxa"/>
            <w:vMerge w:val="restart"/>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rFonts w:eastAsia="黑体"/>
                <w:color w:val="000000"/>
                <w:kern w:val="0"/>
                <w:sz w:val="24"/>
              </w:rPr>
            </w:pPr>
            <w:r>
              <w:rPr>
                <w:rFonts w:eastAsia="黑体"/>
                <w:color w:val="000000"/>
                <w:kern w:val="0"/>
                <w:sz w:val="24"/>
              </w:rPr>
              <w:t>支持性资料概述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3" w:hRule="atLeast"/>
          <w:jc w:val="center"/>
        </w:trPr>
        <w:tc>
          <w:tcPr>
            <w:tcW w:w="1901" w:type="dxa"/>
            <w:gridSpan w:val="2"/>
            <w:vMerge w:val="continue"/>
            <w:tcBorders>
              <w:top w:val="single" w:color="000000" w:sz="8" w:space="0"/>
              <w:left w:val="single" w:color="000000" w:sz="8" w:space="0"/>
              <w:bottom w:val="single" w:color="000000" w:sz="8" w:space="0"/>
              <w:right w:val="single" w:color="000000" w:sz="8" w:space="0"/>
            </w:tcBorders>
            <w:vAlign w:val="center"/>
          </w:tcPr>
          <w:p>
            <w:pPr>
              <w:spacing w:line="520" w:lineRule="atLeast"/>
            </w:pPr>
          </w:p>
        </w:tc>
        <w:tc>
          <w:tcPr>
            <w:tcW w:w="2238" w:type="dxa"/>
            <w:vMerge w:val="continue"/>
            <w:tcBorders>
              <w:top w:val="single" w:color="000000" w:sz="8" w:space="0"/>
              <w:left w:val="single" w:color="000000" w:sz="8" w:space="0"/>
              <w:bottom w:val="single" w:color="000000" w:sz="8" w:space="0"/>
              <w:right w:val="single" w:color="000000" w:sz="8" w:space="0"/>
            </w:tcBorders>
            <w:vAlign w:val="center"/>
          </w:tcPr>
          <w:p>
            <w:pPr>
              <w:spacing w:line="520" w:lineRule="atLeast"/>
            </w:pPr>
          </w:p>
        </w:tc>
        <w:tc>
          <w:tcPr>
            <w:tcW w:w="976" w:type="dxa"/>
            <w:vMerge w:val="continue"/>
            <w:tcBorders>
              <w:top w:val="single" w:color="000000" w:sz="8" w:space="0"/>
              <w:left w:val="single" w:color="000000" w:sz="8" w:space="0"/>
              <w:bottom w:val="single" w:color="000000" w:sz="8" w:space="0"/>
              <w:right w:val="single" w:color="000000" w:sz="8" w:space="0"/>
            </w:tcBorders>
            <w:vAlign w:val="center"/>
          </w:tcPr>
          <w:p>
            <w:pPr>
              <w:spacing w:line="520" w:lineRule="atLeast"/>
            </w:pPr>
          </w:p>
        </w:tc>
        <w:tc>
          <w:tcPr>
            <w:tcW w:w="697" w:type="dxa"/>
            <w:vMerge w:val="continue"/>
            <w:tcBorders>
              <w:top w:val="single" w:color="000000" w:sz="8" w:space="0"/>
              <w:left w:val="single" w:color="000000" w:sz="8" w:space="0"/>
              <w:bottom w:val="single" w:color="000000" w:sz="8" w:space="0"/>
              <w:right w:val="single" w:color="000000" w:sz="8" w:space="0"/>
            </w:tcBorders>
            <w:vAlign w:val="center"/>
          </w:tcPr>
          <w:p>
            <w:pPr>
              <w:spacing w:line="520" w:lineRule="atLeast"/>
            </w:pPr>
          </w:p>
        </w:tc>
        <w:tc>
          <w:tcPr>
            <w:tcW w:w="780" w:type="dxa"/>
            <w:vMerge w:val="continue"/>
            <w:tcBorders>
              <w:top w:val="single" w:color="000000" w:sz="8" w:space="0"/>
              <w:left w:val="single" w:color="000000" w:sz="8" w:space="0"/>
              <w:bottom w:val="single" w:color="000000" w:sz="8" w:space="0"/>
              <w:right w:val="single" w:color="000000" w:sz="8" w:space="0"/>
            </w:tcBorders>
            <w:vAlign w:val="center"/>
          </w:tcPr>
          <w:p>
            <w:pPr>
              <w:spacing w:line="520" w:lineRule="atLeast"/>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pPr>
              <w:spacing w:line="520" w:lineRule="atLeast"/>
            </w:pPr>
          </w:p>
        </w:tc>
        <w:tc>
          <w:tcPr>
            <w:tcW w:w="1278" w:type="dxa"/>
            <w:vMerge w:val="continue"/>
            <w:tcBorders>
              <w:top w:val="single" w:color="000000" w:sz="8" w:space="0"/>
              <w:left w:val="single" w:color="000000" w:sz="8" w:space="0"/>
              <w:bottom w:val="single" w:color="000000" w:sz="8" w:space="0"/>
              <w:right w:val="single" w:color="000000" w:sz="8" w:space="0"/>
            </w:tcBorders>
            <w:vAlign w:val="center"/>
          </w:tcPr>
          <w:p>
            <w:pPr>
              <w:spacing w:line="520" w:lineRule="atLeast"/>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270" w:type="dxa"/>
            <w:vMerge w:val="restart"/>
            <w:tcBorders>
              <w:top w:val="nil"/>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sz w:val="24"/>
              </w:rPr>
            </w:pPr>
            <w:r>
              <w:rPr>
                <w:color w:val="000000"/>
                <w:kern w:val="0"/>
                <w:sz w:val="24"/>
              </w:rPr>
              <w:t>性能要求</w:t>
            </w:r>
          </w:p>
        </w:tc>
        <w:tc>
          <w:tcPr>
            <w:tcW w:w="631"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kern w:val="0"/>
                <w:sz w:val="24"/>
              </w:rPr>
            </w:pPr>
            <w:r>
              <w:rPr>
                <w:color w:val="000000"/>
                <w:kern w:val="0"/>
                <w:sz w:val="24"/>
              </w:rPr>
              <w:t>4.1</w:t>
            </w:r>
          </w:p>
        </w:tc>
        <w:tc>
          <w:tcPr>
            <w:tcW w:w="2238"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sz w:val="24"/>
              </w:rPr>
            </w:pPr>
            <w:r>
              <w:rPr>
                <w:color w:val="000000"/>
                <w:kern w:val="0"/>
                <w:sz w:val="24"/>
              </w:rPr>
              <w:t>功能参数</w:t>
            </w:r>
            <w:r>
              <w:rPr>
                <w:sz w:val="24"/>
                <w:vertAlign w:val="superscript"/>
              </w:rPr>
              <w:t>a</w:t>
            </w:r>
          </w:p>
        </w:tc>
        <w:tc>
          <w:tcPr>
            <w:tcW w:w="976"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697"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8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6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1278"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5" w:hRule="atLeast"/>
          <w:jc w:val="center"/>
        </w:trPr>
        <w:tc>
          <w:tcPr>
            <w:tcW w:w="1270" w:type="dxa"/>
            <w:vMerge w:val="continue"/>
            <w:tcBorders>
              <w:top w:val="nil"/>
              <w:left w:val="single" w:color="000000" w:sz="8" w:space="0"/>
              <w:bottom w:val="single" w:color="000000" w:sz="8" w:space="0"/>
              <w:right w:val="single" w:color="000000" w:sz="8" w:space="0"/>
            </w:tcBorders>
            <w:vAlign w:val="center"/>
          </w:tcPr>
          <w:p>
            <w:pPr>
              <w:spacing w:line="520" w:lineRule="atLeast"/>
            </w:pPr>
          </w:p>
        </w:tc>
        <w:tc>
          <w:tcPr>
            <w:tcW w:w="631"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kern w:val="0"/>
                <w:sz w:val="24"/>
              </w:rPr>
            </w:pPr>
            <w:r>
              <w:rPr>
                <w:color w:val="000000"/>
                <w:kern w:val="0"/>
                <w:sz w:val="24"/>
              </w:rPr>
              <w:t>4.2</w:t>
            </w:r>
          </w:p>
        </w:tc>
        <w:tc>
          <w:tcPr>
            <w:tcW w:w="2238"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sz w:val="24"/>
              </w:rPr>
            </w:pPr>
            <w:r>
              <w:rPr>
                <w:rFonts w:hint="eastAsia"/>
                <w:color w:val="000000"/>
                <w:kern w:val="0"/>
                <w:sz w:val="24"/>
              </w:rPr>
              <w:t>性</w:t>
            </w:r>
            <w:r>
              <w:rPr>
                <w:color w:val="000000"/>
                <w:kern w:val="0"/>
                <w:sz w:val="24"/>
              </w:rPr>
              <w:t>能参数</w:t>
            </w:r>
            <w:r>
              <w:rPr>
                <w:sz w:val="24"/>
                <w:vertAlign w:val="superscript"/>
              </w:rPr>
              <w:t>b</w:t>
            </w:r>
          </w:p>
        </w:tc>
        <w:tc>
          <w:tcPr>
            <w:tcW w:w="976"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697"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8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6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1278"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9" w:hRule="atLeast"/>
          <w:jc w:val="center"/>
        </w:trPr>
        <w:tc>
          <w:tcPr>
            <w:tcW w:w="1270" w:type="dxa"/>
            <w:vMerge w:val="continue"/>
            <w:tcBorders>
              <w:top w:val="nil"/>
              <w:left w:val="single" w:color="000000" w:sz="8" w:space="0"/>
              <w:bottom w:val="single" w:color="000000" w:sz="8" w:space="0"/>
              <w:right w:val="single" w:color="000000" w:sz="8" w:space="0"/>
            </w:tcBorders>
            <w:vAlign w:val="center"/>
          </w:tcPr>
          <w:p>
            <w:pPr>
              <w:spacing w:line="520" w:lineRule="atLeast"/>
            </w:pPr>
          </w:p>
        </w:tc>
        <w:tc>
          <w:tcPr>
            <w:tcW w:w="631"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kern w:val="0"/>
                <w:sz w:val="24"/>
              </w:rPr>
            </w:pPr>
            <w:r>
              <w:rPr>
                <w:color w:val="000000"/>
                <w:kern w:val="0"/>
                <w:sz w:val="24"/>
              </w:rPr>
              <w:t>4.3</w:t>
            </w:r>
          </w:p>
        </w:tc>
        <w:tc>
          <w:tcPr>
            <w:tcW w:w="2238"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kern w:val="0"/>
                <w:sz w:val="24"/>
              </w:rPr>
            </w:pPr>
            <w:r>
              <w:rPr>
                <w:sz w:val="24"/>
              </w:rPr>
              <w:t>反应模式及用时</w:t>
            </w:r>
          </w:p>
        </w:tc>
        <w:tc>
          <w:tcPr>
            <w:tcW w:w="976"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697"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8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6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1278"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5" w:hRule="atLeast"/>
          <w:jc w:val="center"/>
        </w:trPr>
        <w:tc>
          <w:tcPr>
            <w:tcW w:w="1270" w:type="dxa"/>
            <w:vMerge w:val="continue"/>
            <w:tcBorders>
              <w:top w:val="nil"/>
              <w:left w:val="single" w:color="000000" w:sz="8" w:space="0"/>
              <w:bottom w:val="single" w:color="000000" w:sz="8" w:space="0"/>
              <w:right w:val="single" w:color="000000" w:sz="8" w:space="0"/>
            </w:tcBorders>
            <w:vAlign w:val="center"/>
          </w:tcPr>
          <w:p>
            <w:pPr>
              <w:spacing w:line="520" w:lineRule="atLeast"/>
            </w:pPr>
          </w:p>
        </w:tc>
        <w:tc>
          <w:tcPr>
            <w:tcW w:w="631"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kern w:val="0"/>
                <w:sz w:val="24"/>
              </w:rPr>
            </w:pPr>
          </w:p>
        </w:tc>
        <w:tc>
          <w:tcPr>
            <w:tcW w:w="2238"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sz w:val="24"/>
              </w:rPr>
            </w:pPr>
            <w:r>
              <w:rPr>
                <w:rFonts w:hint="eastAsia"/>
                <w:color w:val="000000"/>
                <w:kern w:val="0"/>
                <w:sz w:val="24"/>
              </w:rPr>
              <w:t>其他需要对比的项目</w:t>
            </w:r>
          </w:p>
        </w:tc>
        <w:tc>
          <w:tcPr>
            <w:tcW w:w="976"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697"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8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6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1278"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r>
    </w:tbl>
    <w:p>
      <w:pPr>
        <w:autoSpaceDE w:val="0"/>
        <w:autoSpaceDN w:val="0"/>
        <w:adjustRightInd w:val="0"/>
        <w:spacing w:line="520" w:lineRule="atLeast"/>
        <w:ind w:firstLine="420" w:firstLineChars="200"/>
        <w:rPr>
          <w:rFonts w:eastAsia="仿宋_GB2312"/>
          <w:color w:val="000000"/>
          <w:szCs w:val="32"/>
        </w:rPr>
      </w:pPr>
      <w:r>
        <w:rPr>
          <w:rFonts w:eastAsia="仿宋_GB2312"/>
          <w:color w:val="000000"/>
          <w:szCs w:val="32"/>
        </w:rPr>
        <w:t>a功能参数应包括不同模块的具体参数比较。</w:t>
      </w:r>
    </w:p>
    <w:p>
      <w:pPr>
        <w:autoSpaceDE w:val="0"/>
        <w:autoSpaceDN w:val="0"/>
        <w:adjustRightInd w:val="0"/>
        <w:spacing w:line="520" w:lineRule="atLeast"/>
        <w:ind w:firstLine="420" w:firstLineChars="200"/>
        <w:rPr>
          <w:rFonts w:eastAsia="仿宋_GB2312"/>
          <w:color w:val="000000"/>
          <w:szCs w:val="32"/>
        </w:rPr>
      </w:pPr>
      <w:r>
        <w:rPr>
          <w:rFonts w:eastAsia="仿宋_GB2312"/>
          <w:color w:val="000000"/>
          <w:szCs w:val="32"/>
        </w:rPr>
        <w:t>b性能参数应包括</w:t>
      </w:r>
      <w:r>
        <w:rPr>
          <w:rFonts w:hint="eastAsia" w:eastAsia="仿宋_GB2312"/>
          <w:color w:val="000000"/>
          <w:szCs w:val="32"/>
        </w:rPr>
        <w:t>：微反应单元有效数量、微反应单元体积、微反应单元均一性、</w:t>
      </w:r>
      <w:r>
        <w:rPr>
          <w:rFonts w:hint="eastAsia" w:eastAsia="仿宋_GB2312"/>
          <w:color w:val="000000"/>
          <w:szCs w:val="32"/>
          <w:highlight w:val="none"/>
        </w:rPr>
        <w:t>阳性</w:t>
      </w:r>
      <w:r>
        <w:rPr>
          <w:rFonts w:hint="eastAsia" w:eastAsia="仿宋_GB2312"/>
          <w:color w:val="000000"/>
          <w:szCs w:val="32"/>
        </w:rPr>
        <w:t>微反应单元</w:t>
      </w:r>
      <w:r>
        <w:rPr>
          <w:rFonts w:hint="eastAsia" w:eastAsia="仿宋_GB2312"/>
          <w:color w:val="000000"/>
          <w:szCs w:val="32"/>
          <w:highlight w:val="none"/>
        </w:rPr>
        <w:t>分布</w:t>
      </w:r>
      <w:r>
        <w:rPr>
          <w:rFonts w:hint="eastAsia" w:eastAsia="仿宋_GB2312"/>
          <w:color w:val="000000"/>
          <w:szCs w:val="32"/>
        </w:rPr>
        <w:t>；温度准确性、温度均匀性、升/降温速度、控温精度；荧光通道的配置、荧光强度重复性、荧光干扰、荧光线性；</w:t>
      </w:r>
      <w:r>
        <w:rPr>
          <w:rFonts w:eastAsia="仿宋_GB2312"/>
          <w:color w:val="000000"/>
          <w:szCs w:val="32"/>
        </w:rPr>
        <w:t>检测性能</w:t>
      </w:r>
      <w:r>
        <w:rPr>
          <w:rFonts w:hint="eastAsia" w:eastAsia="仿宋_GB2312"/>
          <w:color w:val="000000"/>
          <w:szCs w:val="32"/>
        </w:rPr>
        <w:t>，如样本检测的准确性、重复性、线性范围等</w:t>
      </w:r>
      <w:r>
        <w:rPr>
          <w:rFonts w:eastAsia="仿宋_GB2312"/>
          <w:color w:val="000000"/>
          <w:szCs w:val="32"/>
        </w:rPr>
        <w:t>（包括</w:t>
      </w:r>
      <w:r>
        <w:rPr>
          <w:rFonts w:hint="eastAsia" w:eastAsia="仿宋_GB2312"/>
          <w:color w:val="000000"/>
          <w:szCs w:val="32"/>
        </w:rPr>
        <w:t>不同</w:t>
      </w:r>
      <w:r>
        <w:rPr>
          <w:rFonts w:eastAsia="仿宋_GB2312"/>
          <w:color w:val="000000"/>
          <w:szCs w:val="32"/>
        </w:rPr>
        <w:t>样本类型，变异类型，检测核酸样本类型的比较）。</w:t>
      </w:r>
    </w:p>
    <w:p>
      <w:pPr>
        <w:widowControl/>
        <w:spacing w:before="0" w:beforeAutospacing="0" w:after="0" w:line="520" w:lineRule="atLeast"/>
        <w:ind w:left="0" w:leftChars="0" w:firstLine="640" w:firstLineChars="200"/>
        <w:jc w:val="both"/>
        <w:rPr>
          <w:rFonts w:ascii="Times New Roman" w:hAnsi="Times New Roman" w:eastAsia="仿宋_GB2312" w:cs="Times New Roman"/>
          <w:bCs w:val="0"/>
          <w:color w:val="000000"/>
          <w:kern w:val="2"/>
          <w:sz w:val="32"/>
          <w:szCs w:val="32"/>
          <w:lang w:val="en-US" w:eastAsia="zh-CN" w:bidi="ar-SA"/>
        </w:rPr>
      </w:pPr>
    </w:p>
    <w:p>
      <w:pPr>
        <w:widowControl/>
        <w:spacing w:before="0" w:beforeAutospacing="0" w:after="0" w:line="520" w:lineRule="atLeast"/>
        <w:ind w:left="0" w:leftChars="0" w:firstLine="640" w:firstLineChars="200"/>
        <w:jc w:val="both"/>
        <w:rPr>
          <w:rFonts w:ascii="Times New Roman" w:hAnsi="Times New Roman" w:eastAsia="仿宋_GB2312" w:cs="Times New Roman"/>
          <w:bCs w:val="0"/>
          <w:color w:val="000000"/>
          <w:kern w:val="2"/>
          <w:sz w:val="32"/>
          <w:szCs w:val="32"/>
          <w:lang w:val="en-US" w:eastAsia="zh-CN" w:bidi="ar-SA"/>
        </w:rPr>
      </w:pPr>
      <w:r>
        <w:rPr>
          <w:rFonts w:ascii="Times New Roman" w:hAnsi="Times New Roman" w:eastAsia="仿宋_GB2312" w:cs="Times New Roman"/>
          <w:bCs w:val="0"/>
          <w:color w:val="000000"/>
          <w:kern w:val="2"/>
          <w:sz w:val="32"/>
          <w:szCs w:val="32"/>
          <w:lang w:val="en-US" w:eastAsia="zh-CN" w:bidi="ar-SA"/>
        </w:rPr>
        <w:t>5.软件核心功能及算法</w:t>
      </w:r>
    </w:p>
    <w:tbl>
      <w:tblPr>
        <w:tblStyle w:val="10"/>
        <w:tblW w:w="863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090"/>
        <w:gridCol w:w="891"/>
        <w:gridCol w:w="2158"/>
        <w:gridCol w:w="976"/>
        <w:gridCol w:w="707"/>
        <w:gridCol w:w="850"/>
        <w:gridCol w:w="720"/>
        <w:gridCol w:w="12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3" w:hRule="atLeast"/>
          <w:jc w:val="center"/>
        </w:trPr>
        <w:tc>
          <w:tcPr>
            <w:tcW w:w="1981" w:type="dxa"/>
            <w:gridSpan w:val="2"/>
            <w:vMerge w:val="restart"/>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rFonts w:eastAsia="黑体"/>
                <w:color w:val="000000"/>
                <w:kern w:val="0"/>
                <w:sz w:val="24"/>
              </w:rPr>
            </w:pPr>
            <w:r>
              <w:rPr>
                <w:rFonts w:eastAsia="黑体"/>
                <w:color w:val="000000"/>
                <w:kern w:val="0"/>
                <w:sz w:val="24"/>
              </w:rPr>
              <w:t>序号</w:t>
            </w:r>
          </w:p>
        </w:tc>
        <w:tc>
          <w:tcPr>
            <w:tcW w:w="2158" w:type="dxa"/>
            <w:vMerge w:val="restart"/>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rFonts w:eastAsia="黑体"/>
                <w:color w:val="000000"/>
                <w:kern w:val="0"/>
                <w:sz w:val="24"/>
              </w:rPr>
            </w:pPr>
            <w:r>
              <w:rPr>
                <w:rFonts w:eastAsia="黑体"/>
                <w:color w:val="000000"/>
                <w:kern w:val="0"/>
                <w:sz w:val="24"/>
              </w:rPr>
              <w:t>对比项目</w:t>
            </w:r>
          </w:p>
        </w:tc>
        <w:tc>
          <w:tcPr>
            <w:tcW w:w="976" w:type="dxa"/>
            <w:vMerge w:val="restart"/>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rFonts w:eastAsia="黑体"/>
                <w:color w:val="000000"/>
                <w:kern w:val="0"/>
                <w:sz w:val="24"/>
              </w:rPr>
            </w:pPr>
            <w:r>
              <w:rPr>
                <w:rFonts w:eastAsia="黑体"/>
                <w:color w:val="000000"/>
                <w:kern w:val="0"/>
                <w:sz w:val="24"/>
              </w:rPr>
              <w:t>同品种产品</w:t>
            </w:r>
          </w:p>
        </w:tc>
        <w:tc>
          <w:tcPr>
            <w:tcW w:w="707" w:type="dxa"/>
            <w:vMerge w:val="restart"/>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rFonts w:eastAsia="黑体"/>
                <w:color w:val="000000"/>
                <w:kern w:val="0"/>
                <w:sz w:val="24"/>
              </w:rPr>
            </w:pPr>
            <w:r>
              <w:rPr>
                <w:rFonts w:eastAsia="黑体"/>
                <w:color w:val="000000"/>
                <w:kern w:val="0"/>
                <w:sz w:val="24"/>
              </w:rPr>
              <w:t>申报产品</w:t>
            </w:r>
          </w:p>
        </w:tc>
        <w:tc>
          <w:tcPr>
            <w:tcW w:w="850" w:type="dxa"/>
            <w:vMerge w:val="restart"/>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rFonts w:eastAsia="黑体"/>
                <w:color w:val="000000"/>
                <w:kern w:val="0"/>
                <w:sz w:val="24"/>
              </w:rPr>
            </w:pPr>
            <w:r>
              <w:rPr>
                <w:rFonts w:eastAsia="黑体"/>
                <w:color w:val="000000"/>
                <w:kern w:val="0"/>
                <w:sz w:val="24"/>
              </w:rPr>
              <w:t>相同性</w:t>
            </w:r>
          </w:p>
        </w:tc>
        <w:tc>
          <w:tcPr>
            <w:tcW w:w="720" w:type="dxa"/>
            <w:vMerge w:val="restart"/>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rFonts w:eastAsia="黑体"/>
                <w:color w:val="000000"/>
                <w:kern w:val="0"/>
                <w:sz w:val="24"/>
              </w:rPr>
            </w:pPr>
            <w:r>
              <w:rPr>
                <w:rFonts w:eastAsia="黑体"/>
                <w:color w:val="000000"/>
                <w:kern w:val="0"/>
                <w:sz w:val="24"/>
              </w:rPr>
              <w:t>差异性</w:t>
            </w:r>
          </w:p>
        </w:tc>
        <w:tc>
          <w:tcPr>
            <w:tcW w:w="1238" w:type="dxa"/>
            <w:vMerge w:val="restart"/>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rFonts w:eastAsia="黑体"/>
                <w:color w:val="000000"/>
                <w:kern w:val="0"/>
                <w:sz w:val="24"/>
              </w:rPr>
            </w:pPr>
            <w:r>
              <w:rPr>
                <w:rFonts w:eastAsia="黑体"/>
                <w:color w:val="000000"/>
                <w:kern w:val="0"/>
                <w:sz w:val="24"/>
              </w:rPr>
              <w:t>支持性资料概述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3" w:hRule="atLeast"/>
          <w:jc w:val="center"/>
        </w:trPr>
        <w:tc>
          <w:tcPr>
            <w:tcW w:w="1981" w:type="dxa"/>
            <w:gridSpan w:val="2"/>
            <w:vMerge w:val="continue"/>
            <w:tcBorders>
              <w:top w:val="single" w:color="000000" w:sz="8" w:space="0"/>
              <w:left w:val="single" w:color="000000" w:sz="8" w:space="0"/>
              <w:bottom w:val="single" w:color="000000" w:sz="8" w:space="0"/>
              <w:right w:val="single" w:color="000000" w:sz="8" w:space="0"/>
            </w:tcBorders>
            <w:vAlign w:val="center"/>
          </w:tcPr>
          <w:p>
            <w:pPr>
              <w:spacing w:line="520" w:lineRule="atLeast"/>
            </w:pPr>
          </w:p>
        </w:tc>
        <w:tc>
          <w:tcPr>
            <w:tcW w:w="2158" w:type="dxa"/>
            <w:vMerge w:val="continue"/>
            <w:tcBorders>
              <w:top w:val="single" w:color="000000" w:sz="8" w:space="0"/>
              <w:left w:val="single" w:color="000000" w:sz="8" w:space="0"/>
              <w:bottom w:val="single" w:color="000000" w:sz="8" w:space="0"/>
              <w:right w:val="single" w:color="000000" w:sz="8" w:space="0"/>
            </w:tcBorders>
            <w:vAlign w:val="center"/>
          </w:tcPr>
          <w:p>
            <w:pPr>
              <w:spacing w:line="520" w:lineRule="atLeast"/>
            </w:pPr>
          </w:p>
        </w:tc>
        <w:tc>
          <w:tcPr>
            <w:tcW w:w="976" w:type="dxa"/>
            <w:vMerge w:val="continue"/>
            <w:tcBorders>
              <w:top w:val="single" w:color="000000" w:sz="8" w:space="0"/>
              <w:left w:val="single" w:color="000000" w:sz="8" w:space="0"/>
              <w:bottom w:val="single" w:color="000000" w:sz="8" w:space="0"/>
              <w:right w:val="single" w:color="000000" w:sz="8" w:space="0"/>
            </w:tcBorders>
            <w:vAlign w:val="center"/>
          </w:tcPr>
          <w:p>
            <w:pPr>
              <w:spacing w:line="520" w:lineRule="atLeast"/>
            </w:pPr>
          </w:p>
        </w:tc>
        <w:tc>
          <w:tcPr>
            <w:tcW w:w="707" w:type="dxa"/>
            <w:vMerge w:val="continue"/>
            <w:tcBorders>
              <w:top w:val="single" w:color="000000" w:sz="8" w:space="0"/>
              <w:left w:val="single" w:color="000000" w:sz="8" w:space="0"/>
              <w:bottom w:val="single" w:color="000000" w:sz="8" w:space="0"/>
              <w:right w:val="single" w:color="000000" w:sz="8" w:space="0"/>
            </w:tcBorders>
            <w:vAlign w:val="center"/>
          </w:tcPr>
          <w:p>
            <w:pPr>
              <w:spacing w:line="520" w:lineRule="atLeast"/>
            </w:pPr>
          </w:p>
        </w:tc>
        <w:tc>
          <w:tcPr>
            <w:tcW w:w="850" w:type="dxa"/>
            <w:vMerge w:val="continue"/>
            <w:tcBorders>
              <w:top w:val="single" w:color="000000" w:sz="8" w:space="0"/>
              <w:left w:val="single" w:color="000000" w:sz="8" w:space="0"/>
              <w:bottom w:val="single" w:color="000000" w:sz="8" w:space="0"/>
              <w:right w:val="single" w:color="000000" w:sz="8" w:space="0"/>
            </w:tcBorders>
            <w:vAlign w:val="center"/>
          </w:tcPr>
          <w:p>
            <w:pPr>
              <w:spacing w:line="520" w:lineRule="atLeast"/>
            </w:pPr>
          </w:p>
        </w:tc>
        <w:tc>
          <w:tcPr>
            <w:tcW w:w="720" w:type="dxa"/>
            <w:vMerge w:val="continue"/>
            <w:tcBorders>
              <w:top w:val="single" w:color="000000" w:sz="8" w:space="0"/>
              <w:left w:val="single" w:color="000000" w:sz="8" w:space="0"/>
              <w:bottom w:val="single" w:color="000000" w:sz="8" w:space="0"/>
              <w:right w:val="single" w:color="000000" w:sz="8" w:space="0"/>
            </w:tcBorders>
            <w:vAlign w:val="center"/>
          </w:tcPr>
          <w:p>
            <w:pPr>
              <w:spacing w:line="520" w:lineRule="atLeast"/>
            </w:pPr>
          </w:p>
        </w:tc>
        <w:tc>
          <w:tcPr>
            <w:tcW w:w="1238" w:type="dxa"/>
            <w:vMerge w:val="continue"/>
            <w:tcBorders>
              <w:top w:val="single" w:color="000000" w:sz="8" w:space="0"/>
              <w:left w:val="single" w:color="000000" w:sz="8" w:space="0"/>
              <w:bottom w:val="single" w:color="000000" w:sz="8" w:space="0"/>
              <w:right w:val="single" w:color="000000" w:sz="8" w:space="0"/>
            </w:tcBorders>
            <w:vAlign w:val="center"/>
          </w:tcPr>
          <w:p>
            <w:pPr>
              <w:spacing w:line="520" w:lineRule="atLeast"/>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2" w:hRule="atLeast"/>
          <w:jc w:val="center"/>
        </w:trPr>
        <w:tc>
          <w:tcPr>
            <w:tcW w:w="1090" w:type="dxa"/>
            <w:vMerge w:val="restart"/>
            <w:tcBorders>
              <w:top w:val="nil"/>
              <w:left w:val="single" w:color="000000" w:sz="8" w:space="0"/>
              <w:bottom w:val="single" w:color="000000" w:sz="8" w:space="0"/>
              <w:right w:val="single" w:color="000000" w:sz="8" w:space="0"/>
            </w:tcBorders>
            <w:vAlign w:val="center"/>
          </w:tcPr>
          <w:p>
            <w:pPr>
              <w:widowControl/>
              <w:spacing w:before="0" w:beforeAutospacing="0" w:after="0" w:line="520" w:lineRule="atLeast"/>
              <w:ind w:left="0" w:leftChars="0" w:firstLine="0" w:firstLineChars="0"/>
              <w:jc w:val="center"/>
              <w:rPr>
                <w:rFonts w:ascii="Times New Roman" w:hAnsi="Times New Roman" w:eastAsia="宋体" w:cs="Times New Roman"/>
                <w:bCs/>
                <w:color w:val="000000"/>
                <w:kern w:val="2"/>
                <w:sz w:val="24"/>
                <w:szCs w:val="24"/>
                <w:lang w:val="en-US" w:eastAsia="zh-CN" w:bidi="ar-SA"/>
              </w:rPr>
            </w:pPr>
            <w:r>
              <w:rPr>
                <w:rFonts w:ascii="Times New Roman" w:hAnsi="Times New Roman" w:eastAsia="宋体" w:cs="Times New Roman"/>
                <w:bCs w:val="0"/>
                <w:color w:val="000000"/>
                <w:kern w:val="0"/>
                <w:sz w:val="24"/>
                <w:szCs w:val="24"/>
                <w:lang w:val="en-US" w:eastAsia="zh-CN" w:bidi="ar-SA"/>
              </w:rPr>
              <w:t>软件核心功能及算法</w:t>
            </w:r>
          </w:p>
        </w:tc>
        <w:tc>
          <w:tcPr>
            <w:tcW w:w="891"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kern w:val="0"/>
                <w:sz w:val="24"/>
              </w:rPr>
            </w:pPr>
            <w:r>
              <w:rPr>
                <w:color w:val="000000"/>
                <w:kern w:val="0"/>
                <w:sz w:val="24"/>
              </w:rPr>
              <w:t>5.1</w:t>
            </w:r>
          </w:p>
        </w:tc>
        <w:tc>
          <w:tcPr>
            <w:tcW w:w="2158"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kern w:val="0"/>
                <w:sz w:val="24"/>
              </w:rPr>
            </w:pPr>
            <w:r>
              <w:rPr>
                <w:color w:val="000000"/>
                <w:kern w:val="0"/>
                <w:sz w:val="24"/>
              </w:rPr>
              <w:t>运行控制</w:t>
            </w:r>
          </w:p>
        </w:tc>
        <w:tc>
          <w:tcPr>
            <w:tcW w:w="976"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07"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85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20"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sz w:val="24"/>
              </w:rPr>
            </w:pPr>
          </w:p>
        </w:tc>
        <w:tc>
          <w:tcPr>
            <w:tcW w:w="1238"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2" w:hRule="atLeast"/>
          <w:jc w:val="center"/>
        </w:trPr>
        <w:tc>
          <w:tcPr>
            <w:tcW w:w="1090" w:type="dxa"/>
            <w:vMerge w:val="continue"/>
            <w:tcBorders>
              <w:top w:val="nil"/>
              <w:left w:val="single" w:color="000000" w:sz="8" w:space="0"/>
              <w:bottom w:val="single" w:color="000000" w:sz="8" w:space="0"/>
              <w:right w:val="single" w:color="000000" w:sz="8" w:space="0"/>
            </w:tcBorders>
            <w:vAlign w:val="center"/>
          </w:tcPr>
          <w:p>
            <w:pPr>
              <w:spacing w:line="520" w:lineRule="atLeast"/>
            </w:pPr>
          </w:p>
        </w:tc>
        <w:tc>
          <w:tcPr>
            <w:tcW w:w="891"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kern w:val="0"/>
                <w:sz w:val="24"/>
              </w:rPr>
            </w:pPr>
            <w:r>
              <w:rPr>
                <w:color w:val="000000"/>
                <w:kern w:val="0"/>
                <w:sz w:val="24"/>
              </w:rPr>
              <w:t>5.2</w:t>
            </w:r>
          </w:p>
        </w:tc>
        <w:tc>
          <w:tcPr>
            <w:tcW w:w="2158"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kern w:val="0"/>
                <w:sz w:val="24"/>
              </w:rPr>
            </w:pPr>
            <w:r>
              <w:rPr>
                <w:color w:val="000000"/>
                <w:kern w:val="0"/>
                <w:sz w:val="24"/>
              </w:rPr>
              <w:t>状态监控</w:t>
            </w:r>
          </w:p>
        </w:tc>
        <w:tc>
          <w:tcPr>
            <w:tcW w:w="976"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07"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85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20"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sz w:val="24"/>
              </w:rPr>
            </w:pPr>
          </w:p>
        </w:tc>
        <w:tc>
          <w:tcPr>
            <w:tcW w:w="1238"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jc w:val="center"/>
        </w:trPr>
        <w:tc>
          <w:tcPr>
            <w:tcW w:w="1090" w:type="dxa"/>
            <w:vMerge w:val="continue"/>
            <w:tcBorders>
              <w:top w:val="nil"/>
              <w:left w:val="single" w:color="000000" w:sz="8" w:space="0"/>
              <w:bottom w:val="single" w:color="000000" w:sz="8" w:space="0"/>
              <w:right w:val="single" w:color="000000" w:sz="8" w:space="0"/>
            </w:tcBorders>
            <w:vAlign w:val="center"/>
          </w:tcPr>
          <w:p>
            <w:pPr>
              <w:spacing w:line="520" w:lineRule="atLeast"/>
            </w:pPr>
          </w:p>
        </w:tc>
        <w:tc>
          <w:tcPr>
            <w:tcW w:w="891"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kern w:val="0"/>
                <w:sz w:val="24"/>
              </w:rPr>
            </w:pPr>
            <w:r>
              <w:rPr>
                <w:color w:val="000000"/>
                <w:kern w:val="0"/>
                <w:sz w:val="24"/>
              </w:rPr>
              <w:t>5.3</w:t>
            </w:r>
          </w:p>
        </w:tc>
        <w:tc>
          <w:tcPr>
            <w:tcW w:w="2158"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kern w:val="0"/>
                <w:sz w:val="24"/>
              </w:rPr>
            </w:pPr>
            <w:r>
              <w:rPr>
                <w:rFonts w:hint="eastAsia"/>
                <w:color w:val="000000"/>
                <w:kern w:val="0"/>
                <w:sz w:val="24"/>
              </w:rPr>
              <w:t>数据处理</w:t>
            </w:r>
          </w:p>
        </w:tc>
        <w:tc>
          <w:tcPr>
            <w:tcW w:w="976"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07"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85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20"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sz w:val="24"/>
              </w:rPr>
            </w:pPr>
          </w:p>
        </w:tc>
        <w:tc>
          <w:tcPr>
            <w:tcW w:w="1238"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jc w:val="center"/>
        </w:trPr>
        <w:tc>
          <w:tcPr>
            <w:tcW w:w="1090" w:type="dxa"/>
            <w:vMerge w:val="continue"/>
            <w:tcBorders>
              <w:top w:val="nil"/>
              <w:left w:val="single" w:color="000000" w:sz="8" w:space="0"/>
              <w:bottom w:val="single" w:color="000000" w:sz="8" w:space="0"/>
              <w:right w:val="single" w:color="000000" w:sz="8" w:space="0"/>
            </w:tcBorders>
            <w:vAlign w:val="center"/>
          </w:tcPr>
          <w:p>
            <w:pPr>
              <w:spacing w:line="520" w:lineRule="atLeast"/>
            </w:pPr>
          </w:p>
        </w:tc>
        <w:tc>
          <w:tcPr>
            <w:tcW w:w="891"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kern w:val="0"/>
                <w:sz w:val="24"/>
              </w:rPr>
            </w:pPr>
            <w:r>
              <w:rPr>
                <w:color w:val="000000"/>
                <w:kern w:val="0"/>
                <w:sz w:val="24"/>
              </w:rPr>
              <w:t>5.4</w:t>
            </w:r>
          </w:p>
        </w:tc>
        <w:tc>
          <w:tcPr>
            <w:tcW w:w="2158"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kern w:val="0"/>
                <w:sz w:val="24"/>
              </w:rPr>
            </w:pPr>
            <w:r>
              <w:rPr>
                <w:color w:val="000000"/>
                <w:kern w:val="0"/>
                <w:sz w:val="24"/>
              </w:rPr>
              <w:t>数据质控</w:t>
            </w:r>
          </w:p>
        </w:tc>
        <w:tc>
          <w:tcPr>
            <w:tcW w:w="976"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07"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85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20"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sz w:val="24"/>
              </w:rPr>
            </w:pPr>
          </w:p>
        </w:tc>
        <w:tc>
          <w:tcPr>
            <w:tcW w:w="1238"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jc w:val="center"/>
        </w:trPr>
        <w:tc>
          <w:tcPr>
            <w:tcW w:w="1090" w:type="dxa"/>
            <w:vMerge w:val="continue"/>
            <w:tcBorders>
              <w:top w:val="nil"/>
              <w:left w:val="single" w:color="000000" w:sz="8" w:space="0"/>
              <w:bottom w:val="single" w:color="000000" w:sz="8" w:space="0"/>
              <w:right w:val="single" w:color="000000" w:sz="8" w:space="0"/>
            </w:tcBorders>
            <w:vAlign w:val="center"/>
          </w:tcPr>
          <w:p>
            <w:pPr>
              <w:spacing w:line="520" w:lineRule="atLeast"/>
            </w:pPr>
          </w:p>
        </w:tc>
        <w:tc>
          <w:tcPr>
            <w:tcW w:w="891"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kern w:val="0"/>
                <w:sz w:val="24"/>
              </w:rPr>
            </w:pPr>
            <w:r>
              <w:rPr>
                <w:color w:val="000000"/>
                <w:kern w:val="0"/>
                <w:sz w:val="24"/>
              </w:rPr>
              <w:t>5.5</w:t>
            </w:r>
          </w:p>
        </w:tc>
        <w:tc>
          <w:tcPr>
            <w:tcW w:w="2158"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pPr>
            <w:r>
              <w:rPr>
                <w:color w:val="000000"/>
                <w:kern w:val="0"/>
                <w:sz w:val="24"/>
              </w:rPr>
              <w:t>结果报告</w:t>
            </w:r>
          </w:p>
        </w:tc>
        <w:tc>
          <w:tcPr>
            <w:tcW w:w="976"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rPr>
                <w:rFonts w:ascii="Times New Roman" w:hAnsi="Times New Roman" w:eastAsia="宋体" w:cs="Times New Roman"/>
                <w:color w:val="000000"/>
                <w:kern w:val="2"/>
                <w:sz w:val="24"/>
                <w:szCs w:val="24"/>
                <w:lang w:val="en-US" w:eastAsia="zh-CN" w:bidi="ar-SA"/>
              </w:rPr>
            </w:pPr>
          </w:p>
        </w:tc>
        <w:tc>
          <w:tcPr>
            <w:tcW w:w="707"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85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20"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sz w:val="24"/>
              </w:rPr>
            </w:pPr>
          </w:p>
        </w:tc>
        <w:tc>
          <w:tcPr>
            <w:tcW w:w="1238"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jc w:val="center"/>
        </w:trPr>
        <w:tc>
          <w:tcPr>
            <w:tcW w:w="1090" w:type="dxa"/>
            <w:vMerge w:val="continue"/>
            <w:tcBorders>
              <w:top w:val="nil"/>
              <w:left w:val="single" w:color="000000" w:sz="8" w:space="0"/>
              <w:bottom w:val="single" w:color="000000" w:sz="8" w:space="0"/>
              <w:right w:val="single" w:color="000000" w:sz="8" w:space="0"/>
            </w:tcBorders>
            <w:vAlign w:val="center"/>
          </w:tcPr>
          <w:p>
            <w:pPr>
              <w:spacing w:line="520" w:lineRule="atLeast"/>
            </w:pPr>
          </w:p>
        </w:tc>
        <w:tc>
          <w:tcPr>
            <w:tcW w:w="891"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kern w:val="0"/>
                <w:sz w:val="24"/>
              </w:rPr>
            </w:pPr>
            <w:r>
              <w:rPr>
                <w:rFonts w:hint="eastAsia"/>
                <w:color w:val="000000"/>
                <w:kern w:val="0"/>
                <w:sz w:val="24"/>
              </w:rPr>
              <w:t>5</w:t>
            </w:r>
            <w:r>
              <w:rPr>
                <w:color w:val="000000"/>
                <w:kern w:val="0"/>
                <w:sz w:val="24"/>
              </w:rPr>
              <w:t>.6</w:t>
            </w:r>
          </w:p>
        </w:tc>
        <w:tc>
          <w:tcPr>
            <w:tcW w:w="2158"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0"/>
                <w:sz w:val="24"/>
                <w:szCs w:val="24"/>
                <w:lang w:val="en-US" w:eastAsia="zh-CN" w:bidi="ar-SA"/>
              </w:rPr>
              <w:t>其他需要对比的项目</w:t>
            </w:r>
          </w:p>
        </w:tc>
        <w:tc>
          <w:tcPr>
            <w:tcW w:w="976"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rPr>
                <w:rFonts w:ascii="Times New Roman" w:hAnsi="Times New Roman" w:eastAsia="宋体" w:cs="Times New Roman"/>
                <w:color w:val="000000"/>
                <w:kern w:val="2"/>
                <w:sz w:val="24"/>
                <w:szCs w:val="24"/>
                <w:lang w:val="en-US" w:eastAsia="zh-CN" w:bidi="ar-SA"/>
              </w:rPr>
            </w:pPr>
          </w:p>
        </w:tc>
        <w:tc>
          <w:tcPr>
            <w:tcW w:w="707"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85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20"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sz w:val="24"/>
              </w:rPr>
            </w:pPr>
          </w:p>
        </w:tc>
        <w:tc>
          <w:tcPr>
            <w:tcW w:w="1238"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sz w:val="24"/>
              </w:rPr>
            </w:pPr>
          </w:p>
        </w:tc>
      </w:tr>
    </w:tbl>
    <w:p>
      <w:pPr>
        <w:widowControl/>
        <w:spacing w:before="0" w:beforeAutospacing="0" w:after="0" w:line="520" w:lineRule="atLeast"/>
        <w:ind w:left="0" w:leftChars="0" w:firstLine="480" w:firstLineChars="200"/>
        <w:jc w:val="both"/>
        <w:rPr>
          <w:rFonts w:ascii="Times New Roman" w:hAnsi="Times New Roman" w:eastAsia="仿宋_GB2312" w:cs="Times New Roman"/>
          <w:bCs w:val="0"/>
          <w:color w:val="000000"/>
          <w:kern w:val="2"/>
          <w:sz w:val="32"/>
          <w:szCs w:val="32"/>
          <w:lang w:val="en-US" w:eastAsia="zh-CN" w:bidi="ar-SA"/>
        </w:rPr>
      </w:pPr>
      <w:r>
        <w:rPr>
          <w:rFonts w:ascii="Times New Roman" w:hAnsi="Times New Roman" w:eastAsia="宋体" w:cs="Times New Roman"/>
          <w:bCs/>
          <w:color w:val="000000"/>
          <w:kern w:val="2"/>
          <w:sz w:val="24"/>
          <w:szCs w:val="24"/>
          <w:lang w:val="en-US" w:eastAsia="zh-CN" w:bidi="ar-SA"/>
        </w:rPr>
        <w:t xml:space="preserve"> </w:t>
      </w:r>
    </w:p>
    <w:p>
      <w:pPr>
        <w:widowControl/>
        <w:spacing w:before="0" w:beforeAutospacing="0" w:after="0" w:line="520" w:lineRule="atLeast"/>
        <w:ind w:left="0" w:leftChars="0" w:firstLine="640" w:firstLineChars="200"/>
        <w:jc w:val="both"/>
        <w:rPr>
          <w:rFonts w:ascii="Times New Roman" w:hAnsi="Times New Roman" w:eastAsia="仿宋_GB2312" w:cs="Times New Roman"/>
          <w:bCs w:val="0"/>
          <w:color w:val="000000"/>
          <w:kern w:val="2"/>
          <w:sz w:val="32"/>
          <w:szCs w:val="32"/>
          <w:lang w:val="en-US" w:eastAsia="zh-CN" w:bidi="ar-SA"/>
        </w:rPr>
      </w:pPr>
      <w:r>
        <w:rPr>
          <w:rFonts w:ascii="Times New Roman" w:hAnsi="Times New Roman" w:eastAsia="仿宋_GB2312" w:cs="Times New Roman"/>
          <w:bCs w:val="0"/>
          <w:color w:val="000000"/>
          <w:kern w:val="2"/>
          <w:sz w:val="32"/>
          <w:szCs w:val="32"/>
          <w:lang w:val="en-US" w:eastAsia="zh-CN" w:bidi="ar-SA"/>
        </w:rPr>
        <w:t>6.配套要求</w:t>
      </w:r>
    </w:p>
    <w:tbl>
      <w:tblPr>
        <w:tblStyle w:val="10"/>
        <w:tblW w:w="863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80"/>
        <w:gridCol w:w="891"/>
        <w:gridCol w:w="2468"/>
        <w:gridCol w:w="976"/>
        <w:gridCol w:w="767"/>
        <w:gridCol w:w="750"/>
        <w:gridCol w:w="770"/>
        <w:gridCol w:w="122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3" w:hRule="atLeast"/>
          <w:jc w:val="center"/>
        </w:trPr>
        <w:tc>
          <w:tcPr>
            <w:tcW w:w="1671" w:type="dxa"/>
            <w:gridSpan w:val="2"/>
            <w:vMerge w:val="restart"/>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rFonts w:eastAsia="黑体"/>
                <w:color w:val="000000"/>
                <w:kern w:val="0"/>
                <w:sz w:val="24"/>
              </w:rPr>
            </w:pPr>
            <w:r>
              <w:rPr>
                <w:rFonts w:eastAsia="黑体"/>
                <w:color w:val="000000"/>
                <w:kern w:val="0"/>
                <w:sz w:val="24"/>
              </w:rPr>
              <w:t>序号</w:t>
            </w:r>
          </w:p>
        </w:tc>
        <w:tc>
          <w:tcPr>
            <w:tcW w:w="2468" w:type="dxa"/>
            <w:vMerge w:val="restart"/>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rFonts w:eastAsia="黑体"/>
                <w:color w:val="000000"/>
                <w:kern w:val="0"/>
                <w:sz w:val="24"/>
              </w:rPr>
            </w:pPr>
            <w:r>
              <w:rPr>
                <w:rFonts w:eastAsia="黑体"/>
                <w:color w:val="000000"/>
                <w:kern w:val="0"/>
                <w:sz w:val="24"/>
              </w:rPr>
              <w:t>对比项目</w:t>
            </w:r>
          </w:p>
        </w:tc>
        <w:tc>
          <w:tcPr>
            <w:tcW w:w="976" w:type="dxa"/>
            <w:vMerge w:val="restart"/>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rFonts w:eastAsia="黑体"/>
                <w:color w:val="000000"/>
                <w:kern w:val="0"/>
                <w:sz w:val="24"/>
              </w:rPr>
            </w:pPr>
            <w:r>
              <w:rPr>
                <w:rFonts w:eastAsia="黑体"/>
                <w:color w:val="000000"/>
                <w:kern w:val="0"/>
                <w:sz w:val="24"/>
              </w:rPr>
              <w:t>同品种产品</w:t>
            </w:r>
          </w:p>
        </w:tc>
        <w:tc>
          <w:tcPr>
            <w:tcW w:w="767" w:type="dxa"/>
            <w:vMerge w:val="restart"/>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rFonts w:eastAsia="黑体"/>
                <w:color w:val="000000"/>
                <w:kern w:val="0"/>
                <w:sz w:val="24"/>
              </w:rPr>
            </w:pPr>
            <w:r>
              <w:rPr>
                <w:rFonts w:eastAsia="黑体"/>
                <w:color w:val="000000"/>
                <w:kern w:val="0"/>
                <w:sz w:val="24"/>
              </w:rPr>
              <w:t>申报产品</w:t>
            </w:r>
          </w:p>
        </w:tc>
        <w:tc>
          <w:tcPr>
            <w:tcW w:w="750" w:type="dxa"/>
            <w:vMerge w:val="restart"/>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rFonts w:eastAsia="黑体"/>
                <w:color w:val="000000"/>
                <w:kern w:val="0"/>
                <w:sz w:val="24"/>
              </w:rPr>
            </w:pPr>
            <w:r>
              <w:rPr>
                <w:rFonts w:eastAsia="黑体"/>
                <w:color w:val="000000"/>
                <w:kern w:val="0"/>
                <w:sz w:val="24"/>
              </w:rPr>
              <w:t>相同性</w:t>
            </w:r>
          </w:p>
        </w:tc>
        <w:tc>
          <w:tcPr>
            <w:tcW w:w="770" w:type="dxa"/>
            <w:vMerge w:val="restart"/>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rFonts w:eastAsia="黑体"/>
                <w:color w:val="000000"/>
                <w:kern w:val="0"/>
                <w:sz w:val="24"/>
              </w:rPr>
            </w:pPr>
            <w:r>
              <w:rPr>
                <w:rFonts w:eastAsia="黑体"/>
                <w:color w:val="000000"/>
                <w:kern w:val="0"/>
                <w:sz w:val="24"/>
              </w:rPr>
              <w:t>差异性</w:t>
            </w:r>
          </w:p>
        </w:tc>
        <w:tc>
          <w:tcPr>
            <w:tcW w:w="1228" w:type="dxa"/>
            <w:vMerge w:val="restart"/>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rFonts w:eastAsia="黑体"/>
                <w:color w:val="000000"/>
                <w:kern w:val="0"/>
                <w:sz w:val="24"/>
              </w:rPr>
            </w:pPr>
            <w:r>
              <w:rPr>
                <w:rFonts w:eastAsia="黑体"/>
                <w:color w:val="000000"/>
                <w:kern w:val="0"/>
                <w:sz w:val="24"/>
              </w:rPr>
              <w:t>支持性资料概述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3" w:hRule="atLeast"/>
          <w:jc w:val="center"/>
        </w:trPr>
        <w:tc>
          <w:tcPr>
            <w:tcW w:w="1671" w:type="dxa"/>
            <w:gridSpan w:val="2"/>
            <w:vMerge w:val="continue"/>
            <w:tcBorders>
              <w:top w:val="single" w:color="000000" w:sz="8" w:space="0"/>
              <w:left w:val="single" w:color="000000" w:sz="8" w:space="0"/>
              <w:bottom w:val="single" w:color="000000" w:sz="8" w:space="0"/>
              <w:right w:val="single" w:color="000000" w:sz="8" w:space="0"/>
            </w:tcBorders>
            <w:vAlign w:val="center"/>
          </w:tcPr>
          <w:p>
            <w:pPr>
              <w:spacing w:line="520" w:lineRule="atLeast"/>
            </w:pPr>
          </w:p>
        </w:tc>
        <w:tc>
          <w:tcPr>
            <w:tcW w:w="2468" w:type="dxa"/>
            <w:vMerge w:val="continue"/>
            <w:tcBorders>
              <w:top w:val="single" w:color="000000" w:sz="8" w:space="0"/>
              <w:left w:val="single" w:color="000000" w:sz="8" w:space="0"/>
              <w:bottom w:val="single" w:color="000000" w:sz="8" w:space="0"/>
              <w:right w:val="single" w:color="000000" w:sz="8" w:space="0"/>
            </w:tcBorders>
            <w:vAlign w:val="center"/>
          </w:tcPr>
          <w:p>
            <w:pPr>
              <w:spacing w:line="520" w:lineRule="atLeast"/>
            </w:pPr>
          </w:p>
        </w:tc>
        <w:tc>
          <w:tcPr>
            <w:tcW w:w="976" w:type="dxa"/>
            <w:vMerge w:val="continue"/>
            <w:tcBorders>
              <w:top w:val="single" w:color="000000" w:sz="8" w:space="0"/>
              <w:left w:val="single" w:color="000000" w:sz="8" w:space="0"/>
              <w:bottom w:val="single" w:color="000000" w:sz="8" w:space="0"/>
              <w:right w:val="single" w:color="000000" w:sz="8" w:space="0"/>
            </w:tcBorders>
            <w:vAlign w:val="center"/>
          </w:tcPr>
          <w:p>
            <w:pPr>
              <w:spacing w:line="520" w:lineRule="atLeast"/>
            </w:pPr>
          </w:p>
        </w:tc>
        <w:tc>
          <w:tcPr>
            <w:tcW w:w="767" w:type="dxa"/>
            <w:vMerge w:val="continue"/>
            <w:tcBorders>
              <w:top w:val="single" w:color="000000" w:sz="8" w:space="0"/>
              <w:left w:val="single" w:color="000000" w:sz="8" w:space="0"/>
              <w:bottom w:val="single" w:color="000000" w:sz="8" w:space="0"/>
              <w:right w:val="single" w:color="000000" w:sz="8" w:space="0"/>
            </w:tcBorders>
            <w:vAlign w:val="center"/>
          </w:tcPr>
          <w:p>
            <w:pPr>
              <w:spacing w:line="520" w:lineRule="atLeast"/>
            </w:pPr>
          </w:p>
        </w:tc>
        <w:tc>
          <w:tcPr>
            <w:tcW w:w="750" w:type="dxa"/>
            <w:vMerge w:val="continue"/>
            <w:tcBorders>
              <w:top w:val="single" w:color="000000" w:sz="8" w:space="0"/>
              <w:left w:val="single" w:color="000000" w:sz="8" w:space="0"/>
              <w:bottom w:val="single" w:color="000000" w:sz="8" w:space="0"/>
              <w:right w:val="single" w:color="000000" w:sz="8" w:space="0"/>
            </w:tcBorders>
            <w:vAlign w:val="center"/>
          </w:tcPr>
          <w:p>
            <w:pPr>
              <w:spacing w:line="520" w:lineRule="atLeast"/>
            </w:pPr>
          </w:p>
        </w:tc>
        <w:tc>
          <w:tcPr>
            <w:tcW w:w="770" w:type="dxa"/>
            <w:vMerge w:val="continue"/>
            <w:tcBorders>
              <w:top w:val="single" w:color="000000" w:sz="8" w:space="0"/>
              <w:left w:val="single" w:color="000000" w:sz="8" w:space="0"/>
              <w:bottom w:val="single" w:color="000000" w:sz="8" w:space="0"/>
              <w:right w:val="single" w:color="000000" w:sz="8" w:space="0"/>
            </w:tcBorders>
            <w:vAlign w:val="center"/>
          </w:tcPr>
          <w:p>
            <w:pPr>
              <w:spacing w:line="520" w:lineRule="atLeast"/>
            </w:pPr>
          </w:p>
        </w:tc>
        <w:tc>
          <w:tcPr>
            <w:tcW w:w="1228" w:type="dxa"/>
            <w:vMerge w:val="continue"/>
            <w:tcBorders>
              <w:top w:val="single" w:color="000000" w:sz="8" w:space="0"/>
              <w:left w:val="single" w:color="000000" w:sz="8" w:space="0"/>
              <w:bottom w:val="single" w:color="000000" w:sz="8" w:space="0"/>
              <w:right w:val="single" w:color="000000" w:sz="8" w:space="0"/>
            </w:tcBorders>
            <w:vAlign w:val="center"/>
          </w:tcPr>
          <w:p>
            <w:pPr>
              <w:spacing w:line="520" w:lineRule="atLeast"/>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9" w:hRule="atLeast"/>
          <w:jc w:val="center"/>
        </w:trPr>
        <w:tc>
          <w:tcPr>
            <w:tcW w:w="780" w:type="dxa"/>
            <w:vMerge w:val="restart"/>
            <w:tcBorders>
              <w:top w:val="nil"/>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sz w:val="24"/>
              </w:rPr>
            </w:pPr>
            <w:r>
              <w:rPr>
                <w:color w:val="000000"/>
                <w:kern w:val="0"/>
                <w:sz w:val="24"/>
              </w:rPr>
              <w:t>配套要求</w:t>
            </w:r>
          </w:p>
        </w:tc>
        <w:tc>
          <w:tcPr>
            <w:tcW w:w="891"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kern w:val="0"/>
                <w:sz w:val="24"/>
              </w:rPr>
            </w:pPr>
            <w:r>
              <w:rPr>
                <w:color w:val="000000"/>
                <w:kern w:val="0"/>
                <w:sz w:val="24"/>
              </w:rPr>
              <w:t>6.1</w:t>
            </w:r>
          </w:p>
        </w:tc>
        <w:tc>
          <w:tcPr>
            <w:tcW w:w="2468"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kern w:val="0"/>
                <w:sz w:val="24"/>
              </w:rPr>
            </w:pPr>
            <w:r>
              <w:rPr>
                <w:color w:val="000000"/>
                <w:kern w:val="0"/>
                <w:sz w:val="24"/>
              </w:rPr>
              <w:t>上机</w:t>
            </w:r>
            <w:r>
              <w:rPr>
                <w:rFonts w:hint="eastAsia"/>
                <w:color w:val="000000"/>
                <w:kern w:val="0"/>
                <w:sz w:val="24"/>
              </w:rPr>
              <w:t>样本</w:t>
            </w:r>
            <w:r>
              <w:rPr>
                <w:color w:val="000000"/>
                <w:kern w:val="0"/>
                <w:sz w:val="24"/>
              </w:rPr>
              <w:t>质量要求</w:t>
            </w:r>
          </w:p>
        </w:tc>
        <w:tc>
          <w:tcPr>
            <w:tcW w:w="976"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67"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5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7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1228"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80" w:type="dxa"/>
            <w:vMerge w:val="continue"/>
            <w:tcBorders>
              <w:top w:val="nil"/>
              <w:left w:val="single" w:color="000000" w:sz="8" w:space="0"/>
              <w:bottom w:val="single" w:color="000000" w:sz="8" w:space="0"/>
              <w:right w:val="single" w:color="000000" w:sz="8" w:space="0"/>
            </w:tcBorders>
            <w:vAlign w:val="center"/>
          </w:tcPr>
          <w:p>
            <w:pPr>
              <w:spacing w:line="520" w:lineRule="atLeast"/>
            </w:pPr>
          </w:p>
        </w:tc>
        <w:tc>
          <w:tcPr>
            <w:tcW w:w="891"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kern w:val="0"/>
                <w:sz w:val="24"/>
              </w:rPr>
            </w:pPr>
            <w:r>
              <w:rPr>
                <w:color w:val="000000"/>
                <w:kern w:val="0"/>
                <w:sz w:val="24"/>
              </w:rPr>
              <w:t>6.2</w:t>
            </w:r>
          </w:p>
        </w:tc>
        <w:tc>
          <w:tcPr>
            <w:tcW w:w="2468"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kern w:val="0"/>
                <w:sz w:val="24"/>
              </w:rPr>
            </w:pPr>
            <w:r>
              <w:rPr>
                <w:color w:val="000000"/>
                <w:kern w:val="0"/>
                <w:sz w:val="24"/>
              </w:rPr>
              <w:t>配套使用的通用试剂要求</w:t>
            </w:r>
          </w:p>
        </w:tc>
        <w:tc>
          <w:tcPr>
            <w:tcW w:w="976"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67"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5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7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1228"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80" w:type="dxa"/>
            <w:vMerge w:val="continue"/>
            <w:tcBorders>
              <w:top w:val="nil"/>
              <w:left w:val="single" w:color="000000" w:sz="8" w:space="0"/>
              <w:bottom w:val="single" w:color="000000" w:sz="8" w:space="0"/>
              <w:right w:val="single" w:color="000000" w:sz="8" w:space="0"/>
            </w:tcBorders>
            <w:vAlign w:val="center"/>
          </w:tcPr>
          <w:p>
            <w:pPr>
              <w:spacing w:line="520" w:lineRule="atLeast"/>
            </w:pPr>
          </w:p>
        </w:tc>
        <w:tc>
          <w:tcPr>
            <w:tcW w:w="891"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kern w:val="0"/>
                <w:sz w:val="24"/>
              </w:rPr>
            </w:pPr>
          </w:p>
        </w:tc>
        <w:tc>
          <w:tcPr>
            <w:tcW w:w="2468"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kern w:val="0"/>
                <w:sz w:val="24"/>
              </w:rPr>
            </w:pPr>
            <w:r>
              <w:rPr>
                <w:rFonts w:hint="eastAsia"/>
                <w:color w:val="000000"/>
                <w:kern w:val="0"/>
                <w:sz w:val="24"/>
              </w:rPr>
              <w:t>其他需要对比的项目</w:t>
            </w:r>
          </w:p>
        </w:tc>
        <w:tc>
          <w:tcPr>
            <w:tcW w:w="976"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67"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5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7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1228"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r>
    </w:tbl>
    <w:p>
      <w:pPr>
        <w:widowControl/>
        <w:autoSpaceDE w:val="0"/>
        <w:autoSpaceDN w:val="0"/>
        <w:adjustRightInd w:val="0"/>
        <w:spacing w:line="520" w:lineRule="atLeast"/>
        <w:ind w:firstLine="420" w:firstLineChars="200"/>
      </w:pPr>
    </w:p>
    <w:p>
      <w:pPr>
        <w:widowControl/>
        <w:spacing w:before="0" w:beforeAutospacing="0" w:after="0" w:line="520" w:lineRule="atLeast"/>
        <w:ind w:left="0" w:leftChars="0" w:firstLine="640" w:firstLineChars="200"/>
        <w:jc w:val="both"/>
        <w:rPr>
          <w:rFonts w:ascii="Times New Roman" w:hAnsi="Times New Roman" w:eastAsia="仿宋_GB2312" w:cs="Times New Roman"/>
          <w:bCs w:val="0"/>
          <w:kern w:val="2"/>
          <w:sz w:val="32"/>
          <w:szCs w:val="32"/>
          <w:lang w:val="en-US" w:eastAsia="zh-CN" w:bidi="ar-SA"/>
        </w:rPr>
      </w:pPr>
      <w:r>
        <w:rPr>
          <w:rFonts w:ascii="Times New Roman" w:hAnsi="Times New Roman" w:eastAsia="仿宋_GB2312" w:cs="Times New Roman"/>
          <w:bCs w:val="0"/>
          <w:color w:val="000000"/>
          <w:kern w:val="2"/>
          <w:sz w:val="32"/>
          <w:szCs w:val="32"/>
          <w:lang w:val="en-US" w:eastAsia="zh-CN" w:bidi="ar-SA"/>
        </w:rPr>
        <w:t>7.安全性评价</w:t>
      </w:r>
    </w:p>
    <w:tbl>
      <w:tblPr>
        <w:tblStyle w:val="10"/>
        <w:tblW w:w="863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378"/>
        <w:gridCol w:w="603"/>
        <w:gridCol w:w="2158"/>
        <w:gridCol w:w="976"/>
        <w:gridCol w:w="698"/>
        <w:gridCol w:w="760"/>
        <w:gridCol w:w="780"/>
        <w:gridCol w:w="127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1979" w:type="dxa"/>
            <w:gridSpan w:val="2"/>
            <w:tcBorders>
              <w:top w:val="single" w:color="000000" w:sz="8" w:space="0"/>
              <w:left w:val="single" w:color="000000" w:sz="8" w:space="0"/>
              <w:bottom w:val="single" w:color="000000" w:sz="8" w:space="0"/>
              <w:right w:val="single" w:color="000000" w:sz="8" w:space="0"/>
            </w:tcBorders>
            <w:noWrap/>
            <w:vAlign w:val="center"/>
          </w:tcPr>
          <w:p>
            <w:pPr>
              <w:widowControl/>
              <w:spacing w:line="520" w:lineRule="atLeast"/>
              <w:jc w:val="center"/>
              <w:textAlignment w:val="center"/>
              <w:rPr>
                <w:rFonts w:eastAsia="黑体"/>
                <w:color w:val="000000"/>
                <w:kern w:val="0"/>
                <w:sz w:val="24"/>
              </w:rPr>
            </w:pPr>
            <w:r>
              <w:rPr>
                <w:rFonts w:eastAsia="黑体"/>
                <w:color w:val="000000"/>
                <w:kern w:val="0"/>
                <w:sz w:val="24"/>
              </w:rPr>
              <w:t>序号</w:t>
            </w:r>
          </w:p>
        </w:tc>
        <w:tc>
          <w:tcPr>
            <w:tcW w:w="2157"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rFonts w:eastAsia="黑体"/>
                <w:color w:val="000000"/>
                <w:kern w:val="0"/>
                <w:sz w:val="24"/>
              </w:rPr>
            </w:pPr>
            <w:r>
              <w:rPr>
                <w:rFonts w:eastAsia="黑体"/>
                <w:color w:val="000000"/>
                <w:kern w:val="0"/>
                <w:sz w:val="24"/>
              </w:rPr>
              <w:t>对比项目</w:t>
            </w:r>
          </w:p>
        </w:tc>
        <w:tc>
          <w:tcPr>
            <w:tcW w:w="976"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rFonts w:eastAsia="黑体"/>
                <w:color w:val="000000"/>
                <w:kern w:val="0"/>
                <w:sz w:val="24"/>
              </w:rPr>
            </w:pPr>
            <w:r>
              <w:rPr>
                <w:rFonts w:eastAsia="黑体"/>
                <w:color w:val="000000"/>
                <w:kern w:val="0"/>
                <w:sz w:val="24"/>
              </w:rPr>
              <w:t>同品种产品</w:t>
            </w:r>
          </w:p>
        </w:tc>
        <w:tc>
          <w:tcPr>
            <w:tcW w:w="698"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rFonts w:eastAsia="黑体"/>
                <w:color w:val="000000"/>
                <w:kern w:val="0"/>
                <w:sz w:val="24"/>
              </w:rPr>
            </w:pPr>
            <w:r>
              <w:rPr>
                <w:rFonts w:eastAsia="黑体"/>
                <w:color w:val="000000"/>
                <w:kern w:val="0"/>
                <w:sz w:val="24"/>
              </w:rPr>
              <w:t>申报产品</w:t>
            </w:r>
          </w:p>
        </w:tc>
        <w:tc>
          <w:tcPr>
            <w:tcW w:w="760"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rFonts w:eastAsia="黑体"/>
                <w:color w:val="000000"/>
                <w:kern w:val="0"/>
                <w:sz w:val="24"/>
              </w:rPr>
            </w:pPr>
            <w:r>
              <w:rPr>
                <w:rFonts w:eastAsia="黑体"/>
                <w:color w:val="000000"/>
                <w:kern w:val="0"/>
                <w:sz w:val="24"/>
              </w:rPr>
              <w:t>相同性</w:t>
            </w:r>
          </w:p>
        </w:tc>
        <w:tc>
          <w:tcPr>
            <w:tcW w:w="780"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rFonts w:eastAsia="黑体"/>
                <w:color w:val="000000"/>
                <w:kern w:val="0"/>
                <w:sz w:val="24"/>
              </w:rPr>
            </w:pPr>
            <w:r>
              <w:rPr>
                <w:rFonts w:eastAsia="黑体"/>
                <w:color w:val="000000"/>
                <w:kern w:val="0"/>
                <w:sz w:val="24"/>
              </w:rPr>
              <w:t>差异性</w:t>
            </w:r>
          </w:p>
        </w:tc>
        <w:tc>
          <w:tcPr>
            <w:tcW w:w="1277"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rFonts w:eastAsia="黑体"/>
                <w:color w:val="000000"/>
                <w:kern w:val="0"/>
                <w:sz w:val="24"/>
              </w:rPr>
            </w:pPr>
            <w:r>
              <w:rPr>
                <w:rFonts w:eastAsia="黑体"/>
                <w:color w:val="000000"/>
                <w:kern w:val="0"/>
                <w:sz w:val="24"/>
              </w:rPr>
              <w:t>支持性资料概述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1377" w:type="dxa"/>
            <w:vMerge w:val="restart"/>
            <w:tcBorders>
              <w:top w:val="nil"/>
              <w:left w:val="single" w:color="000000" w:sz="8" w:space="0"/>
              <w:bottom w:val="single" w:color="000000" w:sz="8" w:space="0"/>
              <w:right w:val="single" w:color="000000" w:sz="8" w:space="0"/>
            </w:tcBorders>
            <w:noWrap/>
            <w:vAlign w:val="center"/>
          </w:tcPr>
          <w:p>
            <w:pPr>
              <w:widowControl/>
              <w:spacing w:line="520" w:lineRule="atLeast"/>
              <w:jc w:val="center"/>
              <w:textAlignment w:val="center"/>
              <w:rPr>
                <w:sz w:val="24"/>
              </w:rPr>
            </w:pPr>
            <w:r>
              <w:rPr>
                <w:rFonts w:ascii="Times New Roman" w:cs="Times New Roman"/>
                <w:color w:val="000000"/>
                <w:sz w:val="24"/>
              </w:rPr>
              <w:t>安全性</w:t>
            </w:r>
          </w:p>
          <w:p>
            <w:pPr>
              <w:widowControl/>
              <w:spacing w:line="520" w:lineRule="atLeast"/>
              <w:jc w:val="center"/>
              <w:textAlignment w:val="center"/>
            </w:pPr>
            <w:r>
              <w:rPr>
                <w:rFonts w:ascii="Times New Roman" w:cs="Times New Roman"/>
                <w:color w:val="000000"/>
                <w:sz w:val="24"/>
              </w:rPr>
              <w:t>评价</w:t>
            </w:r>
          </w:p>
        </w:tc>
        <w:tc>
          <w:tcPr>
            <w:tcW w:w="602"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kern w:val="0"/>
                <w:sz w:val="24"/>
              </w:rPr>
            </w:pPr>
            <w:r>
              <w:rPr>
                <w:color w:val="000000"/>
                <w:kern w:val="0"/>
                <w:sz w:val="24"/>
              </w:rPr>
              <w:t>7.1</w:t>
            </w:r>
          </w:p>
        </w:tc>
        <w:tc>
          <w:tcPr>
            <w:tcW w:w="2157"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sz w:val="24"/>
              </w:rPr>
            </w:pPr>
            <w:r>
              <w:rPr>
                <w:color w:val="000000"/>
                <w:kern w:val="0"/>
                <w:sz w:val="24"/>
              </w:rPr>
              <w:t>通用电气安全</w:t>
            </w:r>
          </w:p>
        </w:tc>
        <w:tc>
          <w:tcPr>
            <w:tcW w:w="976"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698"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6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8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1277"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jc w:val="center"/>
        </w:trPr>
        <w:tc>
          <w:tcPr>
            <w:tcW w:w="1377" w:type="dxa"/>
            <w:vMerge w:val="continue"/>
            <w:tcBorders>
              <w:top w:val="nil"/>
              <w:left w:val="single" w:color="000000" w:sz="8" w:space="0"/>
              <w:bottom w:val="single" w:color="000000" w:sz="8" w:space="0"/>
              <w:right w:val="single" w:color="000000" w:sz="8" w:space="0"/>
            </w:tcBorders>
            <w:noWrap/>
            <w:vAlign w:val="center"/>
          </w:tcPr>
          <w:p>
            <w:pPr>
              <w:spacing w:line="520" w:lineRule="atLeast"/>
            </w:pPr>
          </w:p>
        </w:tc>
        <w:tc>
          <w:tcPr>
            <w:tcW w:w="602"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kern w:val="0"/>
                <w:sz w:val="24"/>
              </w:rPr>
            </w:pPr>
            <w:r>
              <w:rPr>
                <w:color w:val="000000"/>
                <w:kern w:val="0"/>
                <w:sz w:val="24"/>
              </w:rPr>
              <w:t>7.2</w:t>
            </w:r>
          </w:p>
        </w:tc>
        <w:tc>
          <w:tcPr>
            <w:tcW w:w="2157"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sz w:val="24"/>
              </w:rPr>
            </w:pPr>
            <w:r>
              <w:rPr>
                <w:color w:val="000000"/>
                <w:kern w:val="0"/>
                <w:sz w:val="24"/>
              </w:rPr>
              <w:t>专用安全</w:t>
            </w:r>
          </w:p>
        </w:tc>
        <w:tc>
          <w:tcPr>
            <w:tcW w:w="976"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698"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6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8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1277"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5" w:hRule="atLeast"/>
          <w:jc w:val="center"/>
        </w:trPr>
        <w:tc>
          <w:tcPr>
            <w:tcW w:w="1377" w:type="dxa"/>
            <w:vMerge w:val="continue"/>
            <w:tcBorders>
              <w:top w:val="nil"/>
              <w:left w:val="single" w:color="000000" w:sz="8" w:space="0"/>
              <w:bottom w:val="single" w:color="000000" w:sz="8" w:space="0"/>
              <w:right w:val="single" w:color="000000" w:sz="8" w:space="0"/>
            </w:tcBorders>
            <w:noWrap/>
            <w:vAlign w:val="center"/>
          </w:tcPr>
          <w:p>
            <w:pPr>
              <w:spacing w:line="520" w:lineRule="atLeast"/>
            </w:pPr>
          </w:p>
        </w:tc>
        <w:tc>
          <w:tcPr>
            <w:tcW w:w="602"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kern w:val="0"/>
                <w:sz w:val="24"/>
              </w:rPr>
            </w:pPr>
            <w:r>
              <w:rPr>
                <w:color w:val="000000"/>
                <w:kern w:val="0"/>
                <w:sz w:val="24"/>
              </w:rPr>
              <w:t>7.3</w:t>
            </w:r>
          </w:p>
        </w:tc>
        <w:tc>
          <w:tcPr>
            <w:tcW w:w="2157"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kern w:val="0"/>
                <w:sz w:val="24"/>
              </w:rPr>
            </w:pPr>
            <w:r>
              <w:rPr>
                <w:color w:val="000000"/>
                <w:kern w:val="0"/>
                <w:sz w:val="24"/>
              </w:rPr>
              <w:t>网络安全</w:t>
            </w:r>
          </w:p>
        </w:tc>
        <w:tc>
          <w:tcPr>
            <w:tcW w:w="976"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698"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6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8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1277"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r>
    </w:tbl>
    <w:p>
      <w:pPr>
        <w:widowControl/>
        <w:spacing w:before="0" w:beforeAutospacing="0" w:after="0" w:line="520" w:lineRule="atLeast"/>
        <w:ind w:left="0" w:leftChars="0" w:firstLine="640" w:firstLineChars="200"/>
        <w:jc w:val="both"/>
        <w:rPr>
          <w:rFonts w:ascii="Times New Roman" w:hAnsi="Times New Roman" w:eastAsia="仿宋_GB2312" w:cs="Times New Roman"/>
          <w:bCs w:val="0"/>
          <w:color w:val="000000"/>
          <w:kern w:val="2"/>
          <w:sz w:val="32"/>
          <w:szCs w:val="32"/>
          <w:lang w:val="en-US" w:eastAsia="zh-CN" w:bidi="ar-SA"/>
        </w:rPr>
      </w:pPr>
    </w:p>
    <w:p>
      <w:pPr>
        <w:widowControl/>
        <w:spacing w:before="0" w:beforeAutospacing="0" w:after="0" w:line="520" w:lineRule="atLeast"/>
        <w:ind w:left="0" w:leftChars="0" w:firstLine="640" w:firstLineChars="200"/>
        <w:jc w:val="both"/>
        <w:rPr>
          <w:rFonts w:ascii="Times New Roman" w:hAnsi="Times New Roman" w:eastAsia="仿宋_GB2312" w:cs="Times New Roman"/>
          <w:bCs w:val="0"/>
          <w:kern w:val="2"/>
          <w:sz w:val="32"/>
          <w:szCs w:val="32"/>
          <w:lang w:val="en-US" w:eastAsia="zh-CN" w:bidi="ar-SA"/>
        </w:rPr>
      </w:pPr>
      <w:r>
        <w:rPr>
          <w:rFonts w:ascii="Times New Roman" w:hAnsi="Times New Roman" w:eastAsia="仿宋_GB2312" w:cs="Times New Roman"/>
          <w:bCs w:val="0"/>
          <w:color w:val="000000"/>
          <w:kern w:val="2"/>
          <w:sz w:val="32"/>
          <w:szCs w:val="32"/>
          <w:lang w:val="en-US" w:eastAsia="zh-CN" w:bidi="ar-SA"/>
        </w:rPr>
        <w:t>8.其他</w:t>
      </w:r>
    </w:p>
    <w:tbl>
      <w:tblPr>
        <w:tblStyle w:val="10"/>
        <w:tblW w:w="863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981"/>
        <w:gridCol w:w="2158"/>
        <w:gridCol w:w="976"/>
        <w:gridCol w:w="737"/>
        <w:gridCol w:w="770"/>
        <w:gridCol w:w="780"/>
        <w:gridCol w:w="122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5" w:hRule="atLeast"/>
          <w:jc w:val="center"/>
        </w:trPr>
        <w:tc>
          <w:tcPr>
            <w:tcW w:w="1981"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rFonts w:eastAsia="黑体"/>
                <w:color w:val="000000"/>
                <w:kern w:val="0"/>
                <w:sz w:val="24"/>
              </w:rPr>
            </w:pPr>
            <w:r>
              <w:rPr>
                <w:rFonts w:eastAsia="黑体"/>
                <w:color w:val="000000"/>
                <w:kern w:val="0"/>
                <w:sz w:val="24"/>
              </w:rPr>
              <w:t>序号</w:t>
            </w:r>
          </w:p>
        </w:tc>
        <w:tc>
          <w:tcPr>
            <w:tcW w:w="2158"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rFonts w:eastAsia="黑体"/>
                <w:color w:val="000000"/>
                <w:sz w:val="24"/>
              </w:rPr>
            </w:pPr>
            <w:r>
              <w:rPr>
                <w:rFonts w:eastAsia="黑体"/>
                <w:color w:val="000000"/>
                <w:kern w:val="0"/>
                <w:sz w:val="24"/>
              </w:rPr>
              <w:t>对比项目</w:t>
            </w:r>
          </w:p>
        </w:tc>
        <w:tc>
          <w:tcPr>
            <w:tcW w:w="976"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rFonts w:eastAsia="黑体"/>
                <w:color w:val="000000"/>
                <w:sz w:val="24"/>
              </w:rPr>
            </w:pPr>
            <w:r>
              <w:rPr>
                <w:rFonts w:eastAsia="黑体"/>
                <w:color w:val="000000"/>
                <w:kern w:val="0"/>
                <w:sz w:val="24"/>
              </w:rPr>
              <w:t>同品种产品</w:t>
            </w:r>
          </w:p>
        </w:tc>
        <w:tc>
          <w:tcPr>
            <w:tcW w:w="737"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rFonts w:eastAsia="黑体"/>
                <w:color w:val="000000"/>
                <w:sz w:val="24"/>
              </w:rPr>
            </w:pPr>
            <w:r>
              <w:rPr>
                <w:rFonts w:eastAsia="黑体"/>
                <w:color w:val="000000"/>
                <w:kern w:val="0"/>
                <w:sz w:val="24"/>
              </w:rPr>
              <w:t>申报产品</w:t>
            </w:r>
          </w:p>
        </w:tc>
        <w:tc>
          <w:tcPr>
            <w:tcW w:w="770"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rFonts w:eastAsia="黑体"/>
                <w:color w:val="000000"/>
                <w:sz w:val="24"/>
              </w:rPr>
            </w:pPr>
            <w:r>
              <w:rPr>
                <w:rFonts w:eastAsia="黑体"/>
                <w:color w:val="000000"/>
                <w:kern w:val="0"/>
                <w:sz w:val="24"/>
              </w:rPr>
              <w:t>相同性</w:t>
            </w:r>
          </w:p>
        </w:tc>
        <w:tc>
          <w:tcPr>
            <w:tcW w:w="780"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rFonts w:eastAsia="黑体"/>
                <w:color w:val="000000"/>
                <w:sz w:val="24"/>
              </w:rPr>
            </w:pPr>
            <w:r>
              <w:rPr>
                <w:rFonts w:eastAsia="黑体"/>
                <w:color w:val="000000"/>
                <w:kern w:val="0"/>
                <w:sz w:val="24"/>
              </w:rPr>
              <w:t>差异性</w:t>
            </w:r>
          </w:p>
        </w:tc>
        <w:tc>
          <w:tcPr>
            <w:tcW w:w="1228"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rFonts w:eastAsia="黑体"/>
                <w:color w:val="000000"/>
                <w:sz w:val="24"/>
              </w:rPr>
            </w:pPr>
            <w:r>
              <w:rPr>
                <w:rFonts w:eastAsia="黑体"/>
                <w:color w:val="000000"/>
                <w:kern w:val="0"/>
                <w:sz w:val="24"/>
              </w:rPr>
              <w:t>支持性资料概述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6" w:hRule="atLeast"/>
          <w:jc w:val="center"/>
        </w:trPr>
        <w:tc>
          <w:tcPr>
            <w:tcW w:w="1981"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kern w:val="0"/>
                <w:sz w:val="24"/>
              </w:rPr>
            </w:pPr>
            <w:r>
              <w:rPr>
                <w:color w:val="000000"/>
                <w:kern w:val="0"/>
                <w:sz w:val="24"/>
              </w:rPr>
              <w:t>8</w:t>
            </w:r>
          </w:p>
        </w:tc>
        <w:tc>
          <w:tcPr>
            <w:tcW w:w="2158"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sz w:val="24"/>
              </w:rPr>
            </w:pPr>
            <w:r>
              <w:rPr>
                <w:color w:val="000000"/>
                <w:kern w:val="0"/>
                <w:sz w:val="24"/>
              </w:rPr>
              <w:t>标签</w:t>
            </w:r>
          </w:p>
        </w:tc>
        <w:tc>
          <w:tcPr>
            <w:tcW w:w="976"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sz w:val="24"/>
              </w:rPr>
            </w:pPr>
          </w:p>
        </w:tc>
        <w:tc>
          <w:tcPr>
            <w:tcW w:w="737"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7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8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1228"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0" w:hRule="atLeast"/>
          <w:jc w:val="center"/>
        </w:trPr>
        <w:tc>
          <w:tcPr>
            <w:tcW w:w="1981"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kern w:val="0"/>
                <w:sz w:val="24"/>
              </w:rPr>
            </w:pPr>
            <w:r>
              <w:rPr>
                <w:color w:val="000000"/>
                <w:kern w:val="0"/>
                <w:sz w:val="24"/>
              </w:rPr>
              <w:t>9</w:t>
            </w:r>
          </w:p>
        </w:tc>
        <w:tc>
          <w:tcPr>
            <w:tcW w:w="2158"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sz w:val="24"/>
              </w:rPr>
            </w:pPr>
            <w:r>
              <w:rPr>
                <w:color w:val="000000"/>
                <w:kern w:val="0"/>
                <w:sz w:val="24"/>
              </w:rPr>
              <w:t>产品说明书</w:t>
            </w:r>
          </w:p>
        </w:tc>
        <w:tc>
          <w:tcPr>
            <w:tcW w:w="976"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37"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7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80"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sz w:val="24"/>
              </w:rPr>
            </w:pPr>
          </w:p>
        </w:tc>
        <w:tc>
          <w:tcPr>
            <w:tcW w:w="1228"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981"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kern w:val="0"/>
                <w:sz w:val="24"/>
              </w:rPr>
            </w:pPr>
            <w:r>
              <w:rPr>
                <w:color w:val="000000"/>
                <w:kern w:val="0"/>
                <w:sz w:val="24"/>
              </w:rPr>
              <w:t>10</w:t>
            </w:r>
          </w:p>
        </w:tc>
        <w:tc>
          <w:tcPr>
            <w:tcW w:w="2158"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kern w:val="0"/>
                <w:sz w:val="24"/>
              </w:rPr>
            </w:pPr>
            <w:r>
              <w:rPr>
                <w:color w:val="000000"/>
                <w:kern w:val="0"/>
                <w:sz w:val="24"/>
              </w:rPr>
              <w:t>禁忌证</w:t>
            </w:r>
          </w:p>
        </w:tc>
        <w:tc>
          <w:tcPr>
            <w:tcW w:w="976"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sz w:val="24"/>
              </w:rPr>
            </w:pPr>
          </w:p>
        </w:tc>
        <w:tc>
          <w:tcPr>
            <w:tcW w:w="737"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7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8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1228"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3" w:hRule="atLeast"/>
          <w:jc w:val="center"/>
        </w:trPr>
        <w:tc>
          <w:tcPr>
            <w:tcW w:w="1981"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kern w:val="0"/>
                <w:sz w:val="24"/>
              </w:rPr>
            </w:pPr>
            <w:r>
              <w:rPr>
                <w:color w:val="000000"/>
                <w:kern w:val="0"/>
                <w:sz w:val="24"/>
              </w:rPr>
              <w:t>11</w:t>
            </w:r>
          </w:p>
        </w:tc>
        <w:tc>
          <w:tcPr>
            <w:tcW w:w="2158"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sz w:val="24"/>
              </w:rPr>
            </w:pPr>
            <w:r>
              <w:rPr>
                <w:color w:val="000000"/>
                <w:kern w:val="0"/>
                <w:sz w:val="24"/>
              </w:rPr>
              <w:t>防范措施和警告</w:t>
            </w:r>
          </w:p>
        </w:tc>
        <w:tc>
          <w:tcPr>
            <w:tcW w:w="976"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sz w:val="24"/>
              </w:rPr>
            </w:pPr>
          </w:p>
        </w:tc>
        <w:tc>
          <w:tcPr>
            <w:tcW w:w="737"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7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8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1228"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32" w:hRule="atLeast"/>
          <w:jc w:val="center"/>
        </w:trPr>
        <w:tc>
          <w:tcPr>
            <w:tcW w:w="1981"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kern w:val="0"/>
                <w:sz w:val="24"/>
              </w:rPr>
            </w:pPr>
            <w:r>
              <w:rPr>
                <w:color w:val="000000"/>
                <w:kern w:val="0"/>
                <w:sz w:val="24"/>
              </w:rPr>
              <w:t>12</w:t>
            </w:r>
          </w:p>
        </w:tc>
        <w:tc>
          <w:tcPr>
            <w:tcW w:w="2158"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kern w:val="0"/>
                <w:sz w:val="24"/>
              </w:rPr>
            </w:pPr>
            <w:r>
              <w:rPr>
                <w:color w:val="000000"/>
                <w:kern w:val="0"/>
                <w:sz w:val="24"/>
              </w:rPr>
              <w:t>产品符合的国家/行业标准</w:t>
            </w:r>
          </w:p>
        </w:tc>
        <w:tc>
          <w:tcPr>
            <w:tcW w:w="976"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sz w:val="24"/>
              </w:rPr>
            </w:pPr>
          </w:p>
        </w:tc>
        <w:tc>
          <w:tcPr>
            <w:tcW w:w="737"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7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8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1228"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1981"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kern w:val="0"/>
                <w:sz w:val="24"/>
              </w:rPr>
            </w:pPr>
            <w:r>
              <w:rPr>
                <w:rFonts w:hint="eastAsia"/>
                <w:color w:val="000000"/>
                <w:kern w:val="0"/>
                <w:sz w:val="24"/>
              </w:rPr>
              <w:t>1</w:t>
            </w:r>
            <w:r>
              <w:rPr>
                <w:color w:val="000000"/>
                <w:kern w:val="0"/>
                <w:sz w:val="24"/>
              </w:rPr>
              <w:t>3</w:t>
            </w:r>
          </w:p>
        </w:tc>
        <w:tc>
          <w:tcPr>
            <w:tcW w:w="2158"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kern w:val="0"/>
                <w:sz w:val="24"/>
              </w:rPr>
            </w:pPr>
            <w:r>
              <w:rPr>
                <w:rFonts w:hint="eastAsia"/>
                <w:color w:val="000000"/>
                <w:kern w:val="0"/>
                <w:sz w:val="24"/>
              </w:rPr>
              <w:t>其他需要对比的项目</w:t>
            </w:r>
          </w:p>
        </w:tc>
        <w:tc>
          <w:tcPr>
            <w:tcW w:w="976"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atLeast"/>
              <w:jc w:val="center"/>
              <w:textAlignment w:val="center"/>
              <w:rPr>
                <w:color w:val="000000"/>
                <w:sz w:val="24"/>
              </w:rPr>
            </w:pPr>
          </w:p>
        </w:tc>
        <w:tc>
          <w:tcPr>
            <w:tcW w:w="737"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7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780"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c>
          <w:tcPr>
            <w:tcW w:w="1228" w:type="dxa"/>
            <w:tcBorders>
              <w:top w:val="single" w:color="000000" w:sz="8" w:space="0"/>
              <w:left w:val="single" w:color="000000" w:sz="8" w:space="0"/>
              <w:bottom w:val="single" w:color="000000" w:sz="8" w:space="0"/>
              <w:right w:val="single" w:color="000000" w:sz="8" w:space="0"/>
            </w:tcBorders>
            <w:vAlign w:val="center"/>
          </w:tcPr>
          <w:p>
            <w:pPr>
              <w:spacing w:line="520" w:lineRule="atLeast"/>
              <w:jc w:val="center"/>
              <w:rPr>
                <w:color w:val="000000"/>
                <w:sz w:val="24"/>
              </w:rPr>
            </w:pPr>
          </w:p>
        </w:tc>
      </w:tr>
    </w:tbl>
    <w:p>
      <w:pPr>
        <w:spacing w:line="520" w:lineRule="atLeast"/>
        <w:rPr>
          <w:color w:val="auto"/>
        </w:rPr>
      </w:pPr>
      <w:r>
        <w:rPr>
          <w:rFonts w:eastAsia="仿宋_GB2312"/>
          <w:color w:val="000000"/>
          <w:szCs w:val="32"/>
        </w:rPr>
        <w:t>以上所列出的内容为申报产品与同品种</w:t>
      </w:r>
      <w:r>
        <w:rPr>
          <w:rFonts w:hint="eastAsia" w:eastAsia="仿宋_GB2312"/>
          <w:color w:val="000000"/>
          <w:szCs w:val="32"/>
        </w:rPr>
        <w:t>器械</w:t>
      </w:r>
      <w:r>
        <w:rPr>
          <w:rFonts w:eastAsia="仿宋_GB2312"/>
          <w:color w:val="000000"/>
          <w:szCs w:val="32"/>
        </w:rPr>
        <w:t>对比需要具体考虑的事项，申请人可根据产品特点增加对比项目。</w:t>
      </w:r>
    </w:p>
    <w:sectPr>
      <w:footerReference r:id="rId3" w:type="default"/>
      <w:footerReference r:id="rId4" w:type="even"/>
      <w:pgSz w:w="11906" w:h="16838"/>
      <w:pgMar w:top="1440" w:right="1587" w:bottom="1440" w:left="1474" w:header="851" w:footer="1247" w:gutter="0"/>
      <w:lnNumType w:countBy="1" w:restart="continuous"/>
      <w:pgNumType w:start="1"/>
      <w:cols w:space="425" w:num="1"/>
      <w:docGrid w:type="lines" w:linePitch="312" w:charSpace="16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2312">
    <w:altName w:val="仿宋"/>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6</w:t>
    </w:r>
    <w:r>
      <w:rPr>
        <w:sz w:val="28"/>
        <w:szCs w:val="28"/>
      </w:rPr>
      <w:fldChar w:fldCharType="end"/>
    </w:r>
    <w:r>
      <w:rPr>
        <w:rFonts w:hint="eastAsia"/>
        <w:sz w:val="28"/>
        <w:szCs w:val="28"/>
      </w:rPr>
      <w:t xml:space="preserve"> —</w:t>
    </w:r>
    <w:r>
      <w:rPr>
        <w:rFonts w:hint="eastAsia"/>
        <w:color w:val="FFFFFF"/>
        <w:sz w:val="28"/>
        <w:szCs w:val="28"/>
      </w:rPr>
      <w:t>—</w: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18</w:t>
    </w:r>
    <w:r>
      <w:rPr>
        <w:sz w:val="28"/>
        <w:szCs w:val="28"/>
      </w:rPr>
      <w:fldChar w:fldCharType="end"/>
    </w:r>
    <w:r>
      <w:rPr>
        <w:rFonts w:hint="eastAsia"/>
        <w:sz w:val="28"/>
        <w:szCs w:val="28"/>
      </w:rPr>
      <w:t xml:space="preserve"> —</w: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123584"/>
    <w:multiLevelType w:val="singleLevel"/>
    <w:tmpl w:val="84123584"/>
    <w:lvl w:ilvl="0" w:tentative="0">
      <w:start w:val="1"/>
      <w:numFmt w:val="decimal"/>
      <w:lvlText w:val="[%1]"/>
      <w:lvlJc w:val="left"/>
      <w:pPr>
        <w:tabs>
          <w:tab w:val="left" w:pos="312"/>
        </w:tabs>
      </w:pPr>
    </w:lvl>
  </w:abstractNum>
  <w:abstractNum w:abstractNumId="1">
    <w:nsid w:val="035B72B0"/>
    <w:multiLevelType w:val="singleLevel"/>
    <w:tmpl w:val="035B72B0"/>
    <w:lvl w:ilvl="0" w:tentative="0">
      <w:start w:val="1"/>
      <w:numFmt w:val="decimal"/>
      <w:lvlText w:val="%1."/>
      <w:lvlJc w:val="left"/>
      <w:pPr>
        <w:tabs>
          <w:tab w:val="left" w:pos="0"/>
        </w:tabs>
        <w:ind w:left="0" w:firstLine="0"/>
      </w:pPr>
    </w:lvl>
  </w:abstractNum>
  <w:abstractNum w:abstractNumId="2">
    <w:nsid w:val="1ECB7C9B"/>
    <w:multiLevelType w:val="singleLevel"/>
    <w:tmpl w:val="1ECB7C9B"/>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633BD2"/>
    <w:rsid w:val="00025AB0"/>
    <w:rsid w:val="000355F6"/>
    <w:rsid w:val="00137D00"/>
    <w:rsid w:val="001764D5"/>
    <w:rsid w:val="00237572"/>
    <w:rsid w:val="00333791"/>
    <w:rsid w:val="00334684"/>
    <w:rsid w:val="005072C8"/>
    <w:rsid w:val="00511E34"/>
    <w:rsid w:val="00530E8E"/>
    <w:rsid w:val="005A0EBD"/>
    <w:rsid w:val="00674880"/>
    <w:rsid w:val="00691DCA"/>
    <w:rsid w:val="006D1018"/>
    <w:rsid w:val="008049CC"/>
    <w:rsid w:val="00840322"/>
    <w:rsid w:val="00A425CF"/>
    <w:rsid w:val="00A5603D"/>
    <w:rsid w:val="00AD6E4F"/>
    <w:rsid w:val="00AE2065"/>
    <w:rsid w:val="00BF540F"/>
    <w:rsid w:val="00C8270A"/>
    <w:rsid w:val="00D167D2"/>
    <w:rsid w:val="00D20DE7"/>
    <w:rsid w:val="00E756A3"/>
    <w:rsid w:val="00EA71EE"/>
    <w:rsid w:val="00F6248B"/>
    <w:rsid w:val="00FE68E0"/>
    <w:rsid w:val="0141721B"/>
    <w:rsid w:val="0160538B"/>
    <w:rsid w:val="01C34122"/>
    <w:rsid w:val="01E772C7"/>
    <w:rsid w:val="02155889"/>
    <w:rsid w:val="026C27A6"/>
    <w:rsid w:val="027B2432"/>
    <w:rsid w:val="030A19C6"/>
    <w:rsid w:val="036B2F09"/>
    <w:rsid w:val="047D6031"/>
    <w:rsid w:val="04E979DD"/>
    <w:rsid w:val="05D62AD8"/>
    <w:rsid w:val="05F210CF"/>
    <w:rsid w:val="062E1456"/>
    <w:rsid w:val="069930EC"/>
    <w:rsid w:val="06AF65D4"/>
    <w:rsid w:val="07236117"/>
    <w:rsid w:val="07266815"/>
    <w:rsid w:val="07435BE0"/>
    <w:rsid w:val="07866C4E"/>
    <w:rsid w:val="08101C95"/>
    <w:rsid w:val="08A24EAC"/>
    <w:rsid w:val="09106D7F"/>
    <w:rsid w:val="094C3696"/>
    <w:rsid w:val="09610D68"/>
    <w:rsid w:val="09A43D7D"/>
    <w:rsid w:val="0A4329D0"/>
    <w:rsid w:val="0A451B70"/>
    <w:rsid w:val="0A99254E"/>
    <w:rsid w:val="0ADC387C"/>
    <w:rsid w:val="0AF4410B"/>
    <w:rsid w:val="0B2944F2"/>
    <w:rsid w:val="0BC37B24"/>
    <w:rsid w:val="0BF2388C"/>
    <w:rsid w:val="0C052A1A"/>
    <w:rsid w:val="0C3425DB"/>
    <w:rsid w:val="0C863F7C"/>
    <w:rsid w:val="0C965124"/>
    <w:rsid w:val="0CB71F4D"/>
    <w:rsid w:val="0CD25E17"/>
    <w:rsid w:val="0D8C666D"/>
    <w:rsid w:val="0E2B5D40"/>
    <w:rsid w:val="0F5D4128"/>
    <w:rsid w:val="0F864138"/>
    <w:rsid w:val="0FF01E1F"/>
    <w:rsid w:val="109B7625"/>
    <w:rsid w:val="10B6344F"/>
    <w:rsid w:val="110A5D2F"/>
    <w:rsid w:val="11143EFD"/>
    <w:rsid w:val="11FA264C"/>
    <w:rsid w:val="11FD777C"/>
    <w:rsid w:val="127A4742"/>
    <w:rsid w:val="12A35A8D"/>
    <w:rsid w:val="1314101E"/>
    <w:rsid w:val="147F4EB9"/>
    <w:rsid w:val="1487681E"/>
    <w:rsid w:val="14CD69F9"/>
    <w:rsid w:val="16035C6A"/>
    <w:rsid w:val="16292D17"/>
    <w:rsid w:val="163D4862"/>
    <w:rsid w:val="16726224"/>
    <w:rsid w:val="16CE5646"/>
    <w:rsid w:val="17E00BD9"/>
    <w:rsid w:val="189204DC"/>
    <w:rsid w:val="18E732C5"/>
    <w:rsid w:val="18FE47DF"/>
    <w:rsid w:val="195968E3"/>
    <w:rsid w:val="199B7D18"/>
    <w:rsid w:val="1A2D1233"/>
    <w:rsid w:val="1AF57EDA"/>
    <w:rsid w:val="1B410706"/>
    <w:rsid w:val="1B5555DC"/>
    <w:rsid w:val="1B610372"/>
    <w:rsid w:val="1C0E3533"/>
    <w:rsid w:val="1C780505"/>
    <w:rsid w:val="1CB42ED7"/>
    <w:rsid w:val="1CC1063C"/>
    <w:rsid w:val="1CC553CF"/>
    <w:rsid w:val="1D8717B4"/>
    <w:rsid w:val="1DB91F4C"/>
    <w:rsid w:val="1E52514A"/>
    <w:rsid w:val="1E9B52A1"/>
    <w:rsid w:val="1EEE25DB"/>
    <w:rsid w:val="1F415D39"/>
    <w:rsid w:val="2014702B"/>
    <w:rsid w:val="20526E54"/>
    <w:rsid w:val="21E867A8"/>
    <w:rsid w:val="21F44EBC"/>
    <w:rsid w:val="22466249"/>
    <w:rsid w:val="22A02E14"/>
    <w:rsid w:val="22AE695D"/>
    <w:rsid w:val="22F1222E"/>
    <w:rsid w:val="240120C9"/>
    <w:rsid w:val="24A45F48"/>
    <w:rsid w:val="24D10CDE"/>
    <w:rsid w:val="24E5769F"/>
    <w:rsid w:val="25095713"/>
    <w:rsid w:val="25290338"/>
    <w:rsid w:val="254706C8"/>
    <w:rsid w:val="254C0863"/>
    <w:rsid w:val="25DF0F9D"/>
    <w:rsid w:val="261C4494"/>
    <w:rsid w:val="26712A32"/>
    <w:rsid w:val="26A447F6"/>
    <w:rsid w:val="26BF5164"/>
    <w:rsid w:val="26D5563C"/>
    <w:rsid w:val="27806C77"/>
    <w:rsid w:val="27C43F87"/>
    <w:rsid w:val="28836F05"/>
    <w:rsid w:val="28F246E1"/>
    <w:rsid w:val="28F674D8"/>
    <w:rsid w:val="29633BD2"/>
    <w:rsid w:val="297364E1"/>
    <w:rsid w:val="29751DD7"/>
    <w:rsid w:val="29CA25FE"/>
    <w:rsid w:val="2B434271"/>
    <w:rsid w:val="2C391D3A"/>
    <w:rsid w:val="2CFE4012"/>
    <w:rsid w:val="2D8B108A"/>
    <w:rsid w:val="2D9705A1"/>
    <w:rsid w:val="2DC07425"/>
    <w:rsid w:val="2EC33642"/>
    <w:rsid w:val="30B17ECF"/>
    <w:rsid w:val="30D21E02"/>
    <w:rsid w:val="30EC649E"/>
    <w:rsid w:val="3204013A"/>
    <w:rsid w:val="32B1633F"/>
    <w:rsid w:val="32D374E5"/>
    <w:rsid w:val="32DE6226"/>
    <w:rsid w:val="338A3D89"/>
    <w:rsid w:val="33935047"/>
    <w:rsid w:val="33D33FF2"/>
    <w:rsid w:val="33F20B1B"/>
    <w:rsid w:val="34752444"/>
    <w:rsid w:val="34F669C9"/>
    <w:rsid w:val="34FC2258"/>
    <w:rsid w:val="36A12AA7"/>
    <w:rsid w:val="37142D36"/>
    <w:rsid w:val="378D74E1"/>
    <w:rsid w:val="37DB4B4C"/>
    <w:rsid w:val="38225C74"/>
    <w:rsid w:val="38921375"/>
    <w:rsid w:val="39930B9F"/>
    <w:rsid w:val="3A184B1B"/>
    <w:rsid w:val="3AAB739A"/>
    <w:rsid w:val="3B036068"/>
    <w:rsid w:val="3BF26933"/>
    <w:rsid w:val="3C176F18"/>
    <w:rsid w:val="3C785179"/>
    <w:rsid w:val="3DAA33AB"/>
    <w:rsid w:val="3DF1735C"/>
    <w:rsid w:val="3ECF366B"/>
    <w:rsid w:val="3EE2091E"/>
    <w:rsid w:val="3F497F7B"/>
    <w:rsid w:val="3F90461E"/>
    <w:rsid w:val="40733924"/>
    <w:rsid w:val="41025805"/>
    <w:rsid w:val="41283371"/>
    <w:rsid w:val="416F78B3"/>
    <w:rsid w:val="41FA7FF2"/>
    <w:rsid w:val="424441C0"/>
    <w:rsid w:val="4271404A"/>
    <w:rsid w:val="42AD721A"/>
    <w:rsid w:val="4383619C"/>
    <w:rsid w:val="43902648"/>
    <w:rsid w:val="4428607D"/>
    <w:rsid w:val="445D6373"/>
    <w:rsid w:val="446979C9"/>
    <w:rsid w:val="44B243EF"/>
    <w:rsid w:val="44D55ADC"/>
    <w:rsid w:val="4622116A"/>
    <w:rsid w:val="462734E5"/>
    <w:rsid w:val="46BF4C9C"/>
    <w:rsid w:val="47067F16"/>
    <w:rsid w:val="47780AE0"/>
    <w:rsid w:val="47AB6E89"/>
    <w:rsid w:val="481801F3"/>
    <w:rsid w:val="48F9419F"/>
    <w:rsid w:val="49036B98"/>
    <w:rsid w:val="492036F8"/>
    <w:rsid w:val="49346926"/>
    <w:rsid w:val="4A131DEC"/>
    <w:rsid w:val="4AA537A1"/>
    <w:rsid w:val="4ACF2AC4"/>
    <w:rsid w:val="4AED1503"/>
    <w:rsid w:val="4C392B3C"/>
    <w:rsid w:val="4C593FAB"/>
    <w:rsid w:val="4D7761A7"/>
    <w:rsid w:val="4DF93B95"/>
    <w:rsid w:val="4EAA7A98"/>
    <w:rsid w:val="4F786ED9"/>
    <w:rsid w:val="5060383A"/>
    <w:rsid w:val="50615710"/>
    <w:rsid w:val="521B2799"/>
    <w:rsid w:val="521B444C"/>
    <w:rsid w:val="525F73B0"/>
    <w:rsid w:val="526037D7"/>
    <w:rsid w:val="52DB4504"/>
    <w:rsid w:val="53115F42"/>
    <w:rsid w:val="53242A5D"/>
    <w:rsid w:val="532C1BFA"/>
    <w:rsid w:val="539819C2"/>
    <w:rsid w:val="54EA5EE5"/>
    <w:rsid w:val="5509261F"/>
    <w:rsid w:val="556D339D"/>
    <w:rsid w:val="56100D01"/>
    <w:rsid w:val="567F1675"/>
    <w:rsid w:val="56B73BE0"/>
    <w:rsid w:val="56FD2529"/>
    <w:rsid w:val="571A1A7B"/>
    <w:rsid w:val="573B718C"/>
    <w:rsid w:val="574F070B"/>
    <w:rsid w:val="57F034B9"/>
    <w:rsid w:val="584A3478"/>
    <w:rsid w:val="593D65BA"/>
    <w:rsid w:val="59612068"/>
    <w:rsid w:val="596B0935"/>
    <w:rsid w:val="5B38357D"/>
    <w:rsid w:val="5B427262"/>
    <w:rsid w:val="5BBE1CA6"/>
    <w:rsid w:val="5CB92056"/>
    <w:rsid w:val="5CD3616B"/>
    <w:rsid w:val="5D0B1504"/>
    <w:rsid w:val="5D0E6EC7"/>
    <w:rsid w:val="5D660FF3"/>
    <w:rsid w:val="5DB4484F"/>
    <w:rsid w:val="5DF41D88"/>
    <w:rsid w:val="5E35120E"/>
    <w:rsid w:val="5E3D61F5"/>
    <w:rsid w:val="5F2F5B24"/>
    <w:rsid w:val="5F677EA1"/>
    <w:rsid w:val="5F9F4A8C"/>
    <w:rsid w:val="5FA20BAE"/>
    <w:rsid w:val="5FDE7D81"/>
    <w:rsid w:val="5FE53DE3"/>
    <w:rsid w:val="5FFB78B5"/>
    <w:rsid w:val="608A1CB6"/>
    <w:rsid w:val="60DD2497"/>
    <w:rsid w:val="614949B3"/>
    <w:rsid w:val="615A330D"/>
    <w:rsid w:val="618A0111"/>
    <w:rsid w:val="619A1710"/>
    <w:rsid w:val="61E61F94"/>
    <w:rsid w:val="62895749"/>
    <w:rsid w:val="6293617E"/>
    <w:rsid w:val="63115445"/>
    <w:rsid w:val="632E6FDA"/>
    <w:rsid w:val="63442359"/>
    <w:rsid w:val="63457066"/>
    <w:rsid w:val="63E7718B"/>
    <w:rsid w:val="65846F5B"/>
    <w:rsid w:val="66093586"/>
    <w:rsid w:val="66C011DD"/>
    <w:rsid w:val="676440D6"/>
    <w:rsid w:val="69520701"/>
    <w:rsid w:val="6AC8567E"/>
    <w:rsid w:val="6ACB4AAF"/>
    <w:rsid w:val="6AD97D87"/>
    <w:rsid w:val="6B1812F2"/>
    <w:rsid w:val="6B1F420F"/>
    <w:rsid w:val="6C144E42"/>
    <w:rsid w:val="6C2A6602"/>
    <w:rsid w:val="6C494C3C"/>
    <w:rsid w:val="6C542CCA"/>
    <w:rsid w:val="6CBF7075"/>
    <w:rsid w:val="6CCB73D0"/>
    <w:rsid w:val="6D3F209C"/>
    <w:rsid w:val="6D41183B"/>
    <w:rsid w:val="6D69722A"/>
    <w:rsid w:val="6DEB3E36"/>
    <w:rsid w:val="6DFB2FD5"/>
    <w:rsid w:val="6E263A37"/>
    <w:rsid w:val="6E4768B2"/>
    <w:rsid w:val="6E905DA8"/>
    <w:rsid w:val="6ECD5507"/>
    <w:rsid w:val="6F52397D"/>
    <w:rsid w:val="6FE661D5"/>
    <w:rsid w:val="700303ED"/>
    <w:rsid w:val="700B312D"/>
    <w:rsid w:val="703A53D2"/>
    <w:rsid w:val="70690842"/>
    <w:rsid w:val="70824A22"/>
    <w:rsid w:val="710C791B"/>
    <w:rsid w:val="711F2769"/>
    <w:rsid w:val="717B7625"/>
    <w:rsid w:val="72A27F8B"/>
    <w:rsid w:val="731543EB"/>
    <w:rsid w:val="73510DF8"/>
    <w:rsid w:val="73E7137A"/>
    <w:rsid w:val="7409158C"/>
    <w:rsid w:val="745A0DDE"/>
    <w:rsid w:val="74747D91"/>
    <w:rsid w:val="74AB75DD"/>
    <w:rsid w:val="756339F8"/>
    <w:rsid w:val="75953E7A"/>
    <w:rsid w:val="768150C7"/>
    <w:rsid w:val="780847F7"/>
    <w:rsid w:val="78812741"/>
    <w:rsid w:val="78B261FC"/>
    <w:rsid w:val="78BF6848"/>
    <w:rsid w:val="78D93704"/>
    <w:rsid w:val="78F64AF9"/>
    <w:rsid w:val="78FA03FF"/>
    <w:rsid w:val="79965EBF"/>
    <w:rsid w:val="79DB45A5"/>
    <w:rsid w:val="7A08308D"/>
    <w:rsid w:val="7A816008"/>
    <w:rsid w:val="7BF168D3"/>
    <w:rsid w:val="7C8C45B4"/>
    <w:rsid w:val="7CD534C3"/>
    <w:rsid w:val="7CEE38D5"/>
    <w:rsid w:val="7CF4346D"/>
    <w:rsid w:val="7D473441"/>
    <w:rsid w:val="7D541072"/>
    <w:rsid w:val="7DB12889"/>
    <w:rsid w:val="7E301A3E"/>
    <w:rsid w:val="7E3271CF"/>
    <w:rsid w:val="7E6B23BD"/>
    <w:rsid w:val="7EE01A52"/>
    <w:rsid w:val="7F1741DA"/>
    <w:rsid w:val="7FDE0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w:basedOn w:val="1"/>
    <w:semiHidden/>
    <w:qFormat/>
    <w:uiPriority w:val="0"/>
    <w:rPr>
      <w:rFonts w:ascii="宋体" w:hAnsi="宋体" w:eastAsia="宋体" w:cs="宋体"/>
      <w:sz w:val="37"/>
      <w:szCs w:val="37"/>
      <w:lang w:val="en-US" w:eastAsia="en-US" w:bidi="ar-SA"/>
    </w:rPr>
  </w:style>
  <w:style w:type="paragraph" w:styleId="4">
    <w:name w:val="Body Text Indent"/>
    <w:basedOn w:val="1"/>
    <w:qFormat/>
    <w:uiPriority w:val="0"/>
    <w:pPr>
      <w:spacing w:after="120"/>
      <w:ind w:left="420" w:leftChars="200"/>
    </w:pPr>
    <w:rPr>
      <w:szCs w:val="21"/>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unhideWhenUsed/>
    <w:qFormat/>
    <w:uiPriority w:val="0"/>
    <w:pPr>
      <w:adjustRightInd w:val="0"/>
      <w:snapToGrid w:val="0"/>
      <w:spacing w:line="264" w:lineRule="auto"/>
      <w:jc w:val="left"/>
    </w:pPr>
    <w:rPr>
      <w:rFonts w:eastAsia="仿宋_GB2312"/>
      <w:snapToGrid w:val="0"/>
      <w:kern w:val="0"/>
      <w:sz w:val="18"/>
      <w:szCs w:val="18"/>
    </w:rPr>
  </w:style>
  <w:style w:type="paragraph" w:styleId="8">
    <w:name w:val="Normal (Web)"/>
    <w:basedOn w:val="1"/>
    <w:qFormat/>
    <w:uiPriority w:val="0"/>
    <w:pPr>
      <w:spacing w:before="60" w:beforeAutospacing="0" w:after="60" w:afterAutospacing="0"/>
      <w:ind w:left="0" w:right="0"/>
      <w:jc w:val="left"/>
    </w:pPr>
    <w:rPr>
      <w:kern w:val="0"/>
      <w:sz w:val="24"/>
      <w:lang w:val="en-US" w:eastAsia="zh-CN" w:bidi="ar"/>
    </w:rPr>
  </w:style>
  <w:style w:type="paragraph" w:styleId="9">
    <w:name w:val="Body Text First Indent 2"/>
    <w:basedOn w:val="4"/>
    <w:qFormat/>
    <w:uiPriority w:val="0"/>
    <w:pPr>
      <w:spacing w:before="100" w:beforeAutospacing="1"/>
      <w:ind w:firstLine="480" w:firstLineChars="200"/>
    </w:pPr>
    <w:rPr>
      <w:rFonts w:hint="eastAsia" w:ascii="宋体" w:hAnsi="宋体"/>
      <w:bCs/>
      <w:sz w:val="24"/>
      <w:szCs w:val="24"/>
    </w:rPr>
  </w:style>
  <w:style w:type="table" w:styleId="11">
    <w:name w:val="Table Grid"/>
    <w:qFormat/>
    <w:uiPriority w:val="0"/>
    <w:rPr>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
  </w:style>
  <w:style w:type="character" w:styleId="13">
    <w:name w:val="Strong"/>
    <w:basedOn w:val="12"/>
    <w:qFormat/>
    <w:uiPriority w:val="22"/>
    <w:rPr>
      <w:b/>
      <w:bCs/>
    </w:rPr>
  </w:style>
  <w:style w:type="character" w:styleId="14">
    <w:name w:val="annotation reference"/>
    <w:basedOn w:val="12"/>
    <w:qFormat/>
    <w:uiPriority w:val="0"/>
    <w:rPr>
      <w:sz w:val="21"/>
      <w:szCs w:val="21"/>
    </w:rPr>
  </w:style>
  <w:style w:type="character" w:customStyle="1" w:styleId="15">
    <w:name w:val="页眉 字符"/>
    <w:basedOn w:val="12"/>
    <w:link w:val="6"/>
    <w:qFormat/>
    <w:uiPriority w:val="0"/>
    <w:rPr>
      <w:rFonts w:ascii="Times New Roman" w:hAnsi="Times New Roman" w:eastAsia="宋体" w:cs="Times New Roman"/>
      <w:kern w:val="2"/>
      <w:sz w:val="18"/>
      <w:szCs w:val="18"/>
    </w:rPr>
  </w:style>
  <w:style w:type="paragraph" w:styleId="16">
    <w:name w:val="List Paragraph"/>
    <w:basedOn w:val="1"/>
    <w:qFormat/>
    <w:uiPriority w:val="34"/>
    <w:pPr>
      <w:ind w:firstLine="420" w:firstLineChars="200"/>
    </w:pPr>
    <w:rPr>
      <w:rFonts w:ascii="Calibri" w:hAnsi="Calibri"/>
      <w:szCs w:val="22"/>
    </w:rPr>
  </w:style>
  <w:style w:type="character" w:customStyle="1" w:styleId="17">
    <w:name w:val="15"/>
    <w:qFormat/>
    <w:uiPriority w:val="0"/>
    <w:rPr>
      <w:rFonts w:hint="eastAsia"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40</Pages>
  <Words>4445</Words>
  <Characters>4648</Characters>
  <Lines>17</Lines>
  <Paragraphs>4</Paragraphs>
  <TotalTime>1</TotalTime>
  <ScaleCrop>false</ScaleCrop>
  <LinksUpToDate>false</LinksUpToDate>
  <CharactersWithSpaces>4657</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2021-09-27T01:06:00Z</dcterms:created>
  <dc:creator>刘倩倩</dc:creator>
  <cp:lastModifiedBy>haoweilin</cp:lastModifiedBy>
  <dcterms:modified xsi:type="dcterms:W3CDTF">2025-12-30T01:29:02Z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ICV">
    <vt:lpwstr>D363103305D74D728598C7661640E4FE_13</vt:lpwstr>
  </property>
  <property fmtid="{D5CDD505-2E9C-101B-9397-08002B2CF9AE}" pid="4" name="KSOTemplateDocerSaveRecord">
    <vt:lpwstr>eyJoZGlkIjoiNjdkNGJiZjI5NTA0ZjFhMWM3NGFhMjE2ZTIxOTk1MGYiLCJ1c2VySWQiOiI3Nzg1NTExMTcifQ==</vt:lpwstr>
  </property>
</Properties>
</file>