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C3DC78">
      <w:pPr>
        <w:spacing w:line="520" w:lineRule="exact"/>
        <w:ind w:right="-67" w:rightChars="-32"/>
        <w:jc w:val="center"/>
        <w:rPr>
          <w:rFonts w:eastAsia="方正小标宋简体"/>
          <w:color w:val="000000"/>
          <w:sz w:val="44"/>
          <w:szCs w:val="44"/>
        </w:rPr>
      </w:pPr>
      <w:r>
        <w:rPr>
          <w:rFonts w:hint="eastAsia" w:eastAsia="方正小标宋简体"/>
          <w:color w:val="000000"/>
          <w:sz w:val="44"/>
          <w:szCs w:val="44"/>
        </w:rPr>
        <w:t>二氧化碳测定试剂注册审查指导原则</w:t>
      </w:r>
    </w:p>
    <w:p w14:paraId="3B8C2B72">
      <w:pPr>
        <w:spacing w:line="520" w:lineRule="exact"/>
        <w:ind w:right="-67" w:rightChars="-32"/>
        <w:jc w:val="center"/>
        <w:rPr>
          <w:rFonts w:eastAsia="方正小标宋简体"/>
          <w:color w:val="000000"/>
          <w:sz w:val="44"/>
          <w:szCs w:val="44"/>
        </w:rPr>
      </w:pPr>
      <w:r>
        <w:rPr>
          <w:rFonts w:hint="eastAsia" w:eastAsia="方正小标宋简体"/>
          <w:color w:val="000000"/>
          <w:sz w:val="44"/>
          <w:szCs w:val="44"/>
        </w:rPr>
        <w:t>（征求意见稿）</w:t>
      </w:r>
    </w:p>
    <w:p w14:paraId="008CCB32">
      <w:pPr>
        <w:spacing w:line="520" w:lineRule="exact"/>
        <w:ind w:firstLine="803" w:firstLineChars="200"/>
        <w:jc w:val="center"/>
        <w:rPr>
          <w:rFonts w:eastAsia="仿宋_GB2312"/>
          <w:b/>
          <w:bCs/>
          <w:sz w:val="40"/>
          <w:szCs w:val="32"/>
        </w:rPr>
      </w:pPr>
    </w:p>
    <w:p w14:paraId="44A33BAB">
      <w:pPr>
        <w:spacing w:line="520" w:lineRule="exact"/>
        <w:ind w:firstLine="640" w:firstLineChars="200"/>
        <w:rPr>
          <w:rFonts w:eastAsia="仿宋_GB2312"/>
          <w:sz w:val="32"/>
        </w:rPr>
      </w:pPr>
      <w:r>
        <w:rPr>
          <w:rFonts w:eastAsia="仿宋_GB2312"/>
          <w:sz w:val="32"/>
        </w:rPr>
        <w:t>本指导原则旨在为医疗器械申请人进行</w:t>
      </w:r>
      <w:r>
        <w:rPr>
          <w:rFonts w:hint="eastAsia" w:eastAsia="仿宋_GB2312"/>
          <w:sz w:val="32"/>
        </w:rPr>
        <w:t>二氧化碳测定</w:t>
      </w:r>
      <w:r>
        <w:rPr>
          <w:rFonts w:eastAsia="仿宋_GB2312"/>
          <w:sz w:val="32"/>
        </w:rPr>
        <w:t>试剂的注册申报提供技术指导，同时也为医疗器械</w:t>
      </w:r>
      <w:r>
        <w:rPr>
          <w:rFonts w:hint="eastAsia" w:eastAsia="仿宋_GB2312"/>
          <w:sz w:val="32"/>
        </w:rPr>
        <w:t>技术审评</w:t>
      </w:r>
      <w:r>
        <w:rPr>
          <w:rFonts w:eastAsia="仿宋_GB2312"/>
          <w:sz w:val="32"/>
        </w:rPr>
        <w:t>部门提供技术参考。</w:t>
      </w:r>
    </w:p>
    <w:p w14:paraId="388395CD">
      <w:pPr>
        <w:spacing w:line="520" w:lineRule="exact"/>
        <w:ind w:firstLine="640" w:firstLineChars="200"/>
        <w:rPr>
          <w:rFonts w:eastAsia="仿宋_GB2312"/>
          <w:sz w:val="32"/>
        </w:rPr>
      </w:pPr>
      <w:r>
        <w:rPr>
          <w:rFonts w:eastAsia="仿宋_GB2312"/>
          <w:sz w:val="32"/>
        </w:rPr>
        <w:t>本指导原则是对</w:t>
      </w:r>
      <w:r>
        <w:rPr>
          <w:rFonts w:hint="eastAsia" w:eastAsia="仿宋_GB2312"/>
          <w:sz w:val="32"/>
        </w:rPr>
        <w:t>二氧化碳测定</w:t>
      </w:r>
      <w:r>
        <w:rPr>
          <w:rFonts w:eastAsia="仿宋_GB2312"/>
          <w:sz w:val="32"/>
        </w:rPr>
        <w:t>试剂注册申报资料的一般要求，申请人应依据产品的具体特性确定其中内容是否适用，若不适用，需具体阐述理由及相应的科学依据，并依据产品的具体特性对注册申报资料的内容进行充实和细化。如申请人认为有必要增加本指导原则不包含的研究内容，可自行补充。</w:t>
      </w:r>
    </w:p>
    <w:p w14:paraId="53F5CCC1">
      <w:pPr>
        <w:spacing w:line="520" w:lineRule="exact"/>
        <w:ind w:firstLine="640" w:firstLineChars="200"/>
        <w:rPr>
          <w:rFonts w:eastAsia="仿宋_GB2312"/>
          <w:sz w:val="32"/>
        </w:rPr>
      </w:pPr>
      <w:r>
        <w:rPr>
          <w:rFonts w:eastAsia="仿宋_GB2312"/>
          <w:sz w:val="32"/>
        </w:rPr>
        <w:t>本指导原则是供申请人和技术审评人员使用的指导性文件，不</w:t>
      </w:r>
      <w:r>
        <w:rPr>
          <w:rFonts w:hint="eastAsia" w:eastAsia="仿宋_GB2312"/>
          <w:sz w:val="32"/>
        </w:rPr>
        <w:t>涉及行政</w:t>
      </w:r>
      <w:r>
        <w:rPr>
          <w:rFonts w:eastAsia="仿宋_GB2312"/>
          <w:sz w:val="32"/>
        </w:rPr>
        <w:t>审批</w:t>
      </w:r>
      <w:r>
        <w:rPr>
          <w:rFonts w:hint="eastAsia" w:eastAsia="仿宋_GB2312"/>
          <w:sz w:val="32"/>
        </w:rPr>
        <w:t>等</w:t>
      </w:r>
      <w:r>
        <w:rPr>
          <w:rFonts w:eastAsia="仿宋_GB2312"/>
          <w:sz w:val="32"/>
        </w:rPr>
        <w:t>行政事项，亦不作为法规强制执行，如有能够满足相关法规要求的其他方法，</w:t>
      </w:r>
      <w:r>
        <w:rPr>
          <w:rFonts w:hint="eastAsia" w:eastAsia="仿宋_GB2312"/>
          <w:sz w:val="32"/>
        </w:rPr>
        <w:t>亦可</w:t>
      </w:r>
      <w:r>
        <w:rPr>
          <w:rFonts w:eastAsia="仿宋_GB2312"/>
          <w:sz w:val="32"/>
        </w:rPr>
        <w:t>采用，但需要提供详细的研究资料和验证资料。</w:t>
      </w:r>
      <w:r>
        <w:rPr>
          <w:rFonts w:hint="eastAsia" w:eastAsia="仿宋_GB2312"/>
          <w:sz w:val="32"/>
          <w:szCs w:val="32"/>
        </w:rPr>
        <w:t>应</w:t>
      </w:r>
      <w:r>
        <w:rPr>
          <w:rFonts w:eastAsia="仿宋_GB2312"/>
          <w:sz w:val="32"/>
          <w:szCs w:val="32"/>
        </w:rPr>
        <w:t>在遵循相关法规和强制性标准的前提下使用本指导原则。</w:t>
      </w:r>
    </w:p>
    <w:p w14:paraId="054C0EF9">
      <w:pPr>
        <w:spacing w:line="520" w:lineRule="exact"/>
        <w:ind w:firstLine="640" w:firstLineChars="200"/>
        <w:rPr>
          <w:rFonts w:eastAsia="仿宋_GB2312"/>
          <w:sz w:val="32"/>
        </w:rPr>
      </w:pPr>
      <w:r>
        <w:rPr>
          <w:rFonts w:eastAsia="仿宋_GB2312"/>
          <w:sz w:val="32"/>
        </w:rPr>
        <w:t>本指导原则是在现行法规、标准体系以及当前认知水平下制定的，随着法规、标准的不断完善和科学技术的不断发展，本指导原则相关内容也将适时进行调整。</w:t>
      </w:r>
    </w:p>
    <w:p w14:paraId="4DB1C69A">
      <w:pPr>
        <w:pStyle w:val="33"/>
      </w:pPr>
      <w:r>
        <w:t>适用范围</w:t>
      </w:r>
    </w:p>
    <w:p w14:paraId="7F1B52E3">
      <w:pPr>
        <w:tabs>
          <w:tab w:val="left" w:pos="7140"/>
        </w:tabs>
        <w:autoSpaceDE w:val="0"/>
        <w:autoSpaceDN w:val="0"/>
        <w:spacing w:line="520" w:lineRule="exact"/>
        <w:ind w:firstLine="640" w:firstLineChars="200"/>
        <w:rPr>
          <w:rFonts w:eastAsia="仿宋_GB2312"/>
          <w:bCs/>
          <w:color w:val="000000"/>
          <w:sz w:val="32"/>
          <w:szCs w:val="32"/>
        </w:rPr>
      </w:pPr>
      <w:r>
        <w:rPr>
          <w:rFonts w:hint="eastAsia" w:eastAsia="仿宋_GB2312"/>
          <w:sz w:val="32"/>
          <w:szCs w:val="32"/>
        </w:rPr>
        <w:t>本指导原则适用于以酶法（如PEPC酶法）为检测原理，利用全自动、半自动生化分析仪或分光光度计，对人体血清或血浆等样本中二氧化碳进行定量测定的体外诊断试剂。本指导原则不适用于电极法、干化学法等检测试剂。</w:t>
      </w:r>
      <w:r>
        <w:rPr>
          <w:rFonts w:eastAsia="仿宋_GB2312"/>
          <w:sz w:val="32"/>
          <w:szCs w:val="32"/>
        </w:rPr>
        <w:t>对基于其他方法学的试剂，</w:t>
      </w:r>
      <w:r>
        <w:rPr>
          <w:rFonts w:eastAsia="仿宋_GB2312"/>
          <w:bCs/>
          <w:color w:val="000000"/>
          <w:sz w:val="32"/>
          <w:szCs w:val="32"/>
        </w:rPr>
        <w:t>申请人可以</w:t>
      </w:r>
      <w:r>
        <w:rPr>
          <w:rFonts w:hint="eastAsia" w:eastAsia="仿宋_GB2312"/>
          <w:bCs/>
          <w:color w:val="000000"/>
          <w:sz w:val="32"/>
          <w:szCs w:val="32"/>
        </w:rPr>
        <w:t>根据产品特性，</w:t>
      </w:r>
      <w:r>
        <w:rPr>
          <w:rFonts w:eastAsia="仿宋_GB2312"/>
          <w:bCs/>
          <w:color w:val="000000"/>
          <w:sz w:val="32"/>
          <w:szCs w:val="32"/>
        </w:rPr>
        <w:t>对适用</w:t>
      </w:r>
      <w:r>
        <w:rPr>
          <w:rFonts w:hint="eastAsia" w:eastAsia="仿宋_GB2312"/>
          <w:bCs/>
          <w:color w:val="000000"/>
          <w:sz w:val="32"/>
          <w:szCs w:val="32"/>
        </w:rPr>
        <w:t>部分参照本指导原则</w:t>
      </w:r>
      <w:r>
        <w:rPr>
          <w:rFonts w:eastAsia="仿宋_GB2312"/>
          <w:bCs/>
          <w:color w:val="000000"/>
          <w:sz w:val="32"/>
          <w:szCs w:val="32"/>
        </w:rPr>
        <w:t>进行评价</w:t>
      </w:r>
      <w:r>
        <w:rPr>
          <w:rFonts w:hint="eastAsia" w:eastAsia="仿宋_GB2312"/>
          <w:bCs/>
          <w:color w:val="000000"/>
          <w:sz w:val="32"/>
          <w:szCs w:val="32"/>
        </w:rPr>
        <w:t>并</w:t>
      </w:r>
      <w:r>
        <w:rPr>
          <w:rFonts w:eastAsia="仿宋_GB2312"/>
          <w:bCs/>
          <w:color w:val="000000"/>
          <w:sz w:val="32"/>
          <w:szCs w:val="32"/>
        </w:rPr>
        <w:t>补充其他</w:t>
      </w:r>
      <w:r>
        <w:rPr>
          <w:rFonts w:hint="eastAsia" w:eastAsia="仿宋_GB2312"/>
          <w:bCs/>
          <w:color w:val="000000"/>
          <w:sz w:val="32"/>
          <w:szCs w:val="32"/>
        </w:rPr>
        <w:t>的</w:t>
      </w:r>
      <w:r>
        <w:rPr>
          <w:rFonts w:eastAsia="仿宋_GB2312"/>
          <w:bCs/>
          <w:color w:val="000000"/>
          <w:sz w:val="32"/>
          <w:szCs w:val="32"/>
        </w:rPr>
        <w:t>评价资料。</w:t>
      </w:r>
    </w:p>
    <w:p w14:paraId="0B26F7F5">
      <w:pPr>
        <w:spacing w:line="520" w:lineRule="exact"/>
        <w:ind w:firstLine="640" w:firstLineChars="200"/>
      </w:pPr>
      <w:r>
        <w:rPr>
          <w:rFonts w:eastAsia="仿宋_GB2312"/>
          <w:sz w:val="32"/>
          <w:szCs w:val="32"/>
        </w:rPr>
        <w:t>本指导原则不适用于单独</w:t>
      </w:r>
      <w:r>
        <w:rPr>
          <w:rFonts w:hint="eastAsia" w:eastAsia="仿宋_GB2312"/>
          <w:sz w:val="32"/>
          <w:szCs w:val="32"/>
        </w:rPr>
        <w:t>申请注册</w:t>
      </w:r>
      <w:r>
        <w:rPr>
          <w:rFonts w:eastAsia="仿宋_GB2312"/>
          <w:sz w:val="32"/>
          <w:szCs w:val="32"/>
        </w:rPr>
        <w:t>的</w:t>
      </w:r>
      <w:r>
        <w:rPr>
          <w:rFonts w:hint="eastAsia" w:eastAsia="仿宋_GB2312"/>
          <w:sz w:val="32"/>
          <w:szCs w:val="32"/>
        </w:rPr>
        <w:t>二氧化碳校</w:t>
      </w:r>
      <w:r>
        <w:rPr>
          <w:rFonts w:eastAsia="仿宋_GB2312"/>
          <w:sz w:val="32"/>
          <w:szCs w:val="32"/>
        </w:rPr>
        <w:t>准品和</w:t>
      </w:r>
      <w:r>
        <w:rPr>
          <w:rFonts w:hint="eastAsia" w:eastAsia="仿宋_GB2312"/>
          <w:sz w:val="32"/>
          <w:szCs w:val="32"/>
        </w:rPr>
        <w:t>二氧化碳</w:t>
      </w:r>
      <w:r>
        <w:rPr>
          <w:rFonts w:eastAsia="仿宋_GB2312"/>
          <w:sz w:val="32"/>
          <w:szCs w:val="32"/>
        </w:rPr>
        <w:t>质控品</w:t>
      </w:r>
      <w:r>
        <w:rPr>
          <w:rFonts w:hint="eastAsia" w:eastAsia="仿宋_GB2312"/>
          <w:sz w:val="32"/>
          <w:szCs w:val="32"/>
        </w:rPr>
        <w:t>。</w:t>
      </w:r>
    </w:p>
    <w:p w14:paraId="0E8A959B">
      <w:pPr>
        <w:pStyle w:val="33"/>
        <w:numPr>
          <w:ilvl w:val="0"/>
          <w:numId w:val="0"/>
        </w:numPr>
        <w:ind w:left="640"/>
      </w:pPr>
      <w:r>
        <w:t>二、注册审查要点</w:t>
      </w:r>
    </w:p>
    <w:p w14:paraId="4AD2350B">
      <w:pPr>
        <w:adjustRightInd w:val="0"/>
        <w:snapToGrid w:val="0"/>
        <w:spacing w:line="520" w:lineRule="exact"/>
        <w:ind w:firstLine="640"/>
        <w:rPr>
          <w:rFonts w:eastAsia="黑体"/>
          <w:sz w:val="32"/>
          <w:szCs w:val="32"/>
        </w:rPr>
      </w:pPr>
      <w:r>
        <w:rPr>
          <w:rFonts w:hint="eastAsia" w:eastAsia="仿宋_GB2312" w:cs="仿宋_GB2312"/>
          <w:sz w:val="32"/>
          <w:szCs w:val="32"/>
          <w:lang w:bidi="ar"/>
        </w:rPr>
        <w:t>注册申报资料的撰写应符合《体外诊断试剂注册申报资料要求及说明》的相关要求。</w:t>
      </w:r>
    </w:p>
    <w:p w14:paraId="61BBA05F">
      <w:pPr>
        <w:pStyle w:val="35"/>
      </w:pPr>
      <w:r>
        <w:t>（一）</w:t>
      </w:r>
      <w:r>
        <w:rPr>
          <w:rFonts w:hint="eastAsia"/>
        </w:rPr>
        <w:t>监管信息</w:t>
      </w:r>
    </w:p>
    <w:p w14:paraId="443C7FEE">
      <w:pPr>
        <w:spacing w:line="520" w:lineRule="exact"/>
        <w:ind w:firstLine="640" w:firstLineChars="200"/>
        <w:rPr>
          <w:rFonts w:eastAsia="仿宋_GB2312"/>
          <w:kern w:val="0"/>
          <w:sz w:val="32"/>
          <w:szCs w:val="32"/>
        </w:rPr>
      </w:pPr>
      <w:r>
        <w:rPr>
          <w:rFonts w:hint="eastAsia" w:eastAsia="仿宋_GB2312"/>
          <w:kern w:val="0"/>
          <w:sz w:val="32"/>
          <w:szCs w:val="32"/>
        </w:rPr>
        <w:t>1.产品名称</w:t>
      </w:r>
    </w:p>
    <w:p w14:paraId="6BD1E40A">
      <w:pPr>
        <w:spacing w:line="520" w:lineRule="exact"/>
        <w:ind w:firstLine="640" w:firstLineChars="200"/>
        <w:rPr>
          <w:rFonts w:eastAsia="仿宋_GB2312"/>
          <w:kern w:val="0"/>
          <w:sz w:val="32"/>
          <w:szCs w:val="32"/>
        </w:rPr>
      </w:pPr>
      <w:r>
        <w:rPr>
          <w:rFonts w:hint="eastAsia" w:eastAsia="仿宋_GB2312"/>
          <w:sz w:val="32"/>
          <w:szCs w:val="22"/>
          <w:lang w:bidi="ar"/>
        </w:rPr>
        <w:t>产品的命名应符合《体外诊断试剂注册与备案管理办法》的要求。</w:t>
      </w:r>
      <w:r>
        <w:rPr>
          <w:rFonts w:hint="eastAsia" w:eastAsia="仿宋_GB2312"/>
          <w:kern w:val="0"/>
          <w:sz w:val="32"/>
          <w:szCs w:val="32"/>
        </w:rPr>
        <w:t>产品名称一般由三部分组成。第一部分：被测物名称为二氧化碳；第二部分：用途，如测定试剂或检测试剂；第三部分：方法或者原理，如</w:t>
      </w:r>
      <w:r>
        <w:rPr>
          <w:rFonts w:hint="eastAsia" w:eastAsia="仿宋_GB2312"/>
          <w:color w:val="000000"/>
          <w:kern w:val="0"/>
          <w:sz w:val="32"/>
          <w:szCs w:val="32"/>
        </w:rPr>
        <w:t>PEPC酶法</w:t>
      </w:r>
      <w:r>
        <w:rPr>
          <w:rFonts w:hint="eastAsia" w:eastAsia="仿宋_GB2312"/>
          <w:kern w:val="0"/>
          <w:sz w:val="32"/>
          <w:szCs w:val="32"/>
        </w:rPr>
        <w:t>等。</w:t>
      </w:r>
    </w:p>
    <w:p w14:paraId="2CE2A223">
      <w:pPr>
        <w:spacing w:line="520" w:lineRule="exact"/>
        <w:ind w:firstLine="640" w:firstLineChars="200"/>
        <w:rPr>
          <w:rFonts w:eastAsia="仿宋_GB2312"/>
          <w:kern w:val="0"/>
          <w:sz w:val="32"/>
          <w:szCs w:val="32"/>
        </w:rPr>
      </w:pPr>
      <w:r>
        <w:rPr>
          <w:rFonts w:hint="eastAsia" w:eastAsia="仿宋_GB2312"/>
          <w:kern w:val="0"/>
          <w:sz w:val="32"/>
          <w:szCs w:val="32"/>
        </w:rPr>
        <w:t>2.分类依据</w:t>
      </w:r>
    </w:p>
    <w:p w14:paraId="4B9E210F">
      <w:pPr>
        <w:spacing w:line="520" w:lineRule="exact"/>
        <w:ind w:firstLine="640" w:firstLineChars="200"/>
        <w:rPr>
          <w:rFonts w:eastAsia="仿宋_GB2312"/>
          <w:kern w:val="0"/>
          <w:sz w:val="32"/>
          <w:szCs w:val="32"/>
        </w:rPr>
      </w:pPr>
      <w:r>
        <w:rPr>
          <w:rFonts w:hint="eastAsia" w:eastAsia="仿宋_GB2312"/>
          <w:kern w:val="0"/>
          <w:sz w:val="32"/>
          <w:szCs w:val="32"/>
        </w:rPr>
        <w:t>根据《体外诊断试剂分类目录》，</w:t>
      </w:r>
      <w:r>
        <w:rPr>
          <w:rFonts w:hint="eastAsia" w:eastAsia="仿宋_GB2312"/>
          <w:kern w:val="0"/>
          <w:sz w:val="32"/>
          <w:szCs w:val="32"/>
          <w:highlight w:val="none"/>
        </w:rPr>
        <w:t xml:space="preserve">属于 14 </w:t>
      </w:r>
      <w:r>
        <w:rPr>
          <w:rFonts w:hint="eastAsia" w:eastAsia="仿宋_GB2312"/>
          <w:kern w:val="0"/>
          <w:sz w:val="32"/>
          <w:szCs w:val="32"/>
          <w:highlight w:val="none"/>
          <w:lang w:bidi="ar"/>
        </w:rPr>
        <w:t>用于无机离子检测的试剂 14004</w:t>
      </w:r>
      <w:r>
        <w:rPr>
          <w:rFonts w:hint="eastAsia" w:eastAsia="仿宋_GB2312"/>
          <w:kern w:val="0"/>
          <w:sz w:val="32"/>
          <w:szCs w:val="32"/>
          <w:lang w:bidi="ar"/>
        </w:rPr>
        <w:t xml:space="preserve"> </w:t>
      </w:r>
      <w:r>
        <w:rPr>
          <w:rFonts w:hint="eastAsia" w:eastAsia="仿宋_GB2312"/>
          <w:kern w:val="0"/>
          <w:sz w:val="32"/>
          <w:szCs w:val="32"/>
        </w:rPr>
        <w:t>二氧化碳检测试剂，管理类别为Ⅱ类</w:t>
      </w:r>
      <w:r>
        <w:rPr>
          <w:rFonts w:hint="eastAsia" w:eastAsia="仿宋_GB2312"/>
          <w:kern w:val="0"/>
          <w:sz w:val="32"/>
          <w:szCs w:val="32"/>
          <w:lang w:bidi="ar"/>
        </w:rPr>
        <w:t>，</w:t>
      </w:r>
      <w:r>
        <w:rPr>
          <w:rFonts w:hint="eastAsia" w:eastAsia="仿宋_GB2312"/>
          <w:kern w:val="0"/>
          <w:sz w:val="32"/>
          <w:szCs w:val="32"/>
        </w:rPr>
        <w:t>分类编码为 6840</w:t>
      </w:r>
    </w:p>
    <w:p w14:paraId="4930B126">
      <w:pPr>
        <w:spacing w:line="520" w:lineRule="exact"/>
        <w:ind w:firstLine="640" w:firstLineChars="200"/>
        <w:rPr>
          <w:rFonts w:eastAsia="仿宋_GB2312"/>
          <w:kern w:val="0"/>
          <w:sz w:val="32"/>
          <w:szCs w:val="32"/>
        </w:rPr>
      </w:pPr>
      <w:r>
        <w:rPr>
          <w:rFonts w:eastAsia="仿宋_GB2312"/>
          <w:sz w:val="32"/>
          <w:szCs w:val="32"/>
          <w:lang w:bidi="ar"/>
        </w:rPr>
        <w:t>3.</w:t>
      </w:r>
      <w:r>
        <w:rPr>
          <w:rFonts w:hint="eastAsia" w:eastAsia="仿宋_GB2312"/>
          <w:sz w:val="32"/>
          <w:szCs w:val="32"/>
          <w:lang w:bidi="ar"/>
        </w:rPr>
        <w:t>其他信息还包括产品列表、关联文件、申报前与监管机构的联系情况和沟通记录以及符合性声明等文件。</w:t>
      </w:r>
    </w:p>
    <w:p w14:paraId="2A7E2649">
      <w:pPr>
        <w:pStyle w:val="35"/>
      </w:pPr>
      <w:r>
        <w:t>（</w:t>
      </w:r>
      <w:r>
        <w:rPr>
          <w:rFonts w:hint="eastAsia" w:ascii="宋体" w:hAnsi="宋体" w:eastAsia="宋体" w:cs="宋体"/>
        </w:rPr>
        <w:t>二</w:t>
      </w:r>
      <w:r>
        <w:t>）综述资料</w:t>
      </w:r>
    </w:p>
    <w:p w14:paraId="77572303">
      <w:pPr>
        <w:snapToGrid w:val="0"/>
        <w:spacing w:line="520" w:lineRule="exact"/>
        <w:ind w:firstLine="640" w:firstLineChars="200"/>
        <w:rPr>
          <w:rFonts w:eastAsia="仿宋_GB2312"/>
          <w:sz w:val="32"/>
          <w:szCs w:val="32"/>
        </w:rPr>
      </w:pPr>
      <w:r>
        <w:rPr>
          <w:rFonts w:eastAsia="仿宋_GB2312"/>
          <w:sz w:val="32"/>
        </w:rPr>
        <w:t>综述资料主要包括</w:t>
      </w:r>
      <w:r>
        <w:rPr>
          <w:rFonts w:eastAsia="仿宋_GB2312"/>
          <w:sz w:val="32"/>
          <w:szCs w:val="32"/>
        </w:rPr>
        <w:t>产品概述、产品描述、预期用途、申报产品上市历史、其他需说明的内容等。</w:t>
      </w:r>
    </w:p>
    <w:p w14:paraId="445205F7">
      <w:pPr>
        <w:pStyle w:val="37"/>
        <w:outlineLvl w:val="2"/>
        <w:rPr>
          <w:rFonts w:eastAsia="楷体_GB2312"/>
          <w:szCs w:val="32"/>
        </w:rPr>
      </w:pPr>
      <w:r>
        <w:t>1.</w:t>
      </w:r>
      <w:r>
        <w:rPr>
          <w:rFonts w:hint="eastAsia"/>
        </w:rPr>
        <w:t>产品</w:t>
      </w:r>
      <w:r>
        <w:t>概述</w:t>
      </w:r>
    </w:p>
    <w:p w14:paraId="65C113C4">
      <w:pPr>
        <w:spacing w:line="520" w:lineRule="exact"/>
        <w:ind w:firstLine="640" w:firstLineChars="200"/>
        <w:rPr>
          <w:rFonts w:eastAsia="仿宋_GB2312"/>
          <w:sz w:val="32"/>
        </w:rPr>
      </w:pPr>
      <w:r>
        <w:rPr>
          <w:rFonts w:hint="eastAsia" w:eastAsia="仿宋_GB2312"/>
          <w:sz w:val="32"/>
        </w:rPr>
        <w:t>应当描述二氧化碳测定试剂名称及其确定依据；描述申报产品预期用途；描述有关申报产品的背景信息概述或特别细节（如适用），如：申报产品的历史概述、历次提交的信息，与其他经批准上市产品的关系等。</w:t>
      </w:r>
    </w:p>
    <w:p w14:paraId="1BD1D591">
      <w:pPr>
        <w:pStyle w:val="37"/>
        <w:outlineLvl w:val="2"/>
      </w:pPr>
      <w:r>
        <w:rPr>
          <w:rFonts w:hint="eastAsia"/>
        </w:rPr>
        <w:t>2</w:t>
      </w:r>
      <w:r>
        <w:t>.产品描述</w:t>
      </w:r>
    </w:p>
    <w:p w14:paraId="59408E62">
      <w:pPr>
        <w:spacing w:line="520" w:lineRule="exact"/>
        <w:ind w:firstLine="640" w:firstLineChars="200"/>
        <w:rPr>
          <w:rFonts w:eastAsia="仿宋_GB2312"/>
          <w:kern w:val="0"/>
          <w:sz w:val="32"/>
          <w:szCs w:val="32"/>
        </w:rPr>
      </w:pPr>
      <w:r>
        <w:rPr>
          <w:rFonts w:hint="eastAsia" w:eastAsia="仿宋_GB2312"/>
          <w:kern w:val="0"/>
          <w:sz w:val="32"/>
          <w:szCs w:val="32"/>
        </w:rPr>
        <w:t>2</w:t>
      </w:r>
      <w:r>
        <w:rPr>
          <w:rFonts w:eastAsia="仿宋_GB2312"/>
          <w:kern w:val="0"/>
          <w:sz w:val="32"/>
          <w:szCs w:val="32"/>
        </w:rPr>
        <w:t>.1产品综述</w:t>
      </w:r>
    </w:p>
    <w:p w14:paraId="1D37B0FE">
      <w:pPr>
        <w:spacing w:line="520" w:lineRule="exact"/>
        <w:ind w:firstLine="640" w:firstLineChars="200"/>
        <w:rPr>
          <w:rFonts w:eastAsia="仿宋_GB2312"/>
          <w:color w:val="000000"/>
          <w:kern w:val="0"/>
          <w:sz w:val="32"/>
          <w:szCs w:val="32"/>
        </w:rPr>
      </w:pPr>
      <w:r>
        <w:rPr>
          <w:rFonts w:eastAsia="仿宋_GB2312"/>
          <w:sz w:val="32"/>
        </w:rPr>
        <w:t>应提供产品所采用的技术原理，产品组成，原材料的来源及制备方法，主要生产工艺，检验方法</w:t>
      </w:r>
      <w:r>
        <w:rPr>
          <w:rFonts w:hint="eastAsia" w:eastAsia="仿宋_GB2312"/>
          <w:sz w:val="32"/>
        </w:rPr>
        <w:t>（至少</w:t>
      </w:r>
      <w:r>
        <w:rPr>
          <w:rFonts w:eastAsia="仿宋_GB2312"/>
          <w:sz w:val="32"/>
        </w:rPr>
        <w:t>包括</w:t>
      </w:r>
      <w:r>
        <w:rPr>
          <w:rFonts w:hint="eastAsia" w:eastAsia="仿宋_GB2312"/>
          <w:sz w:val="32"/>
        </w:rPr>
        <w:t>反应</w:t>
      </w:r>
      <w:r>
        <w:rPr>
          <w:rFonts w:eastAsia="仿宋_GB2312"/>
          <w:sz w:val="32"/>
        </w:rPr>
        <w:t>体系参数、操作步骤等</w:t>
      </w:r>
      <w:r>
        <w:rPr>
          <w:rFonts w:hint="eastAsia" w:eastAsia="仿宋_GB2312"/>
          <w:sz w:val="32"/>
        </w:rPr>
        <w:t>）</w:t>
      </w:r>
      <w:r>
        <w:rPr>
          <w:rFonts w:eastAsia="仿宋_GB2312"/>
          <w:sz w:val="32"/>
        </w:rPr>
        <w:t>，</w:t>
      </w:r>
      <w:r>
        <w:rPr>
          <w:rFonts w:hint="eastAsia" w:eastAsia="仿宋_GB2312"/>
          <w:sz w:val="32"/>
          <w:szCs w:val="32"/>
        </w:rPr>
        <w:t>如</w:t>
      </w:r>
      <w:r>
        <w:rPr>
          <w:rFonts w:hint="default" w:eastAsia="仿宋_GB2312"/>
          <w:sz w:val="32"/>
          <w:lang w:eastAsia="zh-CN"/>
        </w:rPr>
        <w:t>申报产品包含</w:t>
      </w:r>
      <w:r>
        <w:rPr>
          <w:rFonts w:hint="eastAsia" w:eastAsia="仿宋_GB2312"/>
          <w:sz w:val="32"/>
          <w:szCs w:val="32"/>
        </w:rPr>
        <w:t>质控品，</w:t>
      </w:r>
      <w:r>
        <w:rPr>
          <w:rFonts w:eastAsia="仿宋_GB2312"/>
          <w:sz w:val="32"/>
          <w:szCs w:val="32"/>
        </w:rPr>
        <w:t>应提供</w:t>
      </w:r>
      <w:r>
        <w:rPr>
          <w:rFonts w:eastAsia="仿宋_GB2312"/>
          <w:sz w:val="32"/>
        </w:rPr>
        <w:t>质控品的制备方法及赋值情况，</w:t>
      </w:r>
      <w:r>
        <w:rPr>
          <w:rFonts w:hint="eastAsia" w:eastAsia="仿宋_GB2312"/>
          <w:sz w:val="32"/>
          <w:szCs w:val="32"/>
        </w:rPr>
        <w:t>如</w:t>
      </w:r>
      <w:r>
        <w:rPr>
          <w:rFonts w:hint="default" w:eastAsia="仿宋_GB2312"/>
          <w:sz w:val="32"/>
          <w:lang w:eastAsia="zh-CN"/>
        </w:rPr>
        <w:t>申报产品包含</w:t>
      </w:r>
      <w:r>
        <w:rPr>
          <w:rFonts w:hint="eastAsia" w:eastAsia="仿宋_GB2312"/>
          <w:sz w:val="32"/>
          <w:szCs w:val="32"/>
        </w:rPr>
        <w:t>校准品</w:t>
      </w:r>
      <w:r>
        <w:rPr>
          <w:rFonts w:eastAsia="仿宋_GB2312"/>
          <w:sz w:val="32"/>
        </w:rPr>
        <w:t>，应提供校准品的制备方法及溯源情况。</w:t>
      </w:r>
      <w:r>
        <w:rPr>
          <w:rFonts w:eastAsia="仿宋_GB2312"/>
          <w:sz w:val="32"/>
          <w:szCs w:val="32"/>
        </w:rPr>
        <w:t>应</w:t>
      </w:r>
      <w:r>
        <w:rPr>
          <w:rFonts w:eastAsia="仿宋_GB2312"/>
          <w:sz w:val="32"/>
        </w:rPr>
        <w:t>提供</w:t>
      </w:r>
      <w:r>
        <w:rPr>
          <w:rFonts w:eastAsia="仿宋_GB2312"/>
          <w:sz w:val="32"/>
          <w:szCs w:val="32"/>
        </w:rPr>
        <w:t>产品主要研究结果的总结和评价，包括分析性能评估、参考区间、稳定性以及临床评价等。</w:t>
      </w:r>
      <w:r>
        <w:rPr>
          <w:rFonts w:eastAsia="仿宋_GB2312"/>
          <w:sz w:val="32"/>
        </w:rPr>
        <w:t>提供</w:t>
      </w:r>
      <w:r>
        <w:rPr>
          <w:rFonts w:eastAsia="仿宋_GB2312"/>
          <w:sz w:val="32"/>
          <w:szCs w:val="32"/>
        </w:rPr>
        <w:t>不同包装规格之间的差异</w:t>
      </w:r>
      <w:r>
        <w:rPr>
          <w:rFonts w:hint="eastAsia" w:eastAsia="仿宋_GB2312"/>
          <w:sz w:val="32"/>
          <w:szCs w:val="32"/>
        </w:rPr>
        <w:t>描述</w:t>
      </w:r>
      <w:r>
        <w:rPr>
          <w:rFonts w:eastAsia="仿宋_GB2312"/>
          <w:sz w:val="32"/>
          <w:szCs w:val="32"/>
        </w:rPr>
        <w:t>。</w:t>
      </w:r>
      <w:r>
        <w:rPr>
          <w:rFonts w:eastAsia="仿宋_GB2312"/>
          <w:sz w:val="32"/>
        </w:rPr>
        <w:t>提供</w:t>
      </w:r>
      <w:r>
        <w:rPr>
          <w:rFonts w:eastAsia="仿宋_GB2312"/>
          <w:sz w:val="32"/>
          <w:szCs w:val="32"/>
        </w:rPr>
        <w:t>产品中使用的生物材料或衍生物（如适用），包括生物学来源（如人、动物、病原体、重组或发酵产物）和组织来源（如血液）。</w:t>
      </w:r>
      <w:r>
        <w:rPr>
          <w:rFonts w:eastAsia="仿宋_GB2312"/>
          <w:color w:val="000000"/>
          <w:sz w:val="32"/>
          <w:szCs w:val="32"/>
        </w:rPr>
        <w:t>人源性材料须对有关传染病（HIV、HBV、HCV等）病原体检测予以说明；</w:t>
      </w:r>
      <w:r>
        <w:rPr>
          <w:rFonts w:eastAsia="仿宋_GB2312"/>
          <w:sz w:val="32"/>
          <w:szCs w:val="32"/>
        </w:rPr>
        <w:t>其他动物源及微生物来源的材料，应当说明其在产品运输、使用过程中对使用者和环境是安全的，并提供相关的文件。</w:t>
      </w:r>
    </w:p>
    <w:p w14:paraId="351515C0">
      <w:pPr>
        <w:spacing w:line="520" w:lineRule="exact"/>
        <w:ind w:firstLine="640" w:firstLineChars="200"/>
        <w:rPr>
          <w:rFonts w:eastAsia="仿宋_GB2312"/>
          <w:color w:val="000000"/>
          <w:kern w:val="0"/>
          <w:sz w:val="32"/>
          <w:szCs w:val="32"/>
        </w:rPr>
      </w:pPr>
      <w:r>
        <w:rPr>
          <w:rFonts w:hint="eastAsia" w:eastAsia="仿宋_GB2312"/>
          <w:color w:val="000000"/>
          <w:kern w:val="0"/>
          <w:sz w:val="32"/>
          <w:szCs w:val="32"/>
        </w:rPr>
        <w:t>2</w:t>
      </w:r>
      <w:r>
        <w:rPr>
          <w:rFonts w:eastAsia="仿宋_GB2312"/>
          <w:color w:val="000000"/>
          <w:kern w:val="0"/>
          <w:sz w:val="32"/>
          <w:szCs w:val="32"/>
        </w:rPr>
        <w:t>.2包装描述</w:t>
      </w:r>
    </w:p>
    <w:p w14:paraId="4C613BB3">
      <w:pPr>
        <w:spacing w:line="520" w:lineRule="exact"/>
        <w:ind w:firstLine="640" w:firstLineChars="200"/>
        <w:rPr>
          <w:rFonts w:eastAsia="仿宋_GB2312"/>
          <w:color w:val="000000"/>
          <w:kern w:val="0"/>
          <w:sz w:val="32"/>
          <w:szCs w:val="32"/>
        </w:rPr>
      </w:pPr>
      <w:r>
        <w:rPr>
          <w:rFonts w:eastAsia="仿宋_GB2312"/>
          <w:color w:val="000000"/>
          <w:sz w:val="32"/>
          <w:szCs w:val="32"/>
        </w:rPr>
        <w:t>有关产品包装的信息，包括包装形状和材料。</w:t>
      </w:r>
    </w:p>
    <w:p w14:paraId="36D6FE96">
      <w:pPr>
        <w:spacing w:line="520" w:lineRule="exact"/>
        <w:ind w:firstLine="640" w:firstLineChars="200"/>
        <w:rPr>
          <w:rFonts w:eastAsia="仿宋_GB2312"/>
          <w:color w:val="000000"/>
          <w:kern w:val="0"/>
          <w:sz w:val="32"/>
          <w:szCs w:val="32"/>
        </w:rPr>
      </w:pPr>
      <w:r>
        <w:rPr>
          <w:rFonts w:hint="eastAsia" w:eastAsia="仿宋_GB2312"/>
          <w:color w:val="000000"/>
          <w:kern w:val="0"/>
          <w:sz w:val="32"/>
          <w:szCs w:val="32"/>
        </w:rPr>
        <w:t>2</w:t>
      </w:r>
      <w:r>
        <w:rPr>
          <w:rFonts w:eastAsia="仿宋_GB2312"/>
          <w:color w:val="000000"/>
          <w:kern w:val="0"/>
          <w:sz w:val="32"/>
          <w:szCs w:val="32"/>
        </w:rPr>
        <w:t>.3</w:t>
      </w:r>
      <w:r>
        <w:rPr>
          <w:rFonts w:hint="eastAsia" w:eastAsia="仿宋_GB2312"/>
          <w:color w:val="000000"/>
          <w:kern w:val="0"/>
          <w:sz w:val="32"/>
          <w:szCs w:val="32"/>
        </w:rPr>
        <w:t>研发历程</w:t>
      </w:r>
    </w:p>
    <w:p w14:paraId="2C74C55D">
      <w:pPr>
        <w:spacing w:line="520" w:lineRule="exact"/>
        <w:ind w:firstLine="640" w:firstLineChars="200"/>
        <w:rPr>
          <w:rFonts w:eastAsia="仿宋_GB2312"/>
          <w:color w:val="000000"/>
          <w:sz w:val="32"/>
          <w:szCs w:val="32"/>
        </w:rPr>
      </w:pPr>
      <w:r>
        <w:rPr>
          <w:rFonts w:eastAsia="仿宋_GB2312"/>
          <w:color w:val="000000"/>
          <w:sz w:val="32"/>
          <w:szCs w:val="32"/>
        </w:rPr>
        <w:t>阐述申请注册产品的研发背景和目的。如有参考的同类产品或前代产品，应当提供同类产品和/或前代产品的信息，并说明选择其作为研发参考的原因。</w:t>
      </w:r>
    </w:p>
    <w:p w14:paraId="32CCB100">
      <w:pPr>
        <w:spacing w:line="520" w:lineRule="exact"/>
        <w:ind w:firstLine="640" w:firstLineChars="200"/>
        <w:rPr>
          <w:rFonts w:eastAsia="仿宋_GB2312"/>
          <w:color w:val="000000"/>
          <w:kern w:val="0"/>
          <w:sz w:val="32"/>
          <w:szCs w:val="32"/>
        </w:rPr>
      </w:pPr>
      <w:r>
        <w:rPr>
          <w:rFonts w:hint="eastAsia" w:eastAsia="仿宋_GB2312"/>
          <w:color w:val="000000"/>
          <w:kern w:val="0"/>
          <w:sz w:val="32"/>
          <w:szCs w:val="32"/>
        </w:rPr>
        <w:t>2</w:t>
      </w:r>
      <w:r>
        <w:rPr>
          <w:rFonts w:eastAsia="仿宋_GB2312"/>
          <w:color w:val="000000"/>
          <w:kern w:val="0"/>
          <w:sz w:val="32"/>
          <w:szCs w:val="32"/>
        </w:rPr>
        <w:t>.4与同类和/或前代产品的比较</w:t>
      </w:r>
    </w:p>
    <w:p w14:paraId="2F871B08">
      <w:pPr>
        <w:spacing w:line="520" w:lineRule="exact"/>
        <w:ind w:firstLine="640" w:firstLineChars="200"/>
        <w:rPr>
          <w:rFonts w:eastAsia="仿宋_GB2312"/>
          <w:color w:val="000000"/>
          <w:sz w:val="32"/>
          <w:szCs w:val="32"/>
        </w:rPr>
      </w:pPr>
      <w:r>
        <w:rPr>
          <w:rFonts w:hint="eastAsia" w:eastAsia="仿宋_GB2312"/>
          <w:color w:val="000000"/>
          <w:kern w:val="0"/>
          <w:sz w:val="32"/>
          <w:szCs w:val="32"/>
        </w:rPr>
        <w:t>应列表</w:t>
      </w:r>
      <w:r>
        <w:rPr>
          <w:rFonts w:eastAsia="仿宋_GB2312"/>
          <w:color w:val="000000"/>
          <w:sz w:val="32"/>
          <w:szCs w:val="32"/>
        </w:rPr>
        <w:t>比较申报产品与同类产品和/或前代产品在技术原理、预期用途、使用方法、性能指标、临床应用情况等方面的异同。</w:t>
      </w:r>
    </w:p>
    <w:p w14:paraId="51D0919D">
      <w:pPr>
        <w:pStyle w:val="37"/>
        <w:outlineLvl w:val="2"/>
      </w:pPr>
      <w:r>
        <w:rPr>
          <w:rFonts w:hint="eastAsia"/>
        </w:rPr>
        <w:t>3</w:t>
      </w:r>
      <w:r>
        <w:t>.预期用途</w:t>
      </w:r>
    </w:p>
    <w:p w14:paraId="0A4684FE">
      <w:pPr>
        <w:spacing w:line="520" w:lineRule="exact"/>
        <w:ind w:firstLine="640" w:firstLineChars="200"/>
        <w:rPr>
          <w:rFonts w:eastAsia="仿宋_GB2312"/>
          <w:kern w:val="0"/>
          <w:sz w:val="32"/>
          <w:szCs w:val="32"/>
        </w:rPr>
      </w:pPr>
      <w:r>
        <w:rPr>
          <w:rFonts w:hint="eastAsia" w:eastAsia="仿宋_GB2312"/>
          <w:color w:val="000000"/>
          <w:kern w:val="0"/>
          <w:sz w:val="32"/>
          <w:szCs w:val="32"/>
        </w:rPr>
        <w:t>3.1</w:t>
      </w:r>
      <w:r>
        <w:rPr>
          <w:rFonts w:eastAsia="仿宋_GB2312"/>
          <w:color w:val="000000"/>
          <w:kern w:val="0"/>
          <w:sz w:val="32"/>
          <w:szCs w:val="32"/>
        </w:rPr>
        <w:t>预期用途：</w:t>
      </w:r>
      <w:r>
        <w:rPr>
          <w:rFonts w:eastAsia="仿宋_GB2312"/>
          <w:kern w:val="0"/>
          <w:sz w:val="32"/>
          <w:szCs w:val="32"/>
        </w:rPr>
        <w:t>用于体外定量检测人体</w:t>
      </w:r>
      <w:r>
        <w:rPr>
          <w:rFonts w:hint="eastAsia" w:eastAsia="仿宋_GB2312"/>
          <w:bCs/>
          <w:sz w:val="32"/>
          <w:szCs w:val="30"/>
          <w:lang w:bidi="ar"/>
        </w:rPr>
        <w:t>血清和</w:t>
      </w:r>
      <w:r>
        <w:rPr>
          <w:rFonts w:eastAsia="仿宋_GB2312"/>
          <w:bCs/>
          <w:sz w:val="32"/>
          <w:szCs w:val="30"/>
          <w:lang w:bidi="ar"/>
        </w:rPr>
        <w:t>/</w:t>
      </w:r>
      <w:r>
        <w:rPr>
          <w:rFonts w:hint="eastAsia" w:eastAsia="仿宋_GB2312"/>
          <w:bCs/>
          <w:sz w:val="32"/>
          <w:szCs w:val="30"/>
          <w:lang w:bidi="ar"/>
        </w:rPr>
        <w:t>或血浆等</w:t>
      </w:r>
      <w:r>
        <w:rPr>
          <w:rFonts w:hint="eastAsia" w:eastAsia="仿宋_GB2312"/>
          <w:kern w:val="0"/>
          <w:sz w:val="32"/>
          <w:szCs w:val="32"/>
        </w:rPr>
        <w:t>样本</w:t>
      </w:r>
      <w:r>
        <w:rPr>
          <w:rFonts w:eastAsia="仿宋_GB2312"/>
          <w:kern w:val="0"/>
          <w:sz w:val="32"/>
          <w:szCs w:val="32"/>
        </w:rPr>
        <w:t>中</w:t>
      </w:r>
      <w:r>
        <w:rPr>
          <w:rFonts w:hint="eastAsia" w:eastAsia="仿宋_GB2312"/>
          <w:sz w:val="32"/>
        </w:rPr>
        <w:t>二氧化碳</w:t>
      </w:r>
      <w:r>
        <w:rPr>
          <w:rFonts w:eastAsia="仿宋_GB2312"/>
          <w:sz w:val="32"/>
        </w:rPr>
        <w:t>的</w:t>
      </w:r>
      <w:r>
        <w:rPr>
          <w:rFonts w:eastAsia="仿宋_GB2312"/>
          <w:kern w:val="0"/>
          <w:sz w:val="32"/>
          <w:szCs w:val="32"/>
        </w:rPr>
        <w:t>含量。</w:t>
      </w:r>
      <w:r>
        <w:rPr>
          <w:rFonts w:hint="eastAsia" w:eastAsia="仿宋_GB2312"/>
          <w:kern w:val="0"/>
          <w:sz w:val="32"/>
          <w:szCs w:val="32"/>
        </w:rPr>
        <w:t>临床上作为体内酸碱平衡的评价指标。</w:t>
      </w:r>
      <w:r>
        <w:rPr>
          <w:rFonts w:eastAsia="仿宋_GB2312"/>
          <w:kern w:val="0"/>
          <w:sz w:val="32"/>
          <w:szCs w:val="32"/>
        </w:rPr>
        <w:t>应</w:t>
      </w:r>
      <w:r>
        <w:rPr>
          <w:rFonts w:hint="eastAsia" w:eastAsia="仿宋_GB2312"/>
          <w:kern w:val="0"/>
          <w:sz w:val="32"/>
          <w:szCs w:val="32"/>
        </w:rPr>
        <w:t>提</w:t>
      </w:r>
      <w:r>
        <w:rPr>
          <w:rFonts w:hint="eastAsia" w:eastAsia="仿宋_GB2312"/>
          <w:sz w:val="32"/>
        </w:rPr>
        <w:t>供该产品</w:t>
      </w:r>
      <w:r>
        <w:rPr>
          <w:rFonts w:eastAsia="仿宋_GB2312"/>
          <w:sz w:val="32"/>
        </w:rPr>
        <w:t>适用仪器</w:t>
      </w:r>
      <w:r>
        <w:rPr>
          <w:rFonts w:hint="eastAsia" w:eastAsia="仿宋_GB2312"/>
          <w:sz w:val="32"/>
        </w:rPr>
        <w:t>、</w:t>
      </w:r>
      <w:r>
        <w:rPr>
          <w:rFonts w:eastAsia="仿宋_GB2312"/>
          <w:sz w:val="32"/>
        </w:rPr>
        <w:t>使用方法</w:t>
      </w:r>
      <w:r>
        <w:rPr>
          <w:rFonts w:hint="eastAsia" w:eastAsia="仿宋_GB2312"/>
          <w:sz w:val="32"/>
        </w:rPr>
        <w:t>、</w:t>
      </w:r>
      <w:r>
        <w:rPr>
          <w:rFonts w:eastAsia="仿宋_GB2312"/>
          <w:sz w:val="32"/>
        </w:rPr>
        <w:t>样本采集及保存装置和/或添加剂</w:t>
      </w:r>
      <w:r>
        <w:rPr>
          <w:rFonts w:hint="eastAsia" w:eastAsia="仿宋_GB2312"/>
          <w:sz w:val="32"/>
        </w:rPr>
        <w:t>（</w:t>
      </w:r>
      <w:r>
        <w:rPr>
          <w:rFonts w:eastAsia="仿宋_GB2312"/>
          <w:sz w:val="32"/>
        </w:rPr>
        <w:t>如抗凝剂</w:t>
      </w:r>
      <w:r>
        <w:rPr>
          <w:rFonts w:hint="eastAsia" w:eastAsia="仿宋_GB2312"/>
          <w:spacing w:val="-1"/>
          <w:sz w:val="32"/>
          <w:szCs w:val="32"/>
          <w:lang w:bidi="ar"/>
        </w:rPr>
        <w:t>、保护剂</w:t>
      </w:r>
      <w:r>
        <w:rPr>
          <w:rFonts w:hint="eastAsia" w:eastAsia="仿宋_GB2312"/>
          <w:sz w:val="32"/>
        </w:rPr>
        <w:t>）</w:t>
      </w:r>
      <w:r>
        <w:rPr>
          <w:rFonts w:eastAsia="仿宋_GB2312"/>
          <w:sz w:val="32"/>
        </w:rPr>
        <w:t>等</w:t>
      </w:r>
      <w:r>
        <w:rPr>
          <w:rFonts w:hint="eastAsia" w:eastAsia="仿宋_GB2312"/>
          <w:sz w:val="32"/>
        </w:rPr>
        <w:t>信息</w:t>
      </w:r>
      <w:r>
        <w:rPr>
          <w:rFonts w:eastAsia="仿宋_GB2312"/>
          <w:sz w:val="32"/>
        </w:rPr>
        <w:t>。</w:t>
      </w:r>
      <w:r>
        <w:rPr>
          <w:rFonts w:hint="eastAsia" w:eastAsia="仿宋_GB2312"/>
          <w:bCs/>
          <w:sz w:val="32"/>
          <w:szCs w:val="32"/>
          <w:lang w:bidi="ar"/>
        </w:rPr>
        <w:t>适用的样本类型应结合分析性能研究及临床研究情况进行确认。</w:t>
      </w:r>
    </w:p>
    <w:p w14:paraId="6E04E725">
      <w:pPr>
        <w:spacing w:line="560" w:lineRule="exact"/>
        <w:ind w:firstLine="640" w:firstLineChars="200"/>
        <w:rPr>
          <w:rFonts w:eastAsia="仿宋_GB2312"/>
          <w:color w:val="000000"/>
          <w:sz w:val="32"/>
          <w:szCs w:val="32"/>
        </w:rPr>
      </w:pPr>
      <w:r>
        <w:rPr>
          <w:rFonts w:hint="eastAsia" w:eastAsia="仿宋_GB2312"/>
          <w:color w:val="000000"/>
          <w:sz w:val="32"/>
          <w:szCs w:val="32"/>
        </w:rPr>
        <w:t>3.2</w:t>
      </w:r>
      <w:r>
        <w:rPr>
          <w:rFonts w:eastAsia="仿宋_GB2312"/>
          <w:color w:val="000000"/>
          <w:sz w:val="32"/>
          <w:szCs w:val="32"/>
        </w:rPr>
        <w:t>临床适应</w:t>
      </w:r>
      <w:r>
        <w:rPr>
          <w:rFonts w:hint="eastAsia" w:eastAsia="仿宋_GB2312"/>
          <w:color w:val="000000"/>
          <w:sz w:val="32"/>
          <w:szCs w:val="32"/>
        </w:rPr>
        <w:t>证</w:t>
      </w:r>
      <w:r>
        <w:rPr>
          <w:rFonts w:eastAsia="仿宋_GB2312"/>
          <w:color w:val="000000"/>
          <w:sz w:val="32"/>
          <w:szCs w:val="32"/>
        </w:rPr>
        <w:t>：</w:t>
      </w:r>
      <w:r>
        <w:rPr>
          <w:rFonts w:hint="eastAsia" w:eastAsia="仿宋_GB2312"/>
          <w:sz w:val="32"/>
        </w:rPr>
        <w:t>二氧化碳</w:t>
      </w:r>
      <w:r>
        <w:rPr>
          <w:rFonts w:hint="eastAsia" w:eastAsia="仿宋_GB2312"/>
          <w:color w:val="000000"/>
          <w:sz w:val="32"/>
          <w:szCs w:val="32"/>
        </w:rPr>
        <w:t>生物学特征、功能与代谢途径</w:t>
      </w:r>
      <w:r>
        <w:rPr>
          <w:rFonts w:eastAsia="仿宋_GB2312"/>
          <w:color w:val="000000"/>
          <w:sz w:val="32"/>
          <w:szCs w:val="32"/>
        </w:rPr>
        <w:t>的详细介绍及与临床适应</w:t>
      </w:r>
      <w:r>
        <w:rPr>
          <w:rFonts w:hint="eastAsia" w:eastAsia="仿宋_GB2312"/>
          <w:color w:val="000000"/>
          <w:sz w:val="32"/>
          <w:szCs w:val="32"/>
        </w:rPr>
        <w:t>证</w:t>
      </w:r>
      <w:r>
        <w:rPr>
          <w:rFonts w:eastAsia="仿宋_GB2312"/>
          <w:color w:val="000000"/>
          <w:sz w:val="32"/>
          <w:szCs w:val="32"/>
        </w:rPr>
        <w:t>的关系，临床或实验室诊断方法</w:t>
      </w:r>
      <w:r>
        <w:rPr>
          <w:rFonts w:hint="eastAsia" w:eastAsia="仿宋_GB2312"/>
          <w:color w:val="000000"/>
          <w:sz w:val="32"/>
          <w:szCs w:val="32"/>
        </w:rPr>
        <w:t>等</w:t>
      </w:r>
      <w:r>
        <w:rPr>
          <w:rFonts w:eastAsia="仿宋_GB2312"/>
          <w:color w:val="000000"/>
          <w:sz w:val="32"/>
          <w:szCs w:val="32"/>
        </w:rPr>
        <w:t>。</w:t>
      </w:r>
    </w:p>
    <w:p w14:paraId="724CDED1">
      <w:pPr>
        <w:spacing w:line="560" w:lineRule="exact"/>
        <w:ind w:firstLine="640" w:firstLineChars="200"/>
        <w:rPr>
          <w:rFonts w:eastAsia="仿宋_GB2312"/>
          <w:color w:val="000000"/>
          <w:sz w:val="32"/>
          <w:szCs w:val="32"/>
        </w:rPr>
      </w:pPr>
      <w:r>
        <w:rPr>
          <w:rFonts w:hint="eastAsia" w:eastAsia="仿宋_GB2312"/>
          <w:color w:val="000000"/>
          <w:sz w:val="32"/>
          <w:szCs w:val="32"/>
        </w:rPr>
        <w:t>二氧化碳总量（T-CO</w:t>
      </w:r>
      <w:r>
        <w:rPr>
          <w:rFonts w:hint="eastAsia" w:eastAsia="仿宋_GB2312"/>
          <w:color w:val="000000"/>
          <w:sz w:val="32"/>
          <w:szCs w:val="32"/>
          <w:vertAlign w:val="subscript"/>
        </w:rPr>
        <w:t>2</w:t>
      </w:r>
      <w:r>
        <w:rPr>
          <w:rFonts w:hint="eastAsia" w:eastAsia="仿宋_GB2312"/>
          <w:color w:val="000000"/>
          <w:sz w:val="32"/>
          <w:szCs w:val="32"/>
        </w:rPr>
        <w:t>）是指血清、血浆中各种形式的CO</w:t>
      </w:r>
      <w:r>
        <w:rPr>
          <w:rFonts w:hint="eastAsia" w:eastAsia="仿宋_GB2312"/>
          <w:color w:val="000000"/>
          <w:sz w:val="32"/>
          <w:szCs w:val="32"/>
          <w:vertAlign w:val="subscript"/>
        </w:rPr>
        <w:t>2</w:t>
      </w:r>
      <w:r>
        <w:rPr>
          <w:rFonts w:hint="eastAsia" w:eastAsia="仿宋_GB2312"/>
          <w:color w:val="000000"/>
          <w:sz w:val="32"/>
          <w:szCs w:val="32"/>
        </w:rPr>
        <w:t>的总和，包括HCO</w:t>
      </w:r>
      <w:r>
        <w:rPr>
          <w:rFonts w:hint="eastAsia" w:eastAsia="仿宋_GB2312"/>
          <w:color w:val="000000"/>
          <w:sz w:val="32"/>
          <w:szCs w:val="32"/>
          <w:vertAlign w:val="subscript"/>
        </w:rPr>
        <w:t>3</w:t>
      </w:r>
      <w:r>
        <w:rPr>
          <w:rFonts w:hint="eastAsia" w:eastAsia="仿宋_GB2312"/>
          <w:color w:val="000000"/>
          <w:sz w:val="32"/>
          <w:szCs w:val="32"/>
          <w:vertAlign w:val="superscript"/>
        </w:rPr>
        <w:t>-</w:t>
      </w:r>
      <w:r>
        <w:rPr>
          <w:rFonts w:hint="eastAsia" w:eastAsia="仿宋_GB2312"/>
          <w:color w:val="000000"/>
          <w:sz w:val="32"/>
          <w:szCs w:val="32"/>
        </w:rPr>
        <w:t>（95%）、少量物理溶解的CO</w:t>
      </w:r>
      <w:r>
        <w:rPr>
          <w:rFonts w:hint="eastAsia" w:eastAsia="仿宋_GB2312"/>
          <w:color w:val="000000"/>
          <w:sz w:val="32"/>
          <w:szCs w:val="32"/>
          <w:vertAlign w:val="subscript"/>
        </w:rPr>
        <w:t>2</w:t>
      </w:r>
      <w:r>
        <w:rPr>
          <w:rFonts w:hint="eastAsia" w:eastAsia="仿宋_GB2312"/>
          <w:color w:val="000000"/>
          <w:sz w:val="32"/>
          <w:szCs w:val="32"/>
        </w:rPr>
        <w:t>及极少量的其他形式存在的CO</w:t>
      </w:r>
      <w:r>
        <w:rPr>
          <w:rFonts w:hint="eastAsia" w:eastAsia="仿宋_GB2312"/>
          <w:color w:val="000000"/>
          <w:sz w:val="32"/>
          <w:szCs w:val="32"/>
          <w:vertAlign w:val="subscript"/>
        </w:rPr>
        <w:t>2</w:t>
      </w:r>
      <w:r>
        <w:rPr>
          <w:rFonts w:hint="eastAsia" w:eastAsia="仿宋_GB2312"/>
          <w:color w:val="000000"/>
          <w:sz w:val="32"/>
          <w:szCs w:val="32"/>
        </w:rPr>
        <w:t>。CO</w:t>
      </w:r>
      <w:r>
        <w:rPr>
          <w:rFonts w:hint="eastAsia" w:eastAsia="仿宋_GB2312"/>
          <w:color w:val="000000"/>
          <w:sz w:val="32"/>
          <w:szCs w:val="32"/>
          <w:vertAlign w:val="subscript"/>
        </w:rPr>
        <w:t>2</w:t>
      </w:r>
      <w:r>
        <w:rPr>
          <w:rFonts w:hint="eastAsia" w:eastAsia="仿宋_GB2312"/>
          <w:color w:val="000000"/>
          <w:sz w:val="32"/>
          <w:szCs w:val="32"/>
        </w:rPr>
        <w:t>在体内受呼吸和代谢两个因素的影响，主要是代谢因素的影响。病理性增高：代谢性碱中毒，如缺钾、肾上腺皮质功能亢进、过量使用肾上腺皮质激素，由于碱性物质产生过多或肾功能不全，使肾脏排出HCO</w:t>
      </w:r>
      <w:r>
        <w:rPr>
          <w:rFonts w:hint="eastAsia" w:eastAsia="仿宋_GB2312"/>
          <w:color w:val="000000"/>
          <w:sz w:val="32"/>
          <w:szCs w:val="32"/>
          <w:vertAlign w:val="subscript"/>
        </w:rPr>
        <w:t>3</w:t>
      </w:r>
      <w:r>
        <w:rPr>
          <w:rFonts w:hint="eastAsia" w:eastAsia="仿宋_GB2312"/>
          <w:color w:val="000000"/>
          <w:sz w:val="32"/>
          <w:szCs w:val="32"/>
          <w:vertAlign w:val="superscript"/>
        </w:rPr>
        <w:t>-</w:t>
      </w:r>
      <w:r>
        <w:rPr>
          <w:rFonts w:hint="eastAsia" w:eastAsia="仿宋_GB2312"/>
          <w:color w:val="000000"/>
          <w:sz w:val="32"/>
          <w:szCs w:val="32"/>
        </w:rPr>
        <w:t>减少，重吸收HCO</w:t>
      </w:r>
      <w:r>
        <w:rPr>
          <w:rFonts w:hint="eastAsia" w:eastAsia="仿宋_GB2312"/>
          <w:color w:val="000000"/>
          <w:sz w:val="32"/>
          <w:szCs w:val="32"/>
          <w:vertAlign w:val="subscript"/>
        </w:rPr>
        <w:t>3</w:t>
      </w:r>
      <w:r>
        <w:rPr>
          <w:rFonts w:hint="eastAsia" w:eastAsia="仿宋_GB2312"/>
          <w:color w:val="000000"/>
          <w:sz w:val="32"/>
          <w:szCs w:val="32"/>
          <w:vertAlign w:val="superscript"/>
        </w:rPr>
        <w:t>-</w:t>
      </w:r>
      <w:r>
        <w:rPr>
          <w:rFonts w:hint="eastAsia" w:eastAsia="仿宋_GB2312"/>
          <w:color w:val="000000"/>
          <w:sz w:val="32"/>
          <w:szCs w:val="32"/>
        </w:rPr>
        <w:t>增加、导致CO</w:t>
      </w:r>
      <w:r>
        <w:rPr>
          <w:rFonts w:hint="eastAsia" w:eastAsia="仿宋_GB2312"/>
          <w:color w:val="000000"/>
          <w:sz w:val="32"/>
          <w:szCs w:val="32"/>
          <w:vertAlign w:val="subscript"/>
        </w:rPr>
        <w:t>2</w:t>
      </w:r>
      <w:r>
        <w:rPr>
          <w:rFonts w:hint="eastAsia" w:eastAsia="仿宋_GB2312"/>
          <w:color w:val="000000"/>
          <w:sz w:val="32"/>
          <w:szCs w:val="32"/>
        </w:rPr>
        <w:t>升高，</w:t>
      </w:r>
      <w:r>
        <w:rPr>
          <w:rFonts w:hint="eastAsia" w:eastAsia="仿宋_GB2312"/>
          <w:sz w:val="32"/>
          <w:szCs w:val="32"/>
        </w:rPr>
        <w:t>这是二氧化碳结合力（CO</w:t>
      </w:r>
      <w:r>
        <w:rPr>
          <w:rFonts w:hint="eastAsia" w:eastAsia="仿宋_GB2312"/>
          <w:sz w:val="32"/>
          <w:szCs w:val="32"/>
          <w:vertAlign w:val="subscript"/>
        </w:rPr>
        <w:t>2</w:t>
      </w:r>
      <w:r>
        <w:rPr>
          <w:rFonts w:hint="eastAsia" w:eastAsia="仿宋_GB2312"/>
          <w:sz w:val="32"/>
          <w:szCs w:val="32"/>
        </w:rPr>
        <w:t>CP）升</w:t>
      </w:r>
      <w:r>
        <w:rPr>
          <w:rFonts w:hint="eastAsia" w:eastAsia="仿宋_GB2312"/>
          <w:color w:val="000000"/>
          <w:sz w:val="32"/>
          <w:szCs w:val="32"/>
        </w:rPr>
        <w:t>高的主要原因；呼吸性酸中毒，如呼吸道阻塞、重症肺气肿、支气管扩张、肺水肿，由于CO</w:t>
      </w:r>
      <w:r>
        <w:rPr>
          <w:rFonts w:hint="eastAsia" w:eastAsia="仿宋_GB2312"/>
          <w:color w:val="000000"/>
          <w:sz w:val="32"/>
          <w:szCs w:val="32"/>
          <w:vertAlign w:val="subscript"/>
        </w:rPr>
        <w:t>2</w:t>
      </w:r>
      <w:r>
        <w:rPr>
          <w:rFonts w:hint="eastAsia" w:eastAsia="仿宋_GB2312"/>
          <w:color w:val="000000"/>
          <w:sz w:val="32"/>
          <w:szCs w:val="32"/>
        </w:rPr>
        <w:t>排出减少，也可使CO</w:t>
      </w:r>
      <w:r>
        <w:rPr>
          <w:rFonts w:hint="eastAsia" w:eastAsia="仿宋_GB2312"/>
          <w:color w:val="000000"/>
          <w:sz w:val="32"/>
          <w:szCs w:val="32"/>
          <w:vertAlign w:val="subscript"/>
        </w:rPr>
        <w:t>2</w:t>
      </w:r>
      <w:r>
        <w:rPr>
          <w:rFonts w:hint="eastAsia" w:eastAsia="仿宋_GB2312"/>
          <w:color w:val="000000"/>
          <w:sz w:val="32"/>
          <w:szCs w:val="32"/>
        </w:rPr>
        <w:t>CP增加。病理性降低：代谢性酸中毒，如糖尿病酮症酸中毒、尿毒症、休克、严重腹泻、脱水等，由于酸性物质产生过多或肾功能不全，使肾脏排出HCO</w:t>
      </w:r>
      <w:r>
        <w:rPr>
          <w:rFonts w:hint="eastAsia" w:eastAsia="仿宋_GB2312"/>
          <w:color w:val="000000"/>
          <w:sz w:val="32"/>
          <w:szCs w:val="32"/>
          <w:vertAlign w:val="subscript"/>
        </w:rPr>
        <w:t>3</w:t>
      </w:r>
      <w:r>
        <w:rPr>
          <w:rFonts w:hint="eastAsia" w:eastAsia="仿宋_GB2312"/>
          <w:color w:val="000000"/>
          <w:sz w:val="32"/>
          <w:szCs w:val="32"/>
          <w:vertAlign w:val="superscript"/>
        </w:rPr>
        <w:t>-</w:t>
      </w:r>
      <w:r>
        <w:rPr>
          <w:rFonts w:hint="eastAsia" w:eastAsia="仿宋_GB2312"/>
          <w:color w:val="000000"/>
          <w:sz w:val="32"/>
          <w:szCs w:val="32"/>
        </w:rPr>
        <w:t>增加，重吸收HCO</w:t>
      </w:r>
      <w:r>
        <w:rPr>
          <w:rFonts w:hint="eastAsia" w:eastAsia="仿宋_GB2312"/>
          <w:color w:val="000000"/>
          <w:sz w:val="32"/>
          <w:szCs w:val="32"/>
          <w:vertAlign w:val="subscript"/>
        </w:rPr>
        <w:t>3</w:t>
      </w:r>
      <w:r>
        <w:rPr>
          <w:rFonts w:hint="eastAsia" w:eastAsia="仿宋_GB2312"/>
          <w:color w:val="000000"/>
          <w:sz w:val="32"/>
          <w:szCs w:val="32"/>
          <w:vertAlign w:val="superscript"/>
        </w:rPr>
        <w:t>-</w:t>
      </w:r>
      <w:r>
        <w:rPr>
          <w:rFonts w:hint="eastAsia" w:eastAsia="仿宋_GB2312"/>
          <w:color w:val="000000"/>
          <w:sz w:val="32"/>
          <w:szCs w:val="32"/>
        </w:rPr>
        <w:t>减少，导致CO</w:t>
      </w:r>
      <w:r>
        <w:rPr>
          <w:rFonts w:hint="eastAsia" w:eastAsia="仿宋_GB2312"/>
          <w:color w:val="000000"/>
          <w:sz w:val="32"/>
          <w:szCs w:val="32"/>
          <w:vertAlign w:val="subscript"/>
        </w:rPr>
        <w:t>2</w:t>
      </w:r>
      <w:r>
        <w:rPr>
          <w:rFonts w:hint="eastAsia" w:eastAsia="仿宋_GB2312"/>
          <w:color w:val="000000"/>
          <w:sz w:val="32"/>
          <w:szCs w:val="32"/>
        </w:rPr>
        <w:t>CP减低，这是CO</w:t>
      </w:r>
      <w:r>
        <w:rPr>
          <w:rFonts w:hint="eastAsia" w:eastAsia="仿宋_GB2312"/>
          <w:color w:val="000000"/>
          <w:sz w:val="32"/>
          <w:szCs w:val="32"/>
          <w:vertAlign w:val="subscript"/>
        </w:rPr>
        <w:t>2</w:t>
      </w:r>
      <w:r>
        <w:rPr>
          <w:rFonts w:hint="eastAsia" w:eastAsia="仿宋_GB2312"/>
          <w:color w:val="000000"/>
          <w:sz w:val="32"/>
          <w:szCs w:val="32"/>
        </w:rPr>
        <w:t>CP降低的主要原因；呼吸性碱中毒，如呼吸中枢兴奋、呼吸增快、换气过度，由于CO</w:t>
      </w:r>
      <w:r>
        <w:rPr>
          <w:rFonts w:hint="eastAsia" w:eastAsia="仿宋_GB2312"/>
          <w:color w:val="000000"/>
          <w:sz w:val="32"/>
          <w:szCs w:val="32"/>
          <w:vertAlign w:val="subscript"/>
        </w:rPr>
        <w:t>2</w:t>
      </w:r>
      <w:r>
        <w:rPr>
          <w:rFonts w:hint="eastAsia" w:eastAsia="仿宋_GB2312"/>
          <w:color w:val="000000"/>
          <w:sz w:val="32"/>
          <w:szCs w:val="32"/>
        </w:rPr>
        <w:t>排出过多，也可使CO</w:t>
      </w:r>
      <w:r>
        <w:rPr>
          <w:rFonts w:hint="eastAsia" w:eastAsia="仿宋_GB2312"/>
          <w:color w:val="000000"/>
          <w:sz w:val="32"/>
          <w:szCs w:val="32"/>
          <w:vertAlign w:val="subscript"/>
        </w:rPr>
        <w:t>2</w:t>
      </w:r>
      <w:r>
        <w:rPr>
          <w:rFonts w:hint="eastAsia" w:eastAsia="仿宋_GB2312"/>
          <w:color w:val="000000"/>
          <w:sz w:val="32"/>
          <w:szCs w:val="32"/>
        </w:rPr>
        <w:t>CP减低。临床上作为体内酸碱平衡的评价指标。</w:t>
      </w:r>
    </w:p>
    <w:p w14:paraId="766380E1">
      <w:pPr>
        <w:spacing w:line="560" w:lineRule="exact"/>
        <w:ind w:firstLine="640" w:firstLineChars="200"/>
        <w:rPr>
          <w:rFonts w:eastAsia="仿宋_GB2312"/>
          <w:color w:val="000000"/>
          <w:sz w:val="32"/>
          <w:szCs w:val="32"/>
          <w:highlight w:val="yellow"/>
        </w:rPr>
      </w:pPr>
      <w:r>
        <w:rPr>
          <w:rFonts w:hint="eastAsia" w:eastAsia="仿宋_GB2312"/>
          <w:color w:val="000000"/>
          <w:sz w:val="32"/>
          <w:szCs w:val="32"/>
        </w:rPr>
        <w:t>目前，二氧化碳的检测方法主要有酶法、电极法、比色法等，已上市产品的检测方法多为PEPC酶法。</w:t>
      </w:r>
    </w:p>
    <w:p w14:paraId="0BCB85B6">
      <w:pPr>
        <w:spacing w:line="520" w:lineRule="exact"/>
        <w:ind w:firstLine="640" w:firstLineChars="200"/>
        <w:rPr>
          <w:rFonts w:eastAsia="仿宋_GB2312"/>
          <w:color w:val="000000"/>
          <w:sz w:val="32"/>
          <w:szCs w:val="32"/>
        </w:rPr>
      </w:pPr>
      <w:r>
        <w:rPr>
          <w:rFonts w:hint="eastAsia" w:eastAsia="仿宋_GB2312"/>
          <w:color w:val="000000"/>
          <w:sz w:val="32"/>
          <w:szCs w:val="32"/>
        </w:rPr>
        <w:t>3.3</w:t>
      </w:r>
      <w:r>
        <w:rPr>
          <w:rFonts w:eastAsia="仿宋_GB2312"/>
          <w:color w:val="000000"/>
          <w:sz w:val="32"/>
          <w:szCs w:val="32"/>
        </w:rPr>
        <w:t>适用人群：目标患者/人群的信息，对于适用人群包含亚群、儿童或新生儿的情况，应进行明确。</w:t>
      </w:r>
    </w:p>
    <w:p w14:paraId="4EFA85B9">
      <w:pPr>
        <w:spacing w:line="520" w:lineRule="exact"/>
        <w:ind w:firstLine="640" w:firstLineChars="200"/>
        <w:rPr>
          <w:rFonts w:eastAsia="仿宋_GB2312"/>
          <w:color w:val="000000"/>
          <w:sz w:val="32"/>
          <w:szCs w:val="32"/>
        </w:rPr>
      </w:pPr>
      <w:r>
        <w:rPr>
          <w:rFonts w:hint="eastAsia" w:eastAsia="仿宋_GB2312"/>
          <w:color w:val="000000"/>
          <w:sz w:val="32"/>
          <w:szCs w:val="32"/>
        </w:rPr>
        <w:t>3.4预期使用者：经过专业培训的医务人员或实验室专业技术人员。</w:t>
      </w:r>
    </w:p>
    <w:p w14:paraId="071936AC">
      <w:pPr>
        <w:spacing w:line="520" w:lineRule="exact"/>
        <w:ind w:firstLine="640" w:firstLineChars="200"/>
        <w:rPr>
          <w:rFonts w:eastAsia="仿宋_GB2312"/>
          <w:color w:val="000000"/>
          <w:sz w:val="32"/>
          <w:szCs w:val="32"/>
        </w:rPr>
      </w:pPr>
      <w:r>
        <w:rPr>
          <w:rFonts w:hint="eastAsia" w:eastAsia="仿宋_GB2312" w:cs="仿宋_GB2312"/>
          <w:sz w:val="32"/>
          <w:szCs w:val="32"/>
        </w:rPr>
        <w:t>3.5预期使用环境：预期使用地点为医学检验实验室或医院、医疗/临床实验室，其检测过程中的环境条件应符合适用仪器正常工作环境条件，并且试剂储存需满足说明书规定的储存条件及有效期。</w:t>
      </w:r>
    </w:p>
    <w:p w14:paraId="65CEEFBD">
      <w:pPr>
        <w:pStyle w:val="37"/>
        <w:outlineLvl w:val="2"/>
      </w:pPr>
      <w:r>
        <w:rPr>
          <w:rFonts w:hint="eastAsia"/>
        </w:rPr>
        <w:t>4</w:t>
      </w:r>
      <w:r>
        <w:t>.申报产品上市历史</w:t>
      </w:r>
      <w:r>
        <w:rPr>
          <w:rFonts w:hint="eastAsia"/>
        </w:rPr>
        <w:t>（</w:t>
      </w:r>
      <w:r>
        <w:t>如适用</w:t>
      </w:r>
      <w:r>
        <w:rPr>
          <w:rFonts w:hint="eastAsia"/>
        </w:rPr>
        <w:t>）</w:t>
      </w:r>
    </w:p>
    <w:p w14:paraId="0FBBA323">
      <w:pPr>
        <w:pStyle w:val="37"/>
        <w:outlineLvl w:val="2"/>
      </w:pPr>
      <w:r>
        <w:rPr>
          <w:rFonts w:hint="eastAsia"/>
        </w:rPr>
        <w:t>5</w:t>
      </w:r>
      <w:r>
        <w:t>.其他需说明的内容</w:t>
      </w:r>
    </w:p>
    <w:p w14:paraId="0E0DF00E">
      <w:pPr>
        <w:spacing w:line="560" w:lineRule="exact"/>
        <w:ind w:firstLine="640" w:firstLineChars="200"/>
        <w:rPr>
          <w:rFonts w:eastAsia="仿宋_GB2312"/>
          <w:sz w:val="32"/>
          <w:szCs w:val="32"/>
        </w:rPr>
      </w:pPr>
      <w:r>
        <w:rPr>
          <w:rFonts w:eastAsia="仿宋_GB2312"/>
          <w:sz w:val="32"/>
          <w:szCs w:val="32"/>
        </w:rPr>
        <w:t>除申报产品外，检测系统的其他组成部分，包括但不限于</w:t>
      </w:r>
      <w:r>
        <w:rPr>
          <w:rFonts w:hint="eastAsia" w:eastAsia="仿宋_GB2312"/>
          <w:sz w:val="32"/>
          <w:szCs w:val="32"/>
        </w:rPr>
        <w:t>:</w:t>
      </w:r>
      <w:r>
        <w:rPr>
          <w:rFonts w:eastAsia="仿宋_GB2312"/>
          <w:sz w:val="32"/>
          <w:szCs w:val="32"/>
        </w:rPr>
        <w:t>样本处理用试剂、适用仪器、质控品</w:t>
      </w:r>
      <w:r>
        <w:rPr>
          <w:rFonts w:hint="eastAsia" w:eastAsia="仿宋_GB2312"/>
          <w:sz w:val="32"/>
          <w:szCs w:val="32"/>
        </w:rPr>
        <w:t>、</w:t>
      </w:r>
      <w:r>
        <w:rPr>
          <w:rFonts w:eastAsia="仿宋_GB2312"/>
          <w:sz w:val="32"/>
          <w:szCs w:val="32"/>
        </w:rPr>
        <w:t>校准品、独立软件</w:t>
      </w:r>
      <w:r>
        <w:rPr>
          <w:rFonts w:hint="eastAsia" w:eastAsia="仿宋_GB2312"/>
          <w:sz w:val="32"/>
          <w:szCs w:val="32"/>
        </w:rPr>
        <w:t>（如适用）</w:t>
      </w:r>
      <w:r>
        <w:rPr>
          <w:rFonts w:eastAsia="仿宋_GB2312"/>
          <w:sz w:val="32"/>
          <w:szCs w:val="32"/>
        </w:rPr>
        <w:t>等基本信息，及其在检测中发挥的作用，必要时应提交相应的说明书。</w:t>
      </w:r>
    </w:p>
    <w:p w14:paraId="500A9B12">
      <w:pPr>
        <w:spacing w:line="560" w:lineRule="exact"/>
        <w:ind w:firstLine="640" w:firstLineChars="200"/>
        <w:rPr>
          <w:rFonts w:eastAsia="黑体"/>
          <w:sz w:val="32"/>
          <w:szCs w:val="32"/>
        </w:rPr>
      </w:pPr>
      <w:r>
        <w:rPr>
          <w:rFonts w:eastAsia="仿宋_GB2312"/>
          <w:sz w:val="32"/>
          <w:szCs w:val="32"/>
        </w:rPr>
        <w:t>对于已获得批准的检测系统的其他组成部分，应当提供注册证编号和国家药监局官方网站公布的注册证信息。</w:t>
      </w:r>
    </w:p>
    <w:p w14:paraId="16D92CDA">
      <w:pPr>
        <w:pStyle w:val="35"/>
      </w:pPr>
      <w:r>
        <w:t>（</w:t>
      </w:r>
      <w:r>
        <w:rPr>
          <w:rFonts w:hint="eastAsia"/>
        </w:rPr>
        <w:t>三</w:t>
      </w:r>
      <w:r>
        <w:t>）非临床</w:t>
      </w:r>
      <w:r>
        <w:rPr>
          <w:rFonts w:hint="eastAsia"/>
        </w:rPr>
        <w:t>评价</w:t>
      </w:r>
      <w:r>
        <w:t>资料</w:t>
      </w:r>
    </w:p>
    <w:p w14:paraId="25732482">
      <w:pPr>
        <w:pStyle w:val="37"/>
        <w:outlineLvl w:val="2"/>
      </w:pPr>
      <w:r>
        <w:rPr>
          <w:rFonts w:hint="eastAsia"/>
        </w:rPr>
        <w:t>1</w:t>
      </w:r>
      <w:r>
        <w:t>.产品风险管理资料</w:t>
      </w:r>
    </w:p>
    <w:p w14:paraId="34276C5D">
      <w:pPr>
        <w:spacing w:line="520" w:lineRule="exact"/>
        <w:ind w:firstLine="640" w:firstLineChars="200"/>
        <w:rPr>
          <w:rFonts w:eastAsia="仿宋_GB2312"/>
          <w:sz w:val="32"/>
          <w:szCs w:val="32"/>
        </w:rPr>
      </w:pPr>
      <w:r>
        <w:rPr>
          <w:rFonts w:hint="eastAsia" w:eastAsia="仿宋_GB2312"/>
          <w:sz w:val="32"/>
          <w:szCs w:val="32"/>
        </w:rPr>
        <w:t>风险</w:t>
      </w:r>
      <w:r>
        <w:rPr>
          <w:rFonts w:eastAsia="仿宋_GB2312"/>
          <w:sz w:val="32"/>
          <w:szCs w:val="32"/>
        </w:rPr>
        <w:t>管理资料应符合</w:t>
      </w:r>
      <w:r>
        <w:rPr>
          <w:rFonts w:hint="eastAsia" w:eastAsia="仿宋_GB2312"/>
          <w:sz w:val="32"/>
          <w:szCs w:val="32"/>
        </w:rPr>
        <w:t>GB</w:t>
      </w:r>
      <w:r>
        <w:rPr>
          <w:rFonts w:eastAsia="仿宋_GB2312"/>
          <w:sz w:val="32"/>
          <w:szCs w:val="32"/>
        </w:rPr>
        <w:t xml:space="preserve">/T </w:t>
      </w:r>
      <w:r>
        <w:rPr>
          <w:rFonts w:hint="eastAsia" w:eastAsia="仿宋_GB2312"/>
          <w:sz w:val="32"/>
          <w:szCs w:val="32"/>
        </w:rPr>
        <w:t>42062</w:t>
      </w:r>
      <w:r>
        <w:rPr>
          <w:rFonts w:eastAsia="仿宋_GB2312"/>
          <w:sz w:val="32"/>
          <w:szCs w:val="32"/>
        </w:rPr>
        <w:t>《医疗器械</w:t>
      </w:r>
      <w:r>
        <w:rPr>
          <w:rFonts w:hint="eastAsia" w:eastAsia="仿宋_GB2312"/>
          <w:sz w:val="32"/>
          <w:szCs w:val="32"/>
        </w:rPr>
        <w:t xml:space="preserve"> </w:t>
      </w:r>
      <w:r>
        <w:rPr>
          <w:rFonts w:eastAsia="仿宋_GB2312"/>
          <w:sz w:val="32"/>
          <w:szCs w:val="32"/>
        </w:rPr>
        <w:t>风险管理对医疗器械的应用》的要求。申请人应考虑产品</w:t>
      </w:r>
      <w:r>
        <w:rPr>
          <w:rFonts w:hint="eastAsia" w:eastAsia="仿宋_GB2312"/>
          <w:sz w:val="32"/>
          <w:szCs w:val="32"/>
        </w:rPr>
        <w:t>全生命</w:t>
      </w:r>
      <w:r>
        <w:rPr>
          <w:rFonts w:eastAsia="仿宋_GB2312"/>
          <w:sz w:val="32"/>
          <w:szCs w:val="32"/>
        </w:rPr>
        <w:t>周期</w:t>
      </w:r>
      <w:r>
        <w:rPr>
          <w:rFonts w:hint="eastAsia" w:eastAsia="仿宋_GB2312"/>
          <w:sz w:val="32"/>
          <w:szCs w:val="32"/>
        </w:rPr>
        <w:t>中</w:t>
      </w:r>
      <w:r>
        <w:rPr>
          <w:rFonts w:eastAsia="仿宋_GB2312"/>
          <w:sz w:val="32"/>
          <w:szCs w:val="32"/>
        </w:rPr>
        <w:t>的各个环节，从</w:t>
      </w:r>
      <w:r>
        <w:rPr>
          <w:rFonts w:hint="eastAsia" w:eastAsia="仿宋_GB2312"/>
          <w:sz w:val="32"/>
          <w:szCs w:val="28"/>
        </w:rPr>
        <w:t>产品设计开发、原材料的采购控制、生产、</w:t>
      </w:r>
      <w:r>
        <w:rPr>
          <w:rFonts w:eastAsia="仿宋_GB2312"/>
          <w:sz w:val="32"/>
          <w:szCs w:val="32"/>
        </w:rPr>
        <w:t>预期用途、可能的使用错误、与安全性有关的特征、已知及可预见的危害等方面进行风险分析、风险评价和相应的风险控制基础上，综合评价产品风险可接受程度，形成风险管理资料</w:t>
      </w:r>
      <w:r>
        <w:rPr>
          <w:rFonts w:hint="eastAsia" w:eastAsia="仿宋_GB2312"/>
          <w:sz w:val="32"/>
          <w:szCs w:val="32"/>
        </w:rPr>
        <w:t>。</w:t>
      </w:r>
    </w:p>
    <w:p w14:paraId="1EDDB8B3">
      <w:pPr>
        <w:spacing w:line="520" w:lineRule="exact"/>
        <w:ind w:firstLine="640" w:firstLineChars="200"/>
        <w:rPr>
          <w:rFonts w:eastAsia="仿宋_GB2312"/>
          <w:sz w:val="32"/>
          <w:szCs w:val="32"/>
        </w:rPr>
      </w:pPr>
      <w:r>
        <w:rPr>
          <w:rFonts w:hint="eastAsia" w:eastAsia="仿宋_GB2312"/>
          <w:sz w:val="32"/>
          <w:szCs w:val="32"/>
        </w:rPr>
        <w:t>申请人</w:t>
      </w:r>
      <w:r>
        <w:rPr>
          <w:rFonts w:eastAsia="仿宋_GB2312"/>
          <w:sz w:val="32"/>
          <w:szCs w:val="32"/>
        </w:rPr>
        <w:t>应针对</w:t>
      </w:r>
      <w:r>
        <w:rPr>
          <w:rFonts w:hint="eastAsia" w:eastAsia="仿宋_GB2312"/>
          <w:sz w:val="32"/>
          <w:szCs w:val="32"/>
        </w:rPr>
        <w:t>二氧化碳</w:t>
      </w:r>
      <w:r>
        <w:rPr>
          <w:rFonts w:eastAsia="仿宋_GB2312"/>
          <w:sz w:val="32"/>
          <w:szCs w:val="32"/>
        </w:rPr>
        <w:t>检测试剂自身</w:t>
      </w:r>
      <w:r>
        <w:rPr>
          <w:rFonts w:hint="eastAsia" w:eastAsia="仿宋_GB2312"/>
          <w:sz w:val="32"/>
          <w:szCs w:val="32"/>
        </w:rPr>
        <w:t>特点</w:t>
      </w:r>
      <w:r>
        <w:rPr>
          <w:rFonts w:eastAsia="仿宋_GB2312"/>
          <w:sz w:val="32"/>
          <w:szCs w:val="32"/>
        </w:rPr>
        <w:t>制定风险的可接受标准</w:t>
      </w:r>
      <w:r>
        <w:rPr>
          <w:rFonts w:hint="eastAsia" w:eastAsia="仿宋_GB2312"/>
          <w:sz w:val="32"/>
          <w:szCs w:val="32"/>
        </w:rPr>
        <w:t>，</w:t>
      </w:r>
      <w:r>
        <w:rPr>
          <w:rFonts w:eastAsia="仿宋_GB2312"/>
          <w:sz w:val="32"/>
          <w:szCs w:val="32"/>
        </w:rPr>
        <w:t>确保产品满足临床需求</w:t>
      </w:r>
      <w:r>
        <w:rPr>
          <w:rFonts w:hint="eastAsia" w:eastAsia="仿宋_GB2312"/>
          <w:sz w:val="32"/>
          <w:szCs w:val="32"/>
        </w:rPr>
        <w:t>，建议重点关注样本稳定性及试剂使用稳定性引起的不正确测量。</w:t>
      </w:r>
    </w:p>
    <w:p w14:paraId="619915FC">
      <w:pPr>
        <w:pStyle w:val="37"/>
        <w:outlineLvl w:val="2"/>
      </w:pPr>
      <w:r>
        <w:t>2.体外诊断试剂安全和性能基本原则清单</w:t>
      </w:r>
    </w:p>
    <w:p w14:paraId="7F23AC59">
      <w:pPr>
        <w:widowControl/>
        <w:snapToGrid w:val="0"/>
        <w:spacing w:line="520" w:lineRule="exact"/>
        <w:ind w:firstLine="640" w:firstLineChars="200"/>
        <w:rPr>
          <w:rFonts w:eastAsia="仿宋_GB2312"/>
          <w:sz w:val="32"/>
          <w:szCs w:val="32"/>
        </w:rPr>
      </w:pPr>
      <w:r>
        <w:rPr>
          <w:rFonts w:eastAsia="仿宋_GB2312"/>
          <w:sz w:val="32"/>
          <w:szCs w:val="32"/>
        </w:rPr>
        <w:t>说明产品符合《体外诊断试剂安全和性能基本原则清单》各项适用要求所采用的方法，以及证明其符合性的文件。对于其中不适用的各项要求，应当说明理由。</w:t>
      </w:r>
    </w:p>
    <w:p w14:paraId="16058E8C">
      <w:pPr>
        <w:pStyle w:val="37"/>
        <w:outlineLvl w:val="2"/>
      </w:pPr>
      <w:r>
        <w:t>3.产品技术要求及检验报告</w:t>
      </w:r>
    </w:p>
    <w:p w14:paraId="7D2FA9D2">
      <w:pPr>
        <w:widowControl/>
        <w:snapToGrid w:val="0"/>
        <w:spacing w:line="520" w:lineRule="exact"/>
        <w:ind w:firstLine="640" w:firstLineChars="200"/>
        <w:rPr>
          <w:rFonts w:eastAsia="仿宋_GB2312"/>
          <w:sz w:val="32"/>
          <w:szCs w:val="32"/>
        </w:rPr>
      </w:pPr>
      <w:r>
        <w:rPr>
          <w:rFonts w:eastAsia="仿宋_GB2312"/>
          <w:sz w:val="32"/>
          <w:szCs w:val="32"/>
        </w:rPr>
        <w:t>产品技术要求应按照《体外诊断试剂注册与备案管理办法》</w:t>
      </w:r>
      <w:bookmarkStart w:id="0" w:name="OLE_LINK2"/>
      <w:r>
        <w:rPr>
          <w:rFonts w:hint="eastAsia" w:eastAsia="仿宋_GB2312"/>
          <w:sz w:val="32"/>
          <w:szCs w:val="32"/>
        </w:rPr>
        <w:t>《医疗器械产品技术要求编写指导原则》</w:t>
      </w:r>
      <w:bookmarkEnd w:id="0"/>
      <w:r>
        <w:rPr>
          <w:rFonts w:eastAsia="仿宋_GB2312"/>
          <w:sz w:val="32"/>
          <w:szCs w:val="32"/>
        </w:rPr>
        <w:t>的相关规定进行编写。</w:t>
      </w:r>
      <w:r>
        <w:rPr>
          <w:rFonts w:hint="eastAsia" w:eastAsia="仿宋_GB2312"/>
          <w:sz w:val="32"/>
          <w:szCs w:val="32"/>
        </w:rPr>
        <w:t>申请人应</w:t>
      </w:r>
      <w:r>
        <w:rPr>
          <w:rFonts w:eastAsia="仿宋_GB2312"/>
          <w:bCs/>
          <w:sz w:val="32"/>
          <w:szCs w:val="30"/>
        </w:rPr>
        <w:t>结合产品具体适用的指导原则或相关国家标准、行业标准以及</w:t>
      </w:r>
      <w:r>
        <w:rPr>
          <w:rFonts w:hint="eastAsia" w:eastAsia="仿宋_GB2312"/>
          <w:bCs/>
          <w:sz w:val="32"/>
          <w:szCs w:val="30"/>
        </w:rPr>
        <w:t>二氧化碳检测</w:t>
      </w:r>
      <w:r>
        <w:rPr>
          <w:rFonts w:eastAsia="仿宋_GB2312"/>
          <w:bCs/>
          <w:sz w:val="32"/>
          <w:szCs w:val="30"/>
        </w:rPr>
        <w:t>试剂的特点，</w:t>
      </w:r>
      <w:r>
        <w:rPr>
          <w:rFonts w:hint="eastAsia" w:eastAsia="仿宋_GB2312"/>
          <w:bCs/>
          <w:sz w:val="32"/>
          <w:szCs w:val="30"/>
        </w:rPr>
        <w:t>制定</w:t>
      </w:r>
      <w:r>
        <w:rPr>
          <w:rFonts w:eastAsia="仿宋_GB2312"/>
          <w:bCs/>
          <w:sz w:val="32"/>
          <w:szCs w:val="30"/>
        </w:rPr>
        <w:t>各项性能指标和检验方法</w:t>
      </w:r>
      <w:r>
        <w:rPr>
          <w:rFonts w:hint="eastAsia" w:eastAsia="仿宋_GB2312"/>
          <w:bCs/>
          <w:sz w:val="32"/>
          <w:szCs w:val="30"/>
        </w:rPr>
        <w:t>，</w:t>
      </w:r>
      <w:r>
        <w:rPr>
          <w:rFonts w:eastAsia="仿宋_GB2312"/>
          <w:bCs/>
          <w:sz w:val="32"/>
          <w:szCs w:val="30"/>
        </w:rPr>
        <w:t>确保安全有效。</w:t>
      </w:r>
    </w:p>
    <w:p w14:paraId="64C4C830">
      <w:pPr>
        <w:overflowPunct w:val="0"/>
        <w:spacing w:line="520" w:lineRule="exact"/>
        <w:ind w:firstLine="640" w:firstLineChars="200"/>
        <w:rPr>
          <w:rFonts w:eastAsia="仿宋_GB2312"/>
          <w:sz w:val="32"/>
          <w:szCs w:val="32"/>
        </w:rPr>
      </w:pPr>
      <w:r>
        <w:rPr>
          <w:rFonts w:eastAsia="仿宋_GB2312"/>
          <w:sz w:val="32"/>
          <w:szCs w:val="32"/>
        </w:rPr>
        <w:t>3.1适用的产品标准</w:t>
      </w:r>
    </w:p>
    <w:p w14:paraId="189AD7CA">
      <w:pPr>
        <w:overflowPunct w:val="0"/>
        <w:spacing w:line="520" w:lineRule="exact"/>
        <w:ind w:firstLine="640" w:firstLineChars="200"/>
        <w:rPr>
          <w:rFonts w:eastAsia="仿宋_GB2312"/>
          <w:sz w:val="32"/>
          <w:szCs w:val="32"/>
        </w:rPr>
      </w:pPr>
      <w:r>
        <w:rPr>
          <w:rFonts w:eastAsia="仿宋_GB2312"/>
          <w:sz w:val="32"/>
          <w:szCs w:val="32"/>
        </w:rPr>
        <w:t>产品应当符合适用的强制性标准。若申报产品结构特征、技术原理、预期用途、使用方式等与强制性标准的适用范围不一致，申请人应当提出不适用强制性标准的说明，并提供经验证的证明性资料。</w:t>
      </w:r>
    </w:p>
    <w:p w14:paraId="5963F5DB">
      <w:pPr>
        <w:overflowPunct w:val="0"/>
        <w:spacing w:line="520" w:lineRule="exact"/>
        <w:ind w:firstLine="640" w:firstLineChars="200"/>
        <w:rPr>
          <w:rFonts w:eastAsia="仿宋_GB2312"/>
          <w:sz w:val="32"/>
          <w:szCs w:val="32"/>
        </w:rPr>
      </w:pPr>
      <w:r>
        <w:rPr>
          <w:rFonts w:eastAsia="仿宋_GB2312"/>
          <w:sz w:val="32"/>
          <w:szCs w:val="32"/>
        </w:rPr>
        <w:t>3.2产品技术要求</w:t>
      </w:r>
    </w:p>
    <w:p w14:paraId="1BA19F03">
      <w:pPr>
        <w:overflowPunct w:val="0"/>
        <w:spacing w:line="520" w:lineRule="exact"/>
        <w:ind w:firstLine="640" w:firstLineChars="200"/>
        <w:rPr>
          <w:rFonts w:eastAsia="仿宋_GB2312"/>
          <w:sz w:val="32"/>
          <w:szCs w:val="32"/>
        </w:rPr>
      </w:pPr>
      <w:r>
        <w:rPr>
          <w:rFonts w:hint="eastAsia" w:eastAsia="仿宋_GB2312"/>
          <w:sz w:val="32"/>
          <w:szCs w:val="32"/>
        </w:rPr>
        <w:t>申请人应当在原材料质量和生产工艺稳定的前提下，根据产品研制、前期临床评价等结果，依据国家标准，行业标准及有关文献，按照《医疗器械产品技术要求编写指导原则》的有关要求进行产品技术要求编写。产品技术要求的性能指标应不低于国家</w:t>
      </w:r>
      <w:r>
        <w:rPr>
          <w:rFonts w:eastAsia="仿宋_GB2312"/>
          <w:sz w:val="32"/>
          <w:szCs w:val="32"/>
        </w:rPr>
        <w:t>/</w:t>
      </w:r>
      <w:r>
        <w:rPr>
          <w:rFonts w:hint="eastAsia" w:eastAsia="仿宋_GB2312"/>
          <w:sz w:val="32"/>
          <w:szCs w:val="32"/>
        </w:rPr>
        <w:t>行业标准的要求。</w:t>
      </w:r>
      <w:r>
        <w:rPr>
          <w:rFonts w:hint="eastAsia" w:ascii="Times New Roman" w:hAnsi="Times New Roman" w:eastAsia="仿宋_GB2312" w:cs="仿宋_GB2312"/>
          <w:kern w:val="0"/>
          <w:sz w:val="32"/>
          <w:szCs w:val="32"/>
          <w:lang w:val="en-US" w:eastAsia="zh-CN" w:bidi="ar"/>
        </w:rPr>
        <w:t>产品技术要求</w:t>
      </w:r>
      <w:r>
        <w:rPr>
          <w:rFonts w:hint="eastAsia" w:eastAsia="仿宋_GB2312"/>
          <w:sz w:val="32"/>
          <w:szCs w:val="32"/>
        </w:rPr>
        <w:t>应不低于</w:t>
      </w:r>
      <w:r>
        <w:rPr>
          <w:rFonts w:eastAsia="仿宋_GB2312"/>
          <w:sz w:val="32"/>
          <w:szCs w:val="32"/>
        </w:rPr>
        <w:t>YY/T 1</w:t>
      </w:r>
      <w:r>
        <w:rPr>
          <w:rFonts w:hint="eastAsia" w:eastAsia="仿宋_GB2312"/>
          <w:sz w:val="32"/>
          <w:szCs w:val="32"/>
        </w:rPr>
        <w:t>523《二氧化碳测定试剂盒（PEPC酶法）》的标准要求。</w:t>
      </w:r>
    </w:p>
    <w:p w14:paraId="6398AF3C">
      <w:pPr>
        <w:spacing w:line="520" w:lineRule="exact"/>
        <w:ind w:firstLine="640" w:firstLineChars="200"/>
        <w:rPr>
          <w:rFonts w:eastAsia="仿宋_GB2312"/>
          <w:sz w:val="32"/>
          <w:szCs w:val="32"/>
        </w:rPr>
      </w:pPr>
      <w:r>
        <w:rPr>
          <w:rFonts w:hint="eastAsia" w:eastAsia="仿宋_GB2312"/>
          <w:sz w:val="32"/>
          <w:szCs w:val="32"/>
        </w:rPr>
        <w:t>该产品</w:t>
      </w:r>
      <w:r>
        <w:rPr>
          <w:rFonts w:eastAsia="仿宋_GB2312"/>
          <w:sz w:val="32"/>
          <w:szCs w:val="32"/>
        </w:rPr>
        <w:t>作为定量检测试剂主要包括以下性能指标：</w:t>
      </w:r>
      <w:r>
        <w:rPr>
          <w:rFonts w:hint="eastAsia" w:eastAsia="仿宋_GB2312"/>
          <w:sz w:val="32"/>
          <w:szCs w:val="32"/>
        </w:rPr>
        <w:t>试剂</w:t>
      </w:r>
      <w:r>
        <w:rPr>
          <w:rFonts w:eastAsia="仿宋_GB2312"/>
          <w:sz w:val="32"/>
          <w:szCs w:val="32"/>
        </w:rPr>
        <w:t>外观、装量、</w:t>
      </w:r>
      <w:r>
        <w:rPr>
          <w:rFonts w:hint="eastAsia" w:eastAsia="仿宋_GB2312"/>
          <w:sz w:val="32"/>
          <w:szCs w:val="32"/>
        </w:rPr>
        <w:t>试剂空白吸光度、分析灵敏度、</w:t>
      </w:r>
      <w:r>
        <w:rPr>
          <w:rFonts w:eastAsia="仿宋_GB2312"/>
          <w:sz w:val="32"/>
          <w:szCs w:val="32"/>
        </w:rPr>
        <w:t>准确度、线性、精密度</w:t>
      </w:r>
      <w:r>
        <w:rPr>
          <w:rFonts w:hint="eastAsia" w:eastAsia="仿宋_GB2312"/>
          <w:sz w:val="32"/>
          <w:szCs w:val="32"/>
        </w:rPr>
        <w:t>（重复性、批间差）</w:t>
      </w:r>
      <w:r>
        <w:rPr>
          <w:rFonts w:eastAsia="仿宋_GB2312"/>
          <w:sz w:val="32"/>
          <w:szCs w:val="32"/>
        </w:rPr>
        <w:t>等</w:t>
      </w:r>
      <w:r>
        <w:rPr>
          <w:rFonts w:hint="eastAsia" w:eastAsia="仿宋_GB2312"/>
          <w:sz w:val="32"/>
          <w:szCs w:val="32"/>
        </w:rPr>
        <w:t>。</w:t>
      </w:r>
      <w:r>
        <w:rPr>
          <w:rFonts w:eastAsia="仿宋_GB2312"/>
          <w:sz w:val="32"/>
          <w:szCs w:val="32"/>
        </w:rPr>
        <w:t>具体产品的性能指标需结合方法学本身特性，确定其性能指标或者提供此指标不适用的说明。</w:t>
      </w:r>
      <w:r>
        <w:rPr>
          <w:rFonts w:hint="eastAsia" w:eastAsia="仿宋_GB2312" w:cs="仿宋_GB2312"/>
          <w:sz w:val="32"/>
          <w:szCs w:val="32"/>
        </w:rPr>
        <w:t>试剂盒内若包含校准品、质控品，</w:t>
      </w:r>
      <w:r>
        <w:rPr>
          <w:rFonts w:hint="eastAsia" w:eastAsia="仿宋_GB2312" w:cs="仿宋_GB2312"/>
          <w:sz w:val="32"/>
          <w:szCs w:val="32"/>
          <w:highlight w:val="none"/>
        </w:rPr>
        <w:t>性能指标还</w:t>
      </w:r>
      <w:r>
        <w:rPr>
          <w:rFonts w:eastAsia="仿宋_GB2312"/>
          <w:sz w:val="32"/>
          <w:szCs w:val="32"/>
          <w:highlight w:val="none"/>
        </w:rPr>
        <w:t>至少应包括质控品和/或校准品的均匀性，</w:t>
      </w:r>
      <w:r>
        <w:rPr>
          <w:rFonts w:eastAsia="仿宋_GB2312"/>
          <w:sz w:val="32"/>
          <w:szCs w:val="32"/>
        </w:rPr>
        <w:t>其他指标可依据产品具体情况进行设置</w:t>
      </w:r>
      <w:r>
        <w:rPr>
          <w:rFonts w:hint="eastAsia" w:eastAsia="仿宋_GB2312" w:cs="仿宋_GB2312"/>
          <w:sz w:val="32"/>
          <w:szCs w:val="32"/>
        </w:rPr>
        <w:t>。</w:t>
      </w:r>
    </w:p>
    <w:p w14:paraId="7A60C677">
      <w:pPr>
        <w:spacing w:line="520" w:lineRule="exact"/>
        <w:ind w:firstLine="640" w:firstLineChars="200"/>
        <w:rPr>
          <w:rFonts w:eastAsia="仿宋_GB2312"/>
          <w:color w:val="000000"/>
          <w:kern w:val="0"/>
          <w:sz w:val="32"/>
          <w:szCs w:val="32"/>
        </w:rPr>
      </w:pPr>
      <w:r>
        <w:rPr>
          <w:rFonts w:eastAsia="仿宋_GB2312"/>
          <w:color w:val="000000"/>
          <w:kern w:val="0"/>
          <w:sz w:val="32"/>
          <w:szCs w:val="32"/>
        </w:rPr>
        <w:t>3.3产品检验报告</w:t>
      </w:r>
      <w:r>
        <w:rPr>
          <w:rFonts w:eastAsia="仿宋_GB2312"/>
          <w:color w:val="000000"/>
          <w:kern w:val="0"/>
          <w:sz w:val="32"/>
          <w:szCs w:val="32"/>
        </w:rPr>
        <w:tab/>
      </w:r>
    </w:p>
    <w:p w14:paraId="56A6F71D">
      <w:pPr>
        <w:adjustRightInd w:val="0"/>
        <w:snapToGrid w:val="0"/>
        <w:spacing w:line="520" w:lineRule="exact"/>
        <w:ind w:firstLine="640" w:firstLineChars="200"/>
        <w:rPr>
          <w:rFonts w:eastAsia="仿宋_GB2312"/>
          <w:sz w:val="32"/>
          <w:szCs w:val="32"/>
        </w:rPr>
      </w:pPr>
      <w:r>
        <w:rPr>
          <w:rFonts w:hint="eastAsia" w:eastAsia="仿宋_GB2312"/>
          <w:sz w:val="32"/>
          <w:szCs w:val="32"/>
        </w:rPr>
        <w:t>申请人</w:t>
      </w:r>
      <w:r>
        <w:rPr>
          <w:rFonts w:eastAsia="仿宋_GB2312"/>
          <w:sz w:val="32"/>
          <w:szCs w:val="32"/>
        </w:rPr>
        <w:t>应在保证产品原材料和生产工艺稳定可靠的基础上，采用在符合医疗器械质量管理体系相关要求的条件下生产的产品进行检验。</w:t>
      </w:r>
      <w:r>
        <w:rPr>
          <w:rFonts w:hint="eastAsia" w:eastAsia="仿宋_GB2312"/>
          <w:sz w:val="32"/>
          <w:szCs w:val="32"/>
          <w:lang w:bidi="ar"/>
        </w:rPr>
        <w:t>有适用的国家标准品的，应当使用国家标准品对产品进行检验。</w:t>
      </w:r>
      <w:r>
        <w:rPr>
          <w:rFonts w:eastAsia="仿宋_GB2312"/>
          <w:sz w:val="32"/>
          <w:szCs w:val="32"/>
        </w:rPr>
        <w:t>可提交以下任一形式的检验报告：申请人出具的自检报告</w:t>
      </w:r>
      <w:r>
        <w:rPr>
          <w:rFonts w:hint="eastAsia" w:eastAsia="仿宋_GB2312"/>
          <w:sz w:val="32"/>
          <w:szCs w:val="32"/>
        </w:rPr>
        <w:t>或</w:t>
      </w:r>
      <w:r>
        <w:rPr>
          <w:rFonts w:eastAsia="仿宋_GB2312"/>
          <w:sz w:val="32"/>
          <w:szCs w:val="32"/>
        </w:rPr>
        <w:t>委托有资质的医疗器械检验机构出具的检验报告。如产品提交自检报告，还需按照《医疗器械注册自检管理规定》的要求提交相应资料。</w:t>
      </w:r>
    </w:p>
    <w:p w14:paraId="41A0DB8E">
      <w:pPr>
        <w:pStyle w:val="37"/>
        <w:outlineLvl w:val="2"/>
      </w:pPr>
      <w:r>
        <w:t>4.分析性能</w:t>
      </w:r>
      <w:r>
        <w:rPr>
          <w:rFonts w:hint="eastAsia"/>
        </w:rPr>
        <w:t>研究</w:t>
      </w:r>
    </w:p>
    <w:p w14:paraId="59236DB5">
      <w:pPr>
        <w:adjustRightInd w:val="0"/>
        <w:snapToGrid w:val="0"/>
        <w:spacing w:line="520" w:lineRule="exact"/>
        <w:ind w:firstLine="640" w:firstLineChars="200"/>
        <w:rPr>
          <w:rFonts w:eastAsia="仿宋_GB2312"/>
          <w:color w:val="000000"/>
          <w:sz w:val="32"/>
          <w:szCs w:val="32"/>
        </w:rPr>
      </w:pPr>
      <w:r>
        <w:rPr>
          <w:rFonts w:eastAsia="仿宋_GB2312"/>
          <w:color w:val="000000"/>
          <w:sz w:val="32"/>
          <w:szCs w:val="32"/>
        </w:rPr>
        <w:t>申请人应当在原材料和生产工艺经过选择和确认、质量管理体系得到有效控制并且保证产品质量稳定的基础上，应采用多批</w:t>
      </w:r>
      <w:r>
        <w:rPr>
          <w:rFonts w:hint="eastAsia" w:eastAsia="仿宋_GB2312"/>
          <w:color w:val="000000"/>
          <w:sz w:val="32"/>
          <w:szCs w:val="32"/>
        </w:rPr>
        <w:t>产品</w:t>
      </w:r>
      <w:r>
        <w:rPr>
          <w:rFonts w:eastAsia="仿宋_GB2312"/>
          <w:color w:val="000000"/>
          <w:sz w:val="32"/>
          <w:szCs w:val="32"/>
        </w:rPr>
        <w:t>进行产品的分析性能</w:t>
      </w:r>
      <w:r>
        <w:rPr>
          <w:rFonts w:hint="eastAsia" w:eastAsia="仿宋_GB2312"/>
          <w:color w:val="000000"/>
          <w:sz w:val="32"/>
          <w:szCs w:val="32"/>
        </w:rPr>
        <w:t>评估</w:t>
      </w:r>
      <w:r>
        <w:rPr>
          <w:rFonts w:eastAsia="仿宋_GB2312"/>
          <w:color w:val="000000"/>
          <w:sz w:val="32"/>
          <w:szCs w:val="32"/>
        </w:rPr>
        <w:t>。</w:t>
      </w:r>
    </w:p>
    <w:p w14:paraId="39649505">
      <w:pPr>
        <w:adjustRightInd w:val="0"/>
        <w:snapToGrid w:val="0"/>
        <w:spacing w:line="520" w:lineRule="exact"/>
        <w:ind w:firstLine="640" w:firstLineChars="200"/>
        <w:rPr>
          <w:rFonts w:eastAsia="仿宋_GB2312"/>
          <w:color w:val="000000"/>
          <w:sz w:val="32"/>
          <w:szCs w:val="32"/>
        </w:rPr>
      </w:pPr>
      <w:r>
        <w:rPr>
          <w:rFonts w:eastAsia="仿宋_GB2312"/>
          <w:color w:val="000000"/>
          <w:sz w:val="32"/>
          <w:szCs w:val="32"/>
        </w:rPr>
        <w:t>分析性能</w:t>
      </w:r>
      <w:r>
        <w:rPr>
          <w:rFonts w:hint="eastAsia" w:eastAsia="仿宋_GB2312"/>
          <w:color w:val="000000"/>
          <w:sz w:val="32"/>
          <w:szCs w:val="32"/>
        </w:rPr>
        <w:t>评估</w:t>
      </w:r>
      <w:r>
        <w:rPr>
          <w:rFonts w:eastAsia="仿宋_GB2312"/>
          <w:color w:val="000000"/>
          <w:sz w:val="32"/>
          <w:szCs w:val="32"/>
        </w:rPr>
        <w:t>主要包括样本稳定性</w:t>
      </w:r>
      <w:r>
        <w:rPr>
          <w:rFonts w:hint="eastAsia" w:eastAsia="仿宋_GB2312"/>
          <w:color w:val="000000"/>
          <w:sz w:val="32"/>
          <w:szCs w:val="32"/>
        </w:rPr>
        <w:t>、</w:t>
      </w:r>
      <w:r>
        <w:rPr>
          <w:rFonts w:eastAsia="仿宋_GB2312"/>
          <w:color w:val="000000"/>
          <w:sz w:val="32"/>
          <w:szCs w:val="32"/>
        </w:rPr>
        <w:t>适用的样本类型</w:t>
      </w:r>
      <w:r>
        <w:rPr>
          <w:rFonts w:hint="eastAsia" w:eastAsia="仿宋_GB2312"/>
          <w:color w:val="000000"/>
          <w:sz w:val="32"/>
          <w:szCs w:val="32"/>
        </w:rPr>
        <w:t>、</w:t>
      </w:r>
      <w:r>
        <w:rPr>
          <w:rFonts w:eastAsia="仿宋_GB2312"/>
          <w:color w:val="000000"/>
          <w:sz w:val="32"/>
          <w:szCs w:val="32"/>
        </w:rPr>
        <w:t>校准品</w:t>
      </w:r>
      <w:r>
        <w:rPr>
          <w:rFonts w:eastAsia="仿宋_GB2312"/>
          <w:sz w:val="32"/>
          <w:szCs w:val="32"/>
        </w:rPr>
        <w:t>的量值溯源和质控品的赋值</w:t>
      </w:r>
      <w:r>
        <w:rPr>
          <w:rFonts w:hint="eastAsia" w:eastAsia="仿宋_GB2312"/>
          <w:sz w:val="32"/>
          <w:szCs w:val="32"/>
        </w:rPr>
        <w:t>（如适用）、</w:t>
      </w:r>
      <w:r>
        <w:rPr>
          <w:rFonts w:hint="eastAsia" w:eastAsia="仿宋_GB2312"/>
          <w:sz w:val="32"/>
          <w:szCs w:val="32"/>
          <w:highlight w:val="none"/>
        </w:rPr>
        <w:t>空白吸光度、分析灵敏度、</w:t>
      </w:r>
      <w:r>
        <w:rPr>
          <w:rFonts w:eastAsia="仿宋_GB2312"/>
          <w:sz w:val="32"/>
          <w:szCs w:val="32"/>
        </w:rPr>
        <w:t>正确度</w:t>
      </w:r>
      <w:r>
        <w:rPr>
          <w:rFonts w:hint="eastAsia" w:eastAsia="仿宋_GB2312"/>
          <w:sz w:val="32"/>
          <w:szCs w:val="32"/>
        </w:rPr>
        <w:t>、</w:t>
      </w:r>
      <w:r>
        <w:rPr>
          <w:rFonts w:eastAsia="仿宋_GB2312"/>
          <w:sz w:val="32"/>
          <w:szCs w:val="32"/>
        </w:rPr>
        <w:t>精密度</w:t>
      </w:r>
      <w:r>
        <w:rPr>
          <w:rFonts w:hint="eastAsia" w:eastAsia="仿宋_GB2312"/>
          <w:sz w:val="32"/>
          <w:szCs w:val="32"/>
        </w:rPr>
        <w:t>、</w:t>
      </w:r>
      <w:r>
        <w:rPr>
          <w:rFonts w:eastAsia="仿宋_GB2312"/>
          <w:sz w:val="32"/>
          <w:szCs w:val="32"/>
        </w:rPr>
        <w:t>空白限、检出限及定量限</w:t>
      </w:r>
      <w:r>
        <w:rPr>
          <w:rFonts w:hint="eastAsia" w:eastAsia="仿宋_GB2312"/>
          <w:sz w:val="32"/>
          <w:szCs w:val="32"/>
        </w:rPr>
        <w:t>、</w:t>
      </w:r>
      <w:r>
        <w:rPr>
          <w:rFonts w:eastAsia="仿宋_GB2312"/>
          <w:sz w:val="32"/>
          <w:szCs w:val="32"/>
        </w:rPr>
        <w:t>分析特异性</w:t>
      </w:r>
      <w:r>
        <w:rPr>
          <w:rFonts w:hint="eastAsia" w:eastAsia="仿宋_GB2312"/>
          <w:sz w:val="32"/>
          <w:szCs w:val="32"/>
        </w:rPr>
        <w:t>、</w:t>
      </w:r>
      <w:r>
        <w:rPr>
          <w:rFonts w:eastAsia="仿宋_GB2312"/>
          <w:sz w:val="32"/>
          <w:szCs w:val="32"/>
        </w:rPr>
        <w:t>测量区间及可报告区间等项目的研究资料</w:t>
      </w:r>
      <w:r>
        <w:rPr>
          <w:rFonts w:eastAsia="仿宋_GB2312"/>
          <w:color w:val="000000"/>
          <w:sz w:val="32"/>
          <w:szCs w:val="32"/>
        </w:rPr>
        <w:t>。如申报产品适用不同的机型，需要提交在不同机型上进行评估的资料。如申报产品包含不同的包装规格，需要对各包装规格进行分析或验证。</w:t>
      </w:r>
      <w:r>
        <w:rPr>
          <w:rFonts w:hint="eastAsia" w:eastAsia="仿宋_GB2312"/>
          <w:color w:val="000000"/>
          <w:sz w:val="32"/>
          <w:szCs w:val="32"/>
        </w:rPr>
        <w:t>建议申请人</w:t>
      </w:r>
      <w:r>
        <w:rPr>
          <w:rFonts w:hint="eastAsia" w:eastAsia="仿宋_GB2312"/>
          <w:sz w:val="32"/>
          <w:szCs w:val="32"/>
        </w:rPr>
        <w:t>依据《定量检测体外诊断试剂分析性能评估指导原则》以及</w:t>
      </w:r>
      <w:r>
        <w:rPr>
          <w:rFonts w:eastAsia="仿宋_GB2312"/>
          <w:bCs/>
          <w:sz w:val="32"/>
          <w:szCs w:val="32"/>
        </w:rPr>
        <w:t>国内外有关体外诊断产品分析性能</w:t>
      </w:r>
      <w:r>
        <w:rPr>
          <w:rFonts w:hint="eastAsia" w:eastAsia="仿宋_GB2312"/>
          <w:bCs/>
          <w:sz w:val="32"/>
          <w:szCs w:val="32"/>
        </w:rPr>
        <w:t>评估</w:t>
      </w:r>
      <w:r>
        <w:rPr>
          <w:rFonts w:eastAsia="仿宋_GB2312"/>
          <w:bCs/>
          <w:sz w:val="32"/>
          <w:szCs w:val="32"/>
        </w:rPr>
        <w:t>的文件</w:t>
      </w:r>
      <w:r>
        <w:rPr>
          <w:rFonts w:hint="eastAsia" w:eastAsia="仿宋_GB2312"/>
          <w:sz w:val="32"/>
          <w:szCs w:val="32"/>
        </w:rPr>
        <w:t>开展研究</w:t>
      </w:r>
      <w:r>
        <w:rPr>
          <w:rFonts w:eastAsia="仿宋_GB2312"/>
          <w:color w:val="000000"/>
          <w:sz w:val="32"/>
          <w:szCs w:val="32"/>
        </w:rPr>
        <w:t>。</w:t>
      </w:r>
    </w:p>
    <w:p w14:paraId="73FED00A">
      <w:pPr>
        <w:overflowPunct w:val="0"/>
        <w:spacing w:line="520" w:lineRule="exact"/>
        <w:ind w:firstLine="640" w:firstLineChars="200"/>
        <w:rPr>
          <w:rFonts w:eastAsia="仿宋_GB2312"/>
          <w:szCs w:val="32"/>
        </w:rPr>
      </w:pPr>
      <w:r>
        <w:rPr>
          <w:rFonts w:hint="eastAsia" w:eastAsia="仿宋_GB2312" w:cs="仿宋_GB2312"/>
          <w:sz w:val="32"/>
          <w:szCs w:val="32"/>
          <w:lang w:bidi="ar"/>
        </w:rPr>
        <w:t>对于本试剂，建议着重对以下性能进行研究：</w:t>
      </w:r>
    </w:p>
    <w:p w14:paraId="74BA7F7C">
      <w:pPr>
        <w:spacing w:line="520" w:lineRule="exact"/>
        <w:ind w:firstLine="640" w:firstLineChars="200"/>
        <w:rPr>
          <w:rFonts w:eastAsia="仿宋_GB2312"/>
          <w:szCs w:val="32"/>
        </w:rPr>
      </w:pPr>
      <w:r>
        <w:rPr>
          <w:rFonts w:eastAsia="仿宋_GB2312"/>
          <w:sz w:val="32"/>
          <w:szCs w:val="32"/>
          <w:lang w:bidi="ar"/>
        </w:rPr>
        <w:t>4.1</w:t>
      </w:r>
      <w:r>
        <w:rPr>
          <w:rFonts w:hint="eastAsia" w:eastAsia="仿宋_GB2312" w:cs="仿宋_GB2312"/>
          <w:sz w:val="32"/>
          <w:szCs w:val="32"/>
          <w:lang w:bidi="ar"/>
        </w:rPr>
        <w:t>样本稳定性</w:t>
      </w:r>
    </w:p>
    <w:p w14:paraId="7CB8AFBB">
      <w:pPr>
        <w:widowControl/>
        <w:adjustRightInd w:val="0"/>
        <w:snapToGrid w:val="0"/>
        <w:spacing w:line="520" w:lineRule="exact"/>
        <w:ind w:firstLine="640" w:firstLineChars="200"/>
        <w:jc w:val="left"/>
        <w:rPr>
          <w:rFonts w:eastAsia="仿宋_GB2312"/>
          <w:sz w:val="32"/>
          <w:szCs w:val="32"/>
          <w:lang w:bidi="ar"/>
        </w:rPr>
      </w:pPr>
      <w:r>
        <w:rPr>
          <w:rFonts w:hint="eastAsia" w:eastAsia="仿宋_GB2312"/>
          <w:sz w:val="32"/>
          <w:szCs w:val="32"/>
          <w:lang w:bidi="ar"/>
        </w:rPr>
        <w:t>样本中的二氧化碳主要以碳酸氢根形式存在，较不稳定，样本采集后，应尽快分离密封并尽快检测。</w:t>
      </w:r>
    </w:p>
    <w:p w14:paraId="5C8135EB">
      <w:pPr>
        <w:overflowPunct w:val="0"/>
        <w:adjustRightInd w:val="0"/>
        <w:snapToGrid w:val="0"/>
        <w:spacing w:line="520" w:lineRule="exact"/>
        <w:ind w:firstLine="640" w:firstLineChars="200"/>
        <w:rPr>
          <w:rFonts w:eastAsia="仿宋_GB2312" w:cs="仿宋_GB2312"/>
          <w:sz w:val="32"/>
          <w:szCs w:val="28"/>
          <w:lang w:bidi="ar"/>
        </w:rPr>
      </w:pPr>
      <w:r>
        <w:rPr>
          <w:rFonts w:hint="eastAsia" w:eastAsia="仿宋_GB2312" w:cs="仿宋_GB2312"/>
          <w:sz w:val="32"/>
          <w:szCs w:val="32"/>
          <w:lang w:bidi="ar"/>
        </w:rPr>
        <w:t>申请人应充分考虑实际使用过程中样本采集、处理、运输、储存等各个阶段的条件，对样本的稳定性进行评价并提交研究资料。内容包括建议的</w:t>
      </w:r>
      <w:r>
        <w:rPr>
          <w:rFonts w:hint="eastAsia" w:eastAsia="仿宋_GB2312" w:cs="仿宋_GB2312"/>
          <w:sz w:val="32"/>
          <w:szCs w:val="28"/>
          <w:lang w:bidi="ar"/>
        </w:rPr>
        <w:t>保存条件（如温度等）及其期限、添加剂（如抗凝剂、保护剂等）和运输条件（如涉及）等。对于冷冻保存的样本还应对冻融次数进行评价。</w:t>
      </w:r>
    </w:p>
    <w:p w14:paraId="38C1810F">
      <w:pPr>
        <w:overflowPunct w:val="0"/>
        <w:adjustRightInd w:val="0"/>
        <w:snapToGrid w:val="0"/>
        <w:spacing w:line="520" w:lineRule="exact"/>
        <w:ind w:firstLine="640" w:firstLineChars="200"/>
        <w:rPr>
          <w:rFonts w:eastAsia="仿宋_GB2312"/>
          <w:kern w:val="0"/>
          <w:sz w:val="32"/>
          <w:szCs w:val="32"/>
        </w:rPr>
      </w:pPr>
      <w:r>
        <w:rPr>
          <w:rFonts w:hint="eastAsia" w:eastAsia="仿宋_GB2312" w:cs="仿宋_GB2312"/>
          <w:sz w:val="32"/>
          <w:szCs w:val="28"/>
          <w:lang w:bidi="ar"/>
        </w:rPr>
        <w:t>研究结果应在说明书“样本要求”中详细说明。</w:t>
      </w:r>
    </w:p>
    <w:p w14:paraId="51CEF099">
      <w:pPr>
        <w:spacing w:line="520" w:lineRule="exact"/>
        <w:ind w:firstLine="640" w:firstLineChars="200"/>
        <w:rPr>
          <w:rFonts w:eastAsia="仿宋_GB2312"/>
          <w:sz w:val="32"/>
          <w:szCs w:val="28"/>
        </w:rPr>
      </w:pPr>
      <w:r>
        <w:rPr>
          <w:rFonts w:eastAsia="仿宋_GB2312"/>
          <w:sz w:val="32"/>
          <w:szCs w:val="28"/>
          <w:lang w:bidi="ar"/>
        </w:rPr>
        <w:t>4.2</w:t>
      </w:r>
      <w:r>
        <w:rPr>
          <w:rFonts w:hint="eastAsia" w:eastAsia="仿宋_GB2312" w:cs="仿宋_GB2312"/>
          <w:sz w:val="32"/>
          <w:szCs w:val="28"/>
          <w:lang w:bidi="ar"/>
        </w:rPr>
        <w:t>适用的样本类型</w:t>
      </w:r>
    </w:p>
    <w:p w14:paraId="39E99691">
      <w:pPr>
        <w:snapToGrid w:val="0"/>
        <w:spacing w:line="520" w:lineRule="exact"/>
        <w:ind w:firstLine="640" w:firstLineChars="200"/>
        <w:rPr>
          <w:rFonts w:eastAsia="仿宋_GB2312"/>
          <w:sz w:val="32"/>
          <w:szCs w:val="28"/>
        </w:rPr>
      </w:pPr>
      <w:r>
        <w:rPr>
          <w:rFonts w:hint="eastAsia" w:eastAsia="仿宋_GB2312" w:cs="仿宋_GB2312"/>
          <w:sz w:val="32"/>
          <w:szCs w:val="28"/>
          <w:lang w:bidi="ar"/>
        </w:rPr>
        <w:t>血清、肝素抗凝血浆是二氧化碳检测的适宜样本。如果试剂适用于多种样本类型，应采用合理方法评价每种样本类型的适用性。</w:t>
      </w:r>
    </w:p>
    <w:p w14:paraId="37A3BE57">
      <w:pPr>
        <w:snapToGrid w:val="0"/>
        <w:spacing w:line="520" w:lineRule="exact"/>
        <w:ind w:firstLine="640" w:firstLineChars="200"/>
        <w:rPr>
          <w:rFonts w:eastAsia="仿宋_GB2312" w:cs="仿宋_GB2312"/>
          <w:sz w:val="32"/>
          <w:szCs w:val="28"/>
          <w:lang w:bidi="ar"/>
        </w:rPr>
      </w:pPr>
      <w:r>
        <w:rPr>
          <w:rFonts w:hint="eastAsia" w:eastAsia="仿宋_GB2312" w:cs="仿宋_GB2312"/>
          <w:sz w:val="32"/>
          <w:szCs w:val="28"/>
          <w:lang w:bidi="ar"/>
        </w:rPr>
        <w:t>其中，针对血清、血浆样本，可选择具有统计学意义数量的样本进行样本一致性的同源比对研究，研究样本应覆盖检测范围，同时包含医学决定水平附近以及低值样本。对于不具有可比性的样本类型，应对每种样本类型分别进行分析性能评估。采用抗凝剂时，应说明抗凝剂对样本检测结果的影响。</w:t>
      </w:r>
    </w:p>
    <w:p w14:paraId="24FF185D">
      <w:pPr>
        <w:spacing w:line="520" w:lineRule="exact"/>
        <w:ind w:firstLine="640" w:firstLineChars="200"/>
        <w:rPr>
          <w:rFonts w:eastAsia="仿宋_GB2312"/>
          <w:bCs/>
          <w:szCs w:val="32"/>
        </w:rPr>
      </w:pPr>
      <w:r>
        <w:rPr>
          <w:rFonts w:eastAsia="仿宋_GB2312"/>
          <w:bCs/>
          <w:sz w:val="32"/>
          <w:szCs w:val="32"/>
          <w:lang w:bidi="ar"/>
        </w:rPr>
        <w:t>4.3</w:t>
      </w:r>
      <w:r>
        <w:rPr>
          <w:rFonts w:hint="eastAsia" w:eastAsia="仿宋_GB2312" w:cs="仿宋_GB2312"/>
          <w:bCs/>
          <w:sz w:val="32"/>
          <w:szCs w:val="32"/>
          <w:lang w:bidi="ar"/>
        </w:rPr>
        <w:t>校准品的量值溯源和质控品的赋值</w:t>
      </w:r>
      <w:r>
        <w:rPr>
          <w:rFonts w:hint="eastAsia" w:eastAsia="仿宋_GB2312" w:cs="仿宋_GB2312"/>
          <w:bCs/>
          <w:sz w:val="32"/>
          <w:szCs w:val="32"/>
          <w:highlight w:val="none"/>
          <w:lang w:bidi="ar"/>
        </w:rPr>
        <w:t>（如适用）</w:t>
      </w:r>
    </w:p>
    <w:p w14:paraId="4179AA00">
      <w:pPr>
        <w:adjustRightInd w:val="0"/>
        <w:snapToGrid w:val="0"/>
        <w:spacing w:line="520" w:lineRule="exact"/>
        <w:ind w:firstLine="640" w:firstLineChars="200"/>
        <w:rPr>
          <w:rFonts w:eastAsia="仿宋_GB2312" w:cs="仿宋_GB2312"/>
          <w:kern w:val="0"/>
          <w:sz w:val="32"/>
          <w:szCs w:val="32"/>
        </w:rPr>
      </w:pPr>
      <w:r>
        <w:rPr>
          <w:rFonts w:hint="eastAsia" w:eastAsia="仿宋_GB2312" w:cs="仿宋_GB2312"/>
          <w:kern w:val="0"/>
          <w:sz w:val="32"/>
          <w:szCs w:val="32"/>
        </w:rPr>
        <w:t>如申报产品包括校准品，可参考GB/T 21415《体外诊断医疗器械生物样品中量的测量校准品和控制物质赋值的计量学溯源性》等提供溯源资料。</w:t>
      </w:r>
    </w:p>
    <w:p w14:paraId="46626B45">
      <w:pPr>
        <w:adjustRightInd w:val="0"/>
        <w:snapToGrid w:val="0"/>
        <w:spacing w:line="520" w:lineRule="exact"/>
        <w:ind w:firstLine="640" w:firstLineChars="200"/>
        <w:rPr>
          <w:rFonts w:eastAsia="仿宋_GB2312" w:cs="仿宋_GB2312"/>
          <w:kern w:val="0"/>
          <w:sz w:val="32"/>
          <w:szCs w:val="32"/>
        </w:rPr>
      </w:pPr>
      <w:r>
        <w:rPr>
          <w:rFonts w:hint="eastAsia" w:eastAsia="仿宋_GB2312" w:cs="仿宋_GB2312"/>
          <w:kern w:val="0"/>
          <w:sz w:val="32"/>
          <w:szCs w:val="32"/>
        </w:rPr>
        <w:t>如申报产品包括质控品，提供在所有适用机型上进行赋值和验证的资料。赋值方法可参考《质控品注册审查指导原则——质控品赋值研究》，如不同检测设备的预期用途、采用的检验原理和操作原理相同时，可考虑靶值的转移。</w:t>
      </w:r>
    </w:p>
    <w:p w14:paraId="4D267362">
      <w:pPr>
        <w:adjustRightInd w:val="0"/>
        <w:snapToGrid w:val="0"/>
        <w:spacing w:line="520" w:lineRule="exact"/>
        <w:ind w:firstLine="640" w:firstLineChars="200"/>
        <w:rPr>
          <w:rFonts w:eastAsia="仿宋_GB2312" w:cs="仿宋_GB2312"/>
          <w:kern w:val="0"/>
          <w:sz w:val="32"/>
          <w:szCs w:val="32"/>
        </w:rPr>
      </w:pPr>
      <w:r>
        <w:rPr>
          <w:rFonts w:hint="eastAsia" w:eastAsia="仿宋_GB2312" w:cs="仿宋_GB2312"/>
          <w:kern w:val="0"/>
          <w:sz w:val="32"/>
          <w:szCs w:val="32"/>
        </w:rPr>
        <w:t>如校准品或质控品的基质不同于临床常用样本类型，还应提交基质效应的相关研究资料。</w:t>
      </w:r>
    </w:p>
    <w:p w14:paraId="3234DA69">
      <w:pPr>
        <w:spacing w:line="520" w:lineRule="exact"/>
        <w:ind w:firstLine="640" w:firstLineChars="200"/>
        <w:rPr>
          <w:rFonts w:eastAsia="仿宋_GB2312"/>
          <w:bCs/>
          <w:szCs w:val="32"/>
        </w:rPr>
      </w:pPr>
      <w:r>
        <w:rPr>
          <w:rFonts w:eastAsia="仿宋_GB2312"/>
          <w:bCs/>
          <w:sz w:val="32"/>
          <w:szCs w:val="32"/>
          <w:lang w:bidi="ar"/>
        </w:rPr>
        <w:t>4.4</w:t>
      </w:r>
      <w:r>
        <w:rPr>
          <w:rFonts w:hint="eastAsia" w:eastAsia="仿宋_GB2312" w:cs="仿宋_GB2312"/>
          <w:bCs/>
          <w:sz w:val="32"/>
          <w:szCs w:val="32"/>
          <w:lang w:bidi="ar"/>
        </w:rPr>
        <w:t>正确度</w:t>
      </w:r>
    </w:p>
    <w:p w14:paraId="73F6E99B">
      <w:pPr>
        <w:spacing w:line="520" w:lineRule="exact"/>
        <w:ind w:firstLine="640" w:firstLineChars="200"/>
        <w:rPr>
          <w:rFonts w:eastAsia="仿宋_GB2312" w:cs="仿宋_GB2312"/>
          <w:sz w:val="32"/>
          <w:szCs w:val="32"/>
          <w:lang w:bidi="ar"/>
        </w:rPr>
      </w:pPr>
      <w:r>
        <w:rPr>
          <w:rFonts w:hint="eastAsia" w:eastAsia="仿宋_GB2312" w:cs="仿宋_GB2312"/>
          <w:sz w:val="32"/>
          <w:szCs w:val="32"/>
          <w:lang w:bidi="ar"/>
        </w:rPr>
        <w:t>正确度由系统测量误差决定，通常用偏倚（</w:t>
      </w:r>
      <w:r>
        <w:rPr>
          <w:rFonts w:eastAsia="仿宋_GB2312"/>
          <w:sz w:val="32"/>
          <w:szCs w:val="32"/>
          <w:lang w:bidi="ar"/>
        </w:rPr>
        <w:t>bias</w:t>
      </w:r>
      <w:r>
        <w:rPr>
          <w:rFonts w:hint="eastAsia" w:eastAsia="仿宋_GB2312" w:cs="仿宋_GB2312"/>
          <w:sz w:val="32"/>
          <w:szCs w:val="32"/>
          <w:lang w:bidi="ar"/>
        </w:rPr>
        <w:t>）表示。对正确度的评价包括使用参考物质的正确度评价、方法学比对、回收试验的方法，申请人可根据实际情况选择合理方法进行研究。</w:t>
      </w:r>
    </w:p>
    <w:p w14:paraId="56A3B4AB">
      <w:pPr>
        <w:adjustRightInd w:val="0"/>
        <w:snapToGrid w:val="0"/>
        <w:spacing w:line="520" w:lineRule="exact"/>
        <w:ind w:firstLine="640" w:firstLineChars="200"/>
        <w:jc w:val="left"/>
        <w:rPr>
          <w:rFonts w:eastAsia="仿宋_GB2312"/>
          <w:bCs/>
          <w:color w:val="FF0000"/>
          <w:sz w:val="32"/>
          <w:szCs w:val="32"/>
        </w:rPr>
      </w:pPr>
      <w:r>
        <w:rPr>
          <w:rFonts w:eastAsia="仿宋_GB2312"/>
          <w:bCs/>
          <w:color w:val="000000"/>
          <w:sz w:val="32"/>
          <w:szCs w:val="32"/>
        </w:rPr>
        <w:t>4.4.1参考物质检测</w:t>
      </w:r>
    </w:p>
    <w:p w14:paraId="309C678B">
      <w:pPr>
        <w:adjustRightInd w:val="0"/>
        <w:snapToGrid w:val="0"/>
        <w:spacing w:line="520" w:lineRule="exact"/>
        <w:ind w:firstLine="640" w:firstLineChars="200"/>
        <w:jc w:val="left"/>
        <w:rPr>
          <w:rFonts w:eastAsia="仿宋_GB2312"/>
          <w:bCs/>
          <w:color w:val="000000"/>
          <w:sz w:val="32"/>
          <w:szCs w:val="32"/>
        </w:rPr>
      </w:pPr>
      <w:r>
        <w:rPr>
          <w:rFonts w:eastAsia="仿宋_GB2312"/>
          <w:bCs/>
          <w:color w:val="000000"/>
          <w:sz w:val="32"/>
          <w:szCs w:val="32"/>
        </w:rPr>
        <w:t>采用至少两个浓度的参考物质，代表临床意义相关的高、低浓度水平，进行多次重复检测，根据检测结果平均值与参考量值计算偏倚。如参考物质只有一个水平，且无合理稀释方法，亦可在说明原因的基础上，仅采用一个水平的参考物质进行</w:t>
      </w:r>
      <w:r>
        <w:rPr>
          <w:rFonts w:hint="eastAsia" w:eastAsia="仿宋_GB2312"/>
          <w:bCs/>
          <w:color w:val="000000"/>
          <w:sz w:val="32"/>
          <w:szCs w:val="32"/>
        </w:rPr>
        <w:t>正确度</w:t>
      </w:r>
      <w:r>
        <w:rPr>
          <w:rFonts w:eastAsia="仿宋_GB2312"/>
          <w:bCs/>
          <w:color w:val="000000"/>
          <w:sz w:val="32"/>
          <w:szCs w:val="32"/>
        </w:rPr>
        <w:t>评价，结果应在申请人给定范围内。</w:t>
      </w:r>
    </w:p>
    <w:p w14:paraId="3AA64988">
      <w:pPr>
        <w:adjustRightInd w:val="0"/>
        <w:snapToGrid w:val="0"/>
        <w:spacing w:line="520" w:lineRule="exact"/>
        <w:ind w:firstLine="640" w:firstLineChars="200"/>
        <w:jc w:val="left"/>
        <w:rPr>
          <w:rFonts w:eastAsia="仿宋_GB2312"/>
          <w:bCs/>
          <w:color w:val="000000"/>
          <w:sz w:val="32"/>
          <w:szCs w:val="32"/>
        </w:rPr>
      </w:pPr>
      <w:r>
        <w:rPr>
          <w:rFonts w:eastAsia="仿宋_GB2312"/>
          <w:bCs/>
          <w:color w:val="000000"/>
          <w:sz w:val="32"/>
          <w:szCs w:val="32"/>
        </w:rPr>
        <w:t>4.4.2方法学比对</w:t>
      </w:r>
    </w:p>
    <w:p w14:paraId="7F54276B">
      <w:pPr>
        <w:pStyle w:val="28"/>
        <w:spacing w:line="52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采用申报试剂与合理的比较测量程序同时检测临床样本，通过两者的比对研究和偏倚估计，进行申报试剂的正确度评价。比较测量程序可选择参考测量程序或同类试剂。临床样本的浓度水平应覆盖申报试剂的测量区间。在性能建立时，建议对每个样本重复检测，以平均值或中位数进行回归分析。</w:t>
      </w:r>
    </w:p>
    <w:p w14:paraId="7FC45A94">
      <w:pPr>
        <w:pStyle w:val="28"/>
        <w:spacing w:line="520" w:lineRule="exact"/>
        <w:ind w:firstLine="640" w:firstLineChars="200"/>
        <w:rPr>
          <w:rFonts w:eastAsia="仿宋_GB2312"/>
          <w:bCs/>
          <w:color w:val="000000"/>
          <w:sz w:val="32"/>
          <w:szCs w:val="32"/>
        </w:rPr>
      </w:pPr>
      <w:r>
        <w:rPr>
          <w:rFonts w:ascii="Times New Roman" w:hAnsi="Times New Roman" w:eastAsia="仿宋_GB2312"/>
          <w:bCs/>
          <w:color w:val="000000"/>
          <w:sz w:val="32"/>
          <w:szCs w:val="32"/>
        </w:rPr>
        <w:t>4.4.</w:t>
      </w:r>
      <w:r>
        <w:rPr>
          <w:rFonts w:hint="eastAsia" w:ascii="Times New Roman" w:hAnsi="Times New Roman" w:eastAsia="仿宋_GB2312"/>
          <w:bCs/>
          <w:color w:val="000000"/>
          <w:sz w:val="32"/>
          <w:szCs w:val="32"/>
        </w:rPr>
        <w:t>3</w:t>
      </w:r>
      <w:r>
        <w:rPr>
          <w:rFonts w:hint="eastAsia" w:eastAsia="仿宋_GB2312"/>
          <w:bCs/>
          <w:color w:val="000000"/>
          <w:sz w:val="32"/>
          <w:szCs w:val="32"/>
        </w:rPr>
        <w:t>回收试验</w:t>
      </w:r>
    </w:p>
    <w:p w14:paraId="1EE3E30F">
      <w:pPr>
        <w:adjustRightInd w:val="0"/>
        <w:snapToGrid w:val="0"/>
        <w:spacing w:line="52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将标准溶液、标准</w:t>
      </w:r>
      <w:r>
        <w:rPr>
          <w:rFonts w:ascii="仿宋_GB2312" w:hAnsi="宋体" w:eastAsia="仿宋_GB2312"/>
          <w:sz w:val="32"/>
          <w:szCs w:val="32"/>
        </w:rPr>
        <w:t>物质</w:t>
      </w:r>
      <w:r>
        <w:rPr>
          <w:rFonts w:hint="eastAsia" w:ascii="仿宋_GB2312" w:hAnsi="宋体" w:eastAsia="仿宋_GB2312"/>
          <w:sz w:val="32"/>
          <w:szCs w:val="32"/>
        </w:rPr>
        <w:t>或分析物纯品加入临床样本中，配制成回收样品，进行检测。标准溶液、标准</w:t>
      </w:r>
      <w:r>
        <w:rPr>
          <w:rFonts w:ascii="仿宋_GB2312" w:hAnsi="宋体" w:eastAsia="仿宋_GB2312"/>
          <w:sz w:val="32"/>
          <w:szCs w:val="32"/>
        </w:rPr>
        <w:t>物质</w:t>
      </w:r>
      <w:r>
        <w:rPr>
          <w:rFonts w:hint="eastAsia" w:ascii="仿宋_GB2312" w:hAnsi="宋体" w:eastAsia="仿宋_GB2312"/>
          <w:sz w:val="32"/>
          <w:szCs w:val="32"/>
        </w:rPr>
        <w:t>的体积与临床样本的体积比应不会产生基质的变化，一般加入体积不超过总体积的10%。</w:t>
      </w:r>
    </w:p>
    <w:p w14:paraId="0B42C88F">
      <w:pPr>
        <w:adjustRightInd w:val="0"/>
        <w:snapToGrid w:val="0"/>
        <w:spacing w:line="520" w:lineRule="exact"/>
        <w:ind w:firstLine="640" w:firstLineChars="200"/>
        <w:rPr>
          <w:rFonts w:eastAsia="仿宋_GB2312"/>
          <w:bCs/>
          <w:color w:val="000000"/>
          <w:sz w:val="32"/>
          <w:szCs w:val="32"/>
        </w:rPr>
      </w:pPr>
      <w:r>
        <w:rPr>
          <w:rFonts w:hint="eastAsia" w:ascii="仿宋_GB2312" w:hAnsi="宋体" w:eastAsia="仿宋_GB2312"/>
          <w:sz w:val="32"/>
          <w:szCs w:val="32"/>
        </w:rPr>
        <w:t>检测至少3个水平的回收样品，代表试剂测量区间内的高、中、低浓度，其中应包括医学决定水平或参考区间上/下限附近的</w:t>
      </w:r>
      <w:r>
        <w:rPr>
          <w:rFonts w:ascii="仿宋_GB2312" w:hAnsi="宋体" w:eastAsia="仿宋_GB2312"/>
          <w:sz w:val="32"/>
          <w:szCs w:val="32"/>
        </w:rPr>
        <w:t>浓度</w:t>
      </w:r>
      <w:r>
        <w:rPr>
          <w:rFonts w:hint="eastAsia" w:ascii="仿宋_GB2312" w:hAnsi="宋体" w:eastAsia="仿宋_GB2312"/>
          <w:sz w:val="32"/>
          <w:szCs w:val="32"/>
        </w:rPr>
        <w:t>。每个</w:t>
      </w:r>
      <w:r>
        <w:rPr>
          <w:rFonts w:ascii="仿宋_GB2312" w:hAnsi="宋体" w:eastAsia="仿宋_GB2312"/>
          <w:sz w:val="32"/>
          <w:szCs w:val="32"/>
        </w:rPr>
        <w:t>浓度</w:t>
      </w:r>
      <w:r>
        <w:rPr>
          <w:rFonts w:hint="eastAsia" w:ascii="仿宋_GB2312" w:hAnsi="宋体" w:eastAsia="仿宋_GB2312"/>
          <w:sz w:val="32"/>
          <w:szCs w:val="32"/>
        </w:rPr>
        <w:t>应进行多次重复检测，</w:t>
      </w:r>
      <w:r>
        <w:rPr>
          <w:rFonts w:ascii="仿宋_GB2312" w:hAnsi="宋体" w:eastAsia="仿宋_GB2312"/>
          <w:sz w:val="32"/>
          <w:szCs w:val="32"/>
        </w:rPr>
        <w:t>采用检测结果</w:t>
      </w:r>
      <w:r>
        <w:rPr>
          <w:rFonts w:hint="eastAsia" w:ascii="仿宋_GB2312" w:hAnsi="宋体" w:eastAsia="仿宋_GB2312"/>
          <w:sz w:val="32"/>
          <w:szCs w:val="32"/>
        </w:rPr>
        <w:t>平均值计算回收率。</w:t>
      </w:r>
    </w:p>
    <w:p w14:paraId="2CEA4700">
      <w:pPr>
        <w:spacing w:line="520" w:lineRule="exact"/>
        <w:ind w:firstLine="640" w:firstLineChars="200"/>
        <w:rPr>
          <w:rFonts w:eastAsia="仿宋_GB2312"/>
          <w:szCs w:val="32"/>
        </w:rPr>
      </w:pPr>
      <w:r>
        <w:rPr>
          <w:rFonts w:eastAsia="仿宋_GB2312"/>
          <w:sz w:val="32"/>
          <w:szCs w:val="32"/>
          <w:lang w:bidi="ar"/>
        </w:rPr>
        <w:t>4.5</w:t>
      </w:r>
      <w:r>
        <w:rPr>
          <w:rFonts w:hint="eastAsia" w:eastAsia="仿宋_GB2312" w:cs="仿宋_GB2312"/>
          <w:sz w:val="32"/>
          <w:szCs w:val="32"/>
          <w:lang w:bidi="ar"/>
        </w:rPr>
        <w:t>精密度</w:t>
      </w:r>
    </w:p>
    <w:p w14:paraId="5C9B0CD0">
      <w:pPr>
        <w:spacing w:line="520" w:lineRule="exact"/>
        <w:ind w:firstLine="640" w:firstLineChars="200"/>
        <w:rPr>
          <w:rFonts w:eastAsia="仿宋_GB2312"/>
          <w:szCs w:val="32"/>
        </w:rPr>
      </w:pPr>
      <w:r>
        <w:rPr>
          <w:rFonts w:hint="eastAsia" w:eastAsia="仿宋_GB2312" w:cs="仿宋_GB2312"/>
          <w:sz w:val="32"/>
          <w:szCs w:val="32"/>
          <w:lang w:bidi="ar"/>
        </w:rPr>
        <w:t>精密度由随机测量误差决定，通常用标准差、方差或变异系数表示。应根据各测量条件对检测结果影响程度的分析，设计合理的精密度试验方案进行评价，包括重复性、实验室内精密度、实验室间精密度和批间（</w:t>
      </w:r>
      <w:r>
        <w:rPr>
          <w:rFonts w:eastAsia="仿宋_GB2312"/>
          <w:sz w:val="32"/>
          <w:szCs w:val="32"/>
          <w:lang w:bidi="ar"/>
        </w:rPr>
        <w:t>lot-to-lot</w:t>
      </w:r>
      <w:r>
        <w:rPr>
          <w:rFonts w:hint="eastAsia" w:eastAsia="仿宋_GB2312" w:cs="仿宋_GB2312"/>
          <w:sz w:val="32"/>
          <w:szCs w:val="32"/>
          <w:lang w:bidi="ar"/>
        </w:rPr>
        <w:t>）精密度。</w:t>
      </w:r>
    </w:p>
    <w:p w14:paraId="3CFAC0C0">
      <w:pPr>
        <w:spacing w:line="520" w:lineRule="exact"/>
        <w:ind w:firstLine="640" w:firstLineChars="200"/>
        <w:rPr>
          <w:rFonts w:eastAsia="仿宋_GB2312"/>
          <w:szCs w:val="32"/>
        </w:rPr>
      </w:pPr>
      <w:r>
        <w:rPr>
          <w:rFonts w:hint="eastAsia" w:eastAsia="仿宋_GB2312" w:cs="仿宋_GB2312"/>
          <w:sz w:val="32"/>
          <w:szCs w:val="32"/>
          <w:lang w:bidi="ar"/>
        </w:rPr>
        <w:t>申请人需设计合理的精密度试验方案进行评价，综合考虑产品在医学实验室的运行和样本稳定性因素，设定合理的精密度评价周期。对检测数据进行统计分析，获得实验室内精密度、实验室间精密度、批间精密度等结果。</w:t>
      </w:r>
    </w:p>
    <w:p w14:paraId="61F44852">
      <w:pPr>
        <w:spacing w:line="520" w:lineRule="exact"/>
        <w:ind w:firstLine="640" w:firstLineChars="200"/>
        <w:rPr>
          <w:rFonts w:eastAsia="仿宋_GB2312"/>
          <w:szCs w:val="32"/>
        </w:rPr>
      </w:pPr>
      <w:r>
        <w:rPr>
          <w:rFonts w:hint="eastAsia" w:eastAsia="仿宋_GB2312" w:cs="仿宋_GB2312"/>
          <w:sz w:val="32"/>
          <w:szCs w:val="32"/>
          <w:lang w:bidi="ar"/>
        </w:rPr>
        <w:t>精密度研究用样本一般为临床实际检测样本或其混合物。样本浓度一般包括测量区间高、中、低在内的</w:t>
      </w:r>
      <w:r>
        <w:rPr>
          <w:rFonts w:eastAsia="仿宋_GB2312"/>
          <w:sz w:val="32"/>
          <w:szCs w:val="32"/>
          <w:lang w:bidi="ar"/>
        </w:rPr>
        <w:t>3</w:t>
      </w:r>
      <w:r>
        <w:rPr>
          <w:rFonts w:hint="eastAsia" w:eastAsia="仿宋_GB2312" w:cs="仿宋_GB2312"/>
          <w:sz w:val="32"/>
          <w:szCs w:val="32"/>
          <w:lang w:bidi="ar"/>
        </w:rPr>
        <w:t>～</w:t>
      </w:r>
      <w:r>
        <w:rPr>
          <w:rFonts w:eastAsia="仿宋_GB2312"/>
          <w:sz w:val="32"/>
          <w:szCs w:val="32"/>
          <w:lang w:bidi="ar"/>
        </w:rPr>
        <w:t>5</w:t>
      </w:r>
      <w:r>
        <w:rPr>
          <w:rFonts w:hint="eastAsia" w:eastAsia="仿宋_GB2312" w:cs="仿宋_GB2312"/>
          <w:sz w:val="32"/>
          <w:szCs w:val="32"/>
          <w:lang w:bidi="ar"/>
        </w:rPr>
        <w:t>个水平，应有医学决定水平或参考区间上</w:t>
      </w:r>
      <w:r>
        <w:rPr>
          <w:rFonts w:eastAsia="仿宋_GB2312"/>
          <w:sz w:val="32"/>
          <w:szCs w:val="32"/>
          <w:lang w:bidi="ar"/>
        </w:rPr>
        <w:t>/</w:t>
      </w:r>
      <w:r>
        <w:rPr>
          <w:rFonts w:hint="eastAsia" w:eastAsia="仿宋_GB2312" w:cs="仿宋_GB2312"/>
          <w:sz w:val="32"/>
          <w:szCs w:val="32"/>
          <w:lang w:bidi="ar"/>
        </w:rPr>
        <w:t>下限浓度附近的样本。精密度研究可能涉及多天、多地点检测，应确保样本的稳定性和一致性，可将样本等分保存。</w:t>
      </w:r>
    </w:p>
    <w:p w14:paraId="6A7FB5C8">
      <w:pPr>
        <w:spacing w:line="520" w:lineRule="exact"/>
        <w:ind w:firstLine="640" w:firstLineChars="200"/>
        <w:rPr>
          <w:rFonts w:eastAsia="仿宋_GB2312"/>
          <w:szCs w:val="32"/>
          <w:lang w:bidi="ar"/>
        </w:rPr>
      </w:pPr>
      <w:r>
        <w:rPr>
          <w:rFonts w:eastAsia="仿宋_GB2312"/>
          <w:sz w:val="32"/>
          <w:szCs w:val="32"/>
          <w:lang w:bidi="ar"/>
        </w:rPr>
        <w:t>4.6</w:t>
      </w:r>
      <w:r>
        <w:rPr>
          <w:rFonts w:hint="eastAsia" w:eastAsia="仿宋_GB2312" w:cs="仿宋_GB2312"/>
          <w:sz w:val="32"/>
          <w:szCs w:val="32"/>
          <w:lang w:bidi="ar"/>
        </w:rPr>
        <w:t>空白限、检出限及定量限</w:t>
      </w:r>
    </w:p>
    <w:p w14:paraId="65A4320C">
      <w:pPr>
        <w:spacing w:line="520" w:lineRule="exact"/>
        <w:ind w:firstLine="640" w:firstLineChars="200"/>
        <w:rPr>
          <w:rFonts w:eastAsia="仿宋_GB2312"/>
          <w:sz w:val="32"/>
          <w:szCs w:val="32"/>
        </w:rPr>
      </w:pPr>
      <w:r>
        <w:rPr>
          <w:rFonts w:eastAsia="仿宋_GB2312"/>
          <w:sz w:val="32"/>
          <w:szCs w:val="32"/>
          <w:lang w:bidi="ar"/>
        </w:rPr>
        <w:t>申请人可根据产品的具体情况选择适用的方法进行检出能力的研究，</w:t>
      </w:r>
      <w:r>
        <w:rPr>
          <w:rFonts w:hint="eastAsia" w:eastAsia="仿宋_GB2312"/>
          <w:sz w:val="32"/>
          <w:szCs w:val="32"/>
          <w:lang w:bidi="ar"/>
        </w:rPr>
        <w:t>建议对</w:t>
      </w:r>
      <w:r>
        <w:rPr>
          <w:rFonts w:eastAsia="仿宋_GB2312"/>
          <w:sz w:val="32"/>
          <w:szCs w:val="32"/>
        </w:rPr>
        <w:t>空白限（LoB）、检出限（LoD）、定量限（LoQ）进行评估并提交研究资料</w:t>
      </w:r>
      <w:r>
        <w:rPr>
          <w:rFonts w:eastAsia="仿宋_GB2312"/>
          <w:sz w:val="32"/>
          <w:szCs w:val="32"/>
          <w:lang w:bidi="ar"/>
        </w:rPr>
        <w:t>。</w:t>
      </w:r>
      <w:r>
        <w:rPr>
          <w:rFonts w:hint="eastAsia" w:eastAsia="仿宋_GB2312"/>
          <w:sz w:val="32"/>
          <w:szCs w:val="32"/>
          <w:lang w:bidi="ar"/>
        </w:rPr>
        <w:t>可参照</w:t>
      </w:r>
      <w:r>
        <w:rPr>
          <w:rFonts w:eastAsia="仿宋_GB2312"/>
          <w:sz w:val="32"/>
          <w:szCs w:val="32"/>
        </w:rPr>
        <w:t>《定量检测体外诊断试剂分析性能评估注册审查指导原则》</w:t>
      </w:r>
      <w:r>
        <w:rPr>
          <w:rFonts w:hint="eastAsia" w:eastAsia="仿宋_GB2312"/>
          <w:sz w:val="32"/>
          <w:szCs w:val="32"/>
          <w:lang w:bidi="ar"/>
        </w:rPr>
        <w:t>，提供</w:t>
      </w:r>
      <w:r>
        <w:rPr>
          <w:rFonts w:eastAsia="仿宋_GB2312"/>
          <w:sz w:val="32"/>
          <w:szCs w:val="32"/>
        </w:rPr>
        <w:t>空白限、检出限与定量限的建立及验证的研究资料。</w:t>
      </w:r>
    </w:p>
    <w:p w14:paraId="3B6470D1">
      <w:pPr>
        <w:adjustRightInd w:val="0"/>
        <w:snapToGrid w:val="0"/>
        <w:spacing w:line="520" w:lineRule="exact"/>
        <w:ind w:firstLine="640" w:firstLineChars="200"/>
        <w:rPr>
          <w:rFonts w:hint="eastAsia" w:eastAsia="仿宋_GB2312"/>
          <w:sz w:val="32"/>
          <w:lang w:eastAsia="zh-CN"/>
        </w:rPr>
      </w:pPr>
      <w:r>
        <w:rPr>
          <w:rFonts w:hint="eastAsia" w:eastAsia="仿宋_GB2312"/>
          <w:sz w:val="32"/>
        </w:rPr>
        <w:t>4.</w:t>
      </w:r>
      <w:r>
        <w:rPr>
          <w:rFonts w:hint="eastAsia" w:eastAsia="仿宋_GB2312"/>
          <w:sz w:val="32"/>
          <w:lang w:val="en-US" w:eastAsia="zh-CN"/>
        </w:rPr>
        <w:t>7</w:t>
      </w:r>
      <w:r>
        <w:rPr>
          <w:rFonts w:hint="eastAsia" w:eastAsia="仿宋_GB2312"/>
          <w:sz w:val="32"/>
        </w:rPr>
        <w:t>空白</w:t>
      </w:r>
      <w:r>
        <w:rPr>
          <w:rFonts w:hint="eastAsia" w:eastAsia="仿宋_GB2312"/>
          <w:sz w:val="32"/>
          <w:lang w:eastAsia="zh-CN"/>
        </w:rPr>
        <w:t>吸光度</w:t>
      </w:r>
    </w:p>
    <w:p w14:paraId="2EB683FB">
      <w:pPr>
        <w:spacing w:line="520" w:lineRule="exact"/>
        <w:ind w:firstLine="640" w:firstLineChars="200"/>
        <w:rPr>
          <w:rFonts w:hint="eastAsia" w:eastAsia="仿宋_GB2312"/>
          <w:sz w:val="32"/>
        </w:rPr>
      </w:pPr>
      <w:r>
        <w:rPr>
          <w:rFonts w:hint="eastAsia" w:eastAsia="仿宋_GB2312"/>
          <w:sz w:val="32"/>
        </w:rPr>
        <w:t>在特定温度、波长、光</w:t>
      </w:r>
      <w:r>
        <w:rPr>
          <w:rFonts w:hint="eastAsia" w:eastAsia="仿宋_GB2312"/>
          <w:color w:val="000000"/>
          <w:sz w:val="32"/>
        </w:rPr>
        <w:t>径</w:t>
      </w:r>
      <w:r>
        <w:rPr>
          <w:rFonts w:hint="eastAsia" w:eastAsia="仿宋_GB2312"/>
          <w:sz w:val="32"/>
        </w:rPr>
        <w:t>条件下，测试空白样本,记录试剂（盒）参数规定读数点主波长下的吸光度值,即为试剂空白吸光度测定值。</w:t>
      </w:r>
    </w:p>
    <w:p w14:paraId="2960DC07">
      <w:pPr>
        <w:spacing w:line="520" w:lineRule="exact"/>
        <w:ind w:firstLine="640" w:firstLineChars="200"/>
        <w:rPr>
          <w:rFonts w:hint="eastAsia" w:eastAsia="仿宋_GB2312"/>
          <w:sz w:val="32"/>
        </w:rPr>
      </w:pPr>
      <w:r>
        <w:rPr>
          <w:rFonts w:hint="eastAsia" w:eastAsia="仿宋_GB2312"/>
          <w:sz w:val="32"/>
        </w:rPr>
        <w:t>注:空白样本可以是纯水样本、生理盐水、零校准液等。</w:t>
      </w:r>
    </w:p>
    <w:p w14:paraId="71428183">
      <w:pPr>
        <w:spacing w:line="520" w:lineRule="exact"/>
        <w:ind w:firstLine="640" w:firstLineChars="200"/>
        <w:rPr>
          <w:rFonts w:eastAsia="仿宋_GB2312"/>
          <w:sz w:val="32"/>
        </w:rPr>
      </w:pPr>
      <w:r>
        <w:rPr>
          <w:rFonts w:hint="eastAsia" w:eastAsia="仿宋_GB2312"/>
          <w:sz w:val="32"/>
        </w:rPr>
        <w:t>4.</w:t>
      </w:r>
      <w:r>
        <w:rPr>
          <w:rFonts w:hint="eastAsia" w:eastAsia="仿宋_GB2312"/>
          <w:sz w:val="32"/>
          <w:lang w:val="en-US" w:eastAsia="zh-CN"/>
        </w:rPr>
        <w:t>8</w:t>
      </w:r>
      <w:r>
        <w:rPr>
          <w:rFonts w:hint="eastAsia" w:eastAsia="仿宋_GB2312"/>
          <w:sz w:val="32"/>
        </w:rPr>
        <w:t>分析灵敏度</w:t>
      </w:r>
    </w:p>
    <w:p w14:paraId="06671B48">
      <w:pPr>
        <w:spacing w:line="520" w:lineRule="exact"/>
        <w:ind w:firstLine="640" w:firstLineChars="200"/>
        <w:rPr>
          <w:rFonts w:eastAsia="仿宋_GB2312"/>
          <w:sz w:val="32"/>
          <w:szCs w:val="32"/>
        </w:rPr>
      </w:pPr>
      <w:r>
        <w:rPr>
          <w:rFonts w:hint="eastAsia" w:eastAsia="仿宋_GB2312"/>
          <w:sz w:val="32"/>
        </w:rPr>
        <w:t>用已知浓度的样本进行测试，记录在试剂（盒）规定参数下产生的吸光度</w:t>
      </w:r>
      <w:r>
        <w:rPr>
          <w:rFonts w:hint="eastAsia" w:eastAsia="仿宋_GB2312"/>
          <w:sz w:val="32"/>
          <w:lang w:eastAsia="zh-CN"/>
        </w:rPr>
        <w:t>差值</w:t>
      </w:r>
      <w:r>
        <w:rPr>
          <w:rFonts w:hint="eastAsia" w:eastAsia="仿宋_GB2312"/>
          <w:sz w:val="32"/>
        </w:rPr>
        <w:t>。换算为</w:t>
      </w:r>
      <w:r>
        <w:rPr>
          <w:rFonts w:eastAsia="仿宋_GB2312"/>
          <w:sz w:val="32"/>
        </w:rPr>
        <w:t>n</w:t>
      </w:r>
      <w:r>
        <w:rPr>
          <w:rFonts w:hint="eastAsia" w:eastAsia="仿宋_GB2312"/>
          <w:sz w:val="32"/>
        </w:rPr>
        <w:t>单位吸光度差值（</w:t>
      </w:r>
      <w:r>
        <w:rPr>
          <w:rFonts w:eastAsia="仿宋_GB2312"/>
          <w:sz w:val="32"/>
        </w:rPr>
        <w:t>ΔA</w:t>
      </w:r>
      <w:r>
        <w:rPr>
          <w:rFonts w:hint="eastAsia" w:eastAsia="仿宋_GB2312"/>
          <w:sz w:val="32"/>
        </w:rPr>
        <w:t>）即为本产品的分析灵敏度。</w:t>
      </w:r>
    </w:p>
    <w:p w14:paraId="1011F973">
      <w:pPr>
        <w:spacing w:line="520" w:lineRule="exact"/>
        <w:ind w:firstLine="640" w:firstLineChars="200"/>
        <w:rPr>
          <w:rFonts w:eastAsia="仿宋_GB2312"/>
          <w:kern w:val="0"/>
          <w:szCs w:val="32"/>
        </w:rPr>
      </w:pPr>
      <w:r>
        <w:rPr>
          <w:rFonts w:eastAsia="仿宋_GB2312"/>
          <w:kern w:val="0"/>
          <w:sz w:val="32"/>
          <w:szCs w:val="32"/>
          <w:lang w:bidi="ar"/>
        </w:rPr>
        <w:t>4.</w:t>
      </w:r>
      <w:r>
        <w:rPr>
          <w:rFonts w:hint="eastAsia" w:eastAsia="仿宋_GB2312"/>
          <w:kern w:val="0"/>
          <w:sz w:val="32"/>
          <w:szCs w:val="32"/>
          <w:lang w:val="en-US" w:eastAsia="zh-CN" w:bidi="ar"/>
        </w:rPr>
        <w:t>9</w:t>
      </w:r>
      <w:r>
        <w:rPr>
          <w:rFonts w:hint="eastAsia" w:eastAsia="仿宋_GB2312" w:cs="仿宋_GB2312"/>
          <w:kern w:val="0"/>
          <w:sz w:val="32"/>
          <w:szCs w:val="32"/>
          <w:lang w:bidi="ar"/>
        </w:rPr>
        <w:t>分析特异性</w:t>
      </w:r>
    </w:p>
    <w:p w14:paraId="031A696F">
      <w:pPr>
        <w:autoSpaceDE w:val="0"/>
        <w:autoSpaceDN w:val="0"/>
        <w:snapToGrid w:val="0"/>
        <w:spacing w:line="520" w:lineRule="exact"/>
        <w:ind w:firstLine="640" w:firstLineChars="200"/>
        <w:rPr>
          <w:rFonts w:eastAsia="仿宋_GB2312"/>
          <w:sz w:val="32"/>
          <w:szCs w:val="32"/>
        </w:rPr>
      </w:pPr>
      <w:r>
        <w:rPr>
          <w:rFonts w:hint="eastAsia" w:eastAsia="仿宋_GB2312" w:cs="仿宋_GB2312"/>
          <w:sz w:val="32"/>
          <w:szCs w:val="32"/>
          <w:lang w:bidi="ar"/>
        </w:rPr>
        <w:t>干扰物质研究应当考虑常见的内源性干扰、外源性干扰和已有报道的干扰物质等对产品检测结果的影响。常见的内源性干扰物质包括胆红素、血红蛋白、甘油三酯等，常见的外源性干扰物质包括样本添加剂（如抗凝剂）、常用药物及其代谢物（如维生素</w:t>
      </w:r>
      <w:r>
        <w:rPr>
          <w:rFonts w:eastAsia="仿宋_GB2312"/>
          <w:sz w:val="32"/>
          <w:szCs w:val="32"/>
          <w:lang w:bidi="ar"/>
        </w:rPr>
        <w:t>C</w:t>
      </w:r>
      <w:r>
        <w:rPr>
          <w:rFonts w:hint="eastAsia" w:eastAsia="仿宋_GB2312" w:cs="仿宋_GB2312"/>
          <w:sz w:val="32"/>
          <w:szCs w:val="32"/>
          <w:lang w:bidi="ar"/>
        </w:rPr>
        <w:t>）等。申请人应根据产品特点选择潜在的干扰物质进行验证。</w:t>
      </w:r>
    </w:p>
    <w:p w14:paraId="2A4CBE1A">
      <w:pPr>
        <w:autoSpaceDE w:val="0"/>
        <w:autoSpaceDN w:val="0"/>
        <w:snapToGrid w:val="0"/>
        <w:spacing w:line="520" w:lineRule="exact"/>
        <w:ind w:firstLine="640" w:firstLineChars="200"/>
        <w:rPr>
          <w:rFonts w:eastAsia="仿宋_GB2312" w:cs="仿宋_GB2312"/>
          <w:bCs/>
          <w:sz w:val="32"/>
          <w:szCs w:val="32"/>
          <w:lang w:bidi="ar"/>
        </w:rPr>
      </w:pPr>
      <w:r>
        <w:rPr>
          <w:rFonts w:hint="eastAsia" w:eastAsia="仿宋_GB2312" w:cs="仿宋_GB2312"/>
          <w:bCs/>
          <w:sz w:val="32"/>
          <w:szCs w:val="28"/>
          <w:lang w:bidi="ar"/>
        </w:rPr>
        <w:t>研究的</w:t>
      </w:r>
      <w:r>
        <w:rPr>
          <w:rFonts w:hint="eastAsia" w:eastAsia="仿宋_GB2312" w:cs="仿宋_GB2312"/>
          <w:bCs/>
          <w:sz w:val="32"/>
          <w:szCs w:val="32"/>
          <w:lang w:bidi="ar"/>
        </w:rPr>
        <w:t>干扰物浓度应覆盖临床样本中的最高浓度（最差情形），并对干扰的程度进行量化</w:t>
      </w:r>
      <w:r>
        <w:rPr>
          <w:rFonts w:hint="eastAsia" w:eastAsia="仿宋_GB2312" w:cs="仿宋_GB2312"/>
          <w:bCs/>
          <w:sz w:val="32"/>
          <w:szCs w:val="28"/>
          <w:lang w:bidi="ar"/>
        </w:rPr>
        <w:t>。</w:t>
      </w:r>
      <w:r>
        <w:rPr>
          <w:rFonts w:hint="eastAsia" w:eastAsia="仿宋_GB2312" w:cs="仿宋_GB2312"/>
          <w:sz w:val="32"/>
          <w:szCs w:val="32"/>
          <w:lang w:bidi="ar"/>
        </w:rPr>
        <w:t>将研究结果在说明书中进行描述</w:t>
      </w:r>
      <w:r>
        <w:rPr>
          <w:rFonts w:hint="eastAsia" w:eastAsia="仿宋_GB2312" w:cs="仿宋_GB2312"/>
          <w:bCs/>
          <w:sz w:val="32"/>
          <w:szCs w:val="32"/>
          <w:lang w:bidi="ar"/>
        </w:rPr>
        <w:t>，明确干扰物质影响的最大浓度。待评价的样本浓度建议采用至少</w:t>
      </w:r>
      <w:r>
        <w:rPr>
          <w:rFonts w:eastAsia="仿宋_GB2312"/>
          <w:bCs/>
          <w:sz w:val="32"/>
          <w:szCs w:val="32"/>
          <w:lang w:bidi="ar"/>
        </w:rPr>
        <w:t>2</w:t>
      </w:r>
      <w:r>
        <w:rPr>
          <w:rFonts w:hint="eastAsia" w:eastAsia="仿宋_GB2312" w:cs="仿宋_GB2312"/>
          <w:bCs/>
          <w:sz w:val="32"/>
          <w:szCs w:val="32"/>
          <w:lang w:bidi="ar"/>
        </w:rPr>
        <w:t>个分析物水平的样本，其浓度应在医学决定水平或参考区间上</w:t>
      </w:r>
      <w:r>
        <w:rPr>
          <w:rFonts w:eastAsia="仿宋_GB2312"/>
          <w:bCs/>
          <w:sz w:val="32"/>
          <w:szCs w:val="32"/>
          <w:lang w:bidi="ar"/>
        </w:rPr>
        <w:t>/</w:t>
      </w:r>
      <w:r>
        <w:rPr>
          <w:rFonts w:hint="eastAsia" w:eastAsia="仿宋_GB2312" w:cs="仿宋_GB2312"/>
          <w:bCs/>
          <w:sz w:val="32"/>
          <w:szCs w:val="32"/>
          <w:lang w:bidi="ar"/>
        </w:rPr>
        <w:t>下限附近。</w:t>
      </w:r>
    </w:p>
    <w:p w14:paraId="576EF677">
      <w:pPr>
        <w:adjustRightInd w:val="0"/>
        <w:snapToGrid w:val="0"/>
        <w:spacing w:line="520" w:lineRule="exact"/>
        <w:ind w:firstLine="640" w:firstLineChars="200"/>
        <w:rPr>
          <w:rFonts w:eastAsia="仿宋_GB2312"/>
          <w:szCs w:val="32"/>
        </w:rPr>
      </w:pPr>
      <w:r>
        <w:rPr>
          <w:rFonts w:eastAsia="仿宋_GB2312"/>
          <w:sz w:val="32"/>
          <w:szCs w:val="32"/>
          <w:lang w:bidi="ar"/>
        </w:rPr>
        <w:t>4.</w:t>
      </w:r>
      <w:r>
        <w:rPr>
          <w:rFonts w:hint="eastAsia" w:eastAsia="仿宋_GB2312"/>
          <w:sz w:val="32"/>
          <w:szCs w:val="32"/>
          <w:lang w:val="en-US" w:eastAsia="zh-CN" w:bidi="ar"/>
        </w:rPr>
        <w:t>10</w:t>
      </w:r>
      <w:r>
        <w:rPr>
          <w:rFonts w:eastAsia="仿宋_GB2312"/>
          <w:sz w:val="32"/>
          <w:szCs w:val="32"/>
        </w:rPr>
        <w:t>线性区间</w:t>
      </w:r>
      <w:r>
        <w:rPr>
          <w:rFonts w:hint="eastAsia" w:eastAsia="仿宋_GB2312"/>
          <w:sz w:val="32"/>
          <w:szCs w:val="32"/>
        </w:rPr>
        <w:t>、</w:t>
      </w:r>
      <w:r>
        <w:rPr>
          <w:rFonts w:eastAsia="仿宋_GB2312"/>
          <w:sz w:val="32"/>
          <w:szCs w:val="32"/>
        </w:rPr>
        <w:t>测量区间</w:t>
      </w:r>
      <w:r>
        <w:rPr>
          <w:rFonts w:hint="eastAsia" w:eastAsia="仿宋_GB2312"/>
          <w:sz w:val="32"/>
          <w:szCs w:val="32"/>
        </w:rPr>
        <w:t>及可报告区间</w:t>
      </w:r>
    </w:p>
    <w:p w14:paraId="5734BEB4">
      <w:pPr>
        <w:spacing w:line="520" w:lineRule="exact"/>
        <w:ind w:firstLine="640" w:firstLineChars="200"/>
        <w:rPr>
          <w:rFonts w:eastAsia="仿宋_GB2312"/>
          <w:kern w:val="0"/>
          <w:szCs w:val="32"/>
        </w:rPr>
      </w:pPr>
      <w:r>
        <w:rPr>
          <w:rFonts w:eastAsia="仿宋_GB2312"/>
          <w:sz w:val="32"/>
          <w:szCs w:val="32"/>
          <w:lang w:bidi="ar"/>
        </w:rPr>
        <w:t>4.</w:t>
      </w:r>
      <w:r>
        <w:rPr>
          <w:rFonts w:hint="eastAsia" w:eastAsia="仿宋_GB2312"/>
          <w:sz w:val="32"/>
          <w:szCs w:val="32"/>
          <w:lang w:val="en-US" w:eastAsia="zh-CN" w:bidi="ar"/>
        </w:rPr>
        <w:t>10</w:t>
      </w:r>
      <w:r>
        <w:rPr>
          <w:rFonts w:eastAsia="仿宋_GB2312"/>
          <w:sz w:val="32"/>
          <w:szCs w:val="32"/>
          <w:lang w:bidi="ar"/>
        </w:rPr>
        <w:t>.1</w:t>
      </w:r>
      <w:r>
        <w:rPr>
          <w:rFonts w:hint="eastAsia" w:eastAsia="仿宋_GB2312" w:cs="仿宋_GB2312"/>
          <w:kern w:val="0"/>
          <w:sz w:val="32"/>
          <w:szCs w:val="32"/>
          <w:lang w:bidi="ar"/>
        </w:rPr>
        <w:t>线性区间及测量区间</w:t>
      </w:r>
    </w:p>
    <w:p w14:paraId="5AE04834">
      <w:pPr>
        <w:spacing w:line="520" w:lineRule="exact"/>
        <w:ind w:firstLine="640" w:firstLineChars="200"/>
        <w:rPr>
          <w:rFonts w:eastAsia="仿宋_GB2312"/>
          <w:kern w:val="0"/>
          <w:szCs w:val="32"/>
        </w:rPr>
      </w:pPr>
      <w:r>
        <w:rPr>
          <w:rFonts w:hint="eastAsia" w:eastAsia="仿宋_GB2312" w:cs="仿宋_GB2312"/>
          <w:kern w:val="0"/>
          <w:sz w:val="32"/>
          <w:szCs w:val="32"/>
          <w:lang w:bidi="ar"/>
        </w:rPr>
        <w:t>线性区间的研究，需采用高值和零浓度</w:t>
      </w:r>
      <w:r>
        <w:rPr>
          <w:rFonts w:eastAsia="仿宋_GB2312"/>
          <w:kern w:val="0"/>
          <w:sz w:val="32"/>
          <w:szCs w:val="32"/>
          <w:lang w:bidi="ar"/>
        </w:rPr>
        <w:t>/</w:t>
      </w:r>
      <w:r>
        <w:rPr>
          <w:rFonts w:hint="eastAsia" w:eastAsia="仿宋_GB2312" w:cs="仿宋_GB2312"/>
          <w:kern w:val="0"/>
          <w:sz w:val="32"/>
          <w:szCs w:val="32"/>
          <w:lang w:bidi="ar"/>
        </w:rPr>
        <w:t>低值样本配制一系列不同浓度的样本。当建立试剂的线性区间时，需配制较预期线性区间更宽的</w:t>
      </w:r>
      <w:r>
        <w:rPr>
          <w:rFonts w:eastAsia="仿宋_GB2312"/>
          <w:kern w:val="0"/>
          <w:sz w:val="32"/>
          <w:szCs w:val="32"/>
          <w:lang w:bidi="ar"/>
        </w:rPr>
        <w:t>9</w:t>
      </w:r>
      <w:r>
        <w:rPr>
          <w:rFonts w:hint="eastAsia" w:eastAsia="仿宋_GB2312" w:cs="仿宋_GB2312"/>
          <w:kern w:val="0"/>
          <w:sz w:val="32"/>
          <w:szCs w:val="32"/>
          <w:lang w:bidi="ar"/>
        </w:rPr>
        <w:t>个左右不同浓度的样本（不包括零浓度样本），每个样本进行多次重复检测，根据可接受线性偏差和各浓度的重复性，确定检测次数。采用重复检测均值和预期值进行直线回归分析，建议采用加权最小二乘回归等分析方法，提供散点图、线性回归方程、线性相关系数（</w:t>
      </w:r>
      <w:r>
        <w:rPr>
          <w:rFonts w:eastAsia="仿宋_GB2312"/>
          <w:kern w:val="0"/>
          <w:sz w:val="32"/>
          <w:szCs w:val="32"/>
          <w:lang w:bidi="ar"/>
        </w:rPr>
        <w:t>r</w:t>
      </w:r>
      <w:r>
        <w:rPr>
          <w:rFonts w:hint="eastAsia" w:eastAsia="仿宋_GB2312" w:cs="仿宋_GB2312"/>
          <w:kern w:val="0"/>
          <w:sz w:val="32"/>
          <w:szCs w:val="32"/>
          <w:lang w:bidi="ar"/>
        </w:rPr>
        <w:t>）及线性偏差，判断结果是否满足可接受标准。</w:t>
      </w:r>
    </w:p>
    <w:p w14:paraId="7F9E27DD">
      <w:pPr>
        <w:spacing w:line="520" w:lineRule="exact"/>
        <w:ind w:firstLine="640" w:firstLineChars="200"/>
        <w:rPr>
          <w:rFonts w:eastAsia="仿宋_GB2312"/>
          <w:kern w:val="0"/>
          <w:szCs w:val="32"/>
        </w:rPr>
      </w:pPr>
      <w:r>
        <w:rPr>
          <w:rFonts w:hint="eastAsia" w:eastAsia="仿宋_GB2312" w:cs="仿宋_GB2312"/>
          <w:kern w:val="0"/>
          <w:sz w:val="32"/>
          <w:szCs w:val="32"/>
          <w:lang w:bidi="ar"/>
        </w:rPr>
        <w:t>当验证试剂的线性区间时，需配制覆盖整个线性区间的至少</w:t>
      </w:r>
      <w:r>
        <w:rPr>
          <w:rFonts w:eastAsia="仿宋_GB2312"/>
          <w:kern w:val="0"/>
          <w:sz w:val="32"/>
          <w:szCs w:val="32"/>
          <w:lang w:bidi="ar"/>
        </w:rPr>
        <w:t>5</w:t>
      </w:r>
      <w:r>
        <w:rPr>
          <w:rFonts w:hint="eastAsia" w:eastAsia="仿宋_GB2312" w:cs="仿宋_GB2312"/>
          <w:kern w:val="0"/>
          <w:sz w:val="32"/>
          <w:szCs w:val="32"/>
          <w:lang w:bidi="ar"/>
        </w:rPr>
        <w:t>个不同浓度的样本，每个样本至少重复检测</w:t>
      </w:r>
      <w:r>
        <w:rPr>
          <w:rFonts w:eastAsia="仿宋_GB2312"/>
          <w:kern w:val="0"/>
          <w:sz w:val="32"/>
          <w:szCs w:val="32"/>
          <w:lang w:bidi="ar"/>
        </w:rPr>
        <w:t>2</w:t>
      </w:r>
      <w:r>
        <w:rPr>
          <w:rFonts w:hint="eastAsia" w:eastAsia="仿宋_GB2312" w:cs="仿宋_GB2312"/>
          <w:kern w:val="0"/>
          <w:sz w:val="32"/>
          <w:szCs w:val="32"/>
          <w:lang w:bidi="ar"/>
        </w:rPr>
        <w:t>次。</w:t>
      </w:r>
    </w:p>
    <w:p w14:paraId="28C1A046">
      <w:pPr>
        <w:adjustRightInd w:val="0"/>
        <w:snapToGrid w:val="0"/>
        <w:spacing w:line="520" w:lineRule="exact"/>
        <w:ind w:firstLine="640" w:firstLineChars="200"/>
        <w:rPr>
          <w:rFonts w:eastAsia="仿宋_GB2312"/>
          <w:szCs w:val="32"/>
          <w:lang w:bidi="ar"/>
        </w:rPr>
      </w:pPr>
      <w:r>
        <w:rPr>
          <w:rFonts w:hint="eastAsia" w:ascii="仿宋_GB2312" w:hAnsi="宋体" w:eastAsia="仿宋_GB2312"/>
          <w:sz w:val="32"/>
          <w:szCs w:val="32"/>
        </w:rPr>
        <w:t>在测量区间内，临床样本在未经稀释、浓缩，或非常规测量程序中步骤的其他前处理情况下，检测结果的线性偏差、不精密度和偏倚均在可接受范围内。</w:t>
      </w:r>
      <w:r>
        <w:rPr>
          <w:rFonts w:hint="eastAsia" w:eastAsia="仿宋_GB2312" w:cs="仿宋_GB2312"/>
          <w:sz w:val="32"/>
          <w:szCs w:val="32"/>
          <w:lang w:bidi="ar"/>
        </w:rPr>
        <w:t>测量区间下限应不低于定量限，线性区间包含测量区间。</w:t>
      </w:r>
    </w:p>
    <w:p w14:paraId="6CC4E885">
      <w:pPr>
        <w:adjustRightInd w:val="0"/>
        <w:snapToGrid w:val="0"/>
        <w:spacing w:line="520" w:lineRule="exact"/>
        <w:ind w:firstLine="640" w:firstLineChars="200"/>
        <w:rPr>
          <w:rFonts w:eastAsia="仿宋_GB2312"/>
          <w:szCs w:val="32"/>
        </w:rPr>
      </w:pPr>
      <w:r>
        <w:rPr>
          <w:rFonts w:eastAsia="仿宋_GB2312"/>
          <w:sz w:val="32"/>
          <w:szCs w:val="32"/>
          <w:lang w:bidi="ar"/>
        </w:rPr>
        <w:t>4.</w:t>
      </w:r>
      <w:r>
        <w:rPr>
          <w:rFonts w:hint="eastAsia" w:eastAsia="仿宋_GB2312"/>
          <w:sz w:val="32"/>
          <w:szCs w:val="32"/>
          <w:lang w:val="en-US" w:eastAsia="zh-CN" w:bidi="ar"/>
        </w:rPr>
        <w:t>10</w:t>
      </w:r>
      <w:r>
        <w:rPr>
          <w:rFonts w:eastAsia="仿宋_GB2312"/>
          <w:sz w:val="32"/>
          <w:szCs w:val="32"/>
          <w:lang w:bidi="ar"/>
        </w:rPr>
        <w:t>.2</w:t>
      </w:r>
      <w:r>
        <w:rPr>
          <w:rFonts w:hint="eastAsia" w:eastAsia="仿宋_GB2312" w:cs="仿宋_GB2312"/>
          <w:sz w:val="32"/>
          <w:szCs w:val="32"/>
          <w:lang w:bidi="ar"/>
        </w:rPr>
        <w:t>扩展测量区间和可报告区间</w:t>
      </w:r>
    </w:p>
    <w:p w14:paraId="75B5CA89">
      <w:pPr>
        <w:adjustRightInd w:val="0"/>
        <w:snapToGrid w:val="0"/>
        <w:spacing w:line="520" w:lineRule="exact"/>
        <w:ind w:firstLine="640" w:firstLineChars="200"/>
        <w:rPr>
          <w:rFonts w:eastAsia="仿宋_GB2312" w:cs="仿宋_GB2312"/>
          <w:sz w:val="32"/>
          <w:szCs w:val="32"/>
          <w:lang w:bidi="ar"/>
        </w:rPr>
      </w:pPr>
      <w:r>
        <w:rPr>
          <w:rFonts w:hint="eastAsia" w:eastAsia="仿宋_GB2312" w:cs="仿宋_GB2312"/>
          <w:sz w:val="32"/>
          <w:szCs w:val="32"/>
          <w:lang w:bidi="ar"/>
        </w:rPr>
        <w:t>如对超出测量区间浓度的样本可进行稀释后检测，应研究合适的稀释液和稀释倍数，从而确定试剂的扩展测量区间和可报告区间。两者上限均为测量区间上限</w:t>
      </w:r>
      <w:r>
        <w:rPr>
          <w:rFonts w:eastAsia="微软雅黑"/>
          <w:sz w:val="32"/>
          <w:szCs w:val="32"/>
          <w:lang w:bidi="ar"/>
        </w:rPr>
        <w:t>×</w:t>
      </w:r>
      <w:r>
        <w:rPr>
          <w:rFonts w:hint="eastAsia" w:eastAsia="仿宋_GB2312" w:cs="仿宋_GB2312"/>
          <w:sz w:val="32"/>
          <w:szCs w:val="32"/>
          <w:lang w:bidi="ar"/>
        </w:rPr>
        <w:t>稀释倍数，扩展测量区间的下限为测量区间上限。应根据预期的临床意义设置合适的可报告区间，并在说明书中进行提示。</w:t>
      </w:r>
    </w:p>
    <w:p w14:paraId="0FD2ED8B">
      <w:pPr>
        <w:spacing w:line="560" w:lineRule="exact"/>
        <w:ind w:firstLine="640" w:firstLineChars="200"/>
        <w:rPr>
          <w:rFonts w:eastAsia="仿宋_GB2312"/>
          <w:color w:val="000000"/>
          <w:sz w:val="32"/>
          <w:szCs w:val="32"/>
        </w:rPr>
      </w:pPr>
      <w:r>
        <w:rPr>
          <w:rFonts w:hint="eastAsia" w:eastAsia="仿宋_GB2312"/>
          <w:color w:val="000000"/>
          <w:sz w:val="32"/>
          <w:szCs w:val="32"/>
        </w:rPr>
        <w:t>4.</w:t>
      </w:r>
      <w:r>
        <w:rPr>
          <w:rFonts w:hint="eastAsia" w:eastAsia="仿宋_GB2312"/>
          <w:color w:val="000000"/>
          <w:sz w:val="32"/>
          <w:szCs w:val="32"/>
          <w:lang w:val="en-US" w:eastAsia="zh-CN"/>
        </w:rPr>
        <w:t>11</w:t>
      </w:r>
      <w:r>
        <w:rPr>
          <w:rFonts w:hint="eastAsia" w:ascii="仿宋_GB2312" w:hAnsi="宋体" w:eastAsia="仿宋_GB2312"/>
          <w:sz w:val="32"/>
          <w:szCs w:val="32"/>
        </w:rPr>
        <w:t xml:space="preserve"> </w:t>
      </w:r>
      <w:r>
        <w:rPr>
          <w:rFonts w:eastAsia="仿宋_GB2312"/>
          <w:color w:val="000000"/>
          <w:sz w:val="32"/>
          <w:szCs w:val="32"/>
        </w:rPr>
        <w:t>反应体系</w:t>
      </w:r>
    </w:p>
    <w:p w14:paraId="11586642">
      <w:pPr>
        <w:adjustRightInd w:val="0"/>
        <w:snapToGrid w:val="0"/>
        <w:spacing w:line="520" w:lineRule="exact"/>
        <w:ind w:firstLine="640" w:firstLineChars="200"/>
        <w:rPr>
          <w:rFonts w:eastAsia="仿宋_GB2312" w:cs="仿宋_GB2312"/>
          <w:sz w:val="32"/>
          <w:szCs w:val="32"/>
          <w:lang w:bidi="ar"/>
        </w:rPr>
      </w:pPr>
      <w:r>
        <w:rPr>
          <w:rFonts w:hint="eastAsia" w:eastAsia="仿宋_GB2312"/>
          <w:color w:val="000000"/>
          <w:sz w:val="32"/>
          <w:szCs w:val="32"/>
        </w:rPr>
        <w:t>资料</w:t>
      </w:r>
      <w:r>
        <w:rPr>
          <w:rFonts w:eastAsia="仿宋_GB2312"/>
          <w:color w:val="000000"/>
          <w:sz w:val="32"/>
          <w:szCs w:val="32"/>
        </w:rPr>
        <w:t>由申请人保存，技术审评需要时</w:t>
      </w:r>
      <w:r>
        <w:rPr>
          <w:rFonts w:hint="eastAsia" w:eastAsia="仿宋_GB2312"/>
          <w:color w:val="000000"/>
          <w:sz w:val="32"/>
          <w:szCs w:val="32"/>
        </w:rPr>
        <w:t>应</w:t>
      </w:r>
      <w:r>
        <w:rPr>
          <w:rFonts w:eastAsia="仿宋_GB2312"/>
          <w:color w:val="000000"/>
          <w:sz w:val="32"/>
          <w:szCs w:val="32"/>
        </w:rPr>
        <w:t>提交。</w:t>
      </w:r>
    </w:p>
    <w:p w14:paraId="2C3BEC72">
      <w:pPr>
        <w:pStyle w:val="37"/>
        <w:outlineLvl w:val="2"/>
      </w:pPr>
      <w:r>
        <w:rPr>
          <w:rFonts w:hint="eastAsia"/>
        </w:rPr>
        <w:t>5</w:t>
      </w:r>
      <w:r>
        <w:t>.产品稳定性研究</w:t>
      </w:r>
    </w:p>
    <w:p w14:paraId="685D1CD2">
      <w:pPr>
        <w:spacing w:line="520" w:lineRule="exact"/>
        <w:ind w:firstLine="640" w:firstLineChars="200"/>
        <w:rPr>
          <w:rFonts w:eastAsia="仿宋_GB2312"/>
          <w:color w:val="000000"/>
          <w:kern w:val="0"/>
          <w:sz w:val="32"/>
          <w:szCs w:val="32"/>
        </w:rPr>
      </w:pPr>
      <w:r>
        <w:rPr>
          <w:rFonts w:hint="eastAsia" w:eastAsia="仿宋_GB2312"/>
          <w:sz w:val="32"/>
          <w:szCs w:val="32"/>
          <w:lang w:bidi="ar"/>
        </w:rPr>
        <w:t>申请人应根据</w:t>
      </w:r>
      <w:r>
        <w:rPr>
          <w:rFonts w:hint="eastAsia" w:eastAsia="仿宋_GB2312"/>
          <w:color w:val="000000"/>
          <w:kern w:val="0"/>
          <w:sz w:val="32"/>
          <w:szCs w:val="32"/>
        </w:rPr>
        <w:t>《体外诊断试剂稳定性研究注册审查指导原则》的规定制定方案和开展研究。</w:t>
      </w:r>
      <w:r>
        <w:rPr>
          <w:rFonts w:eastAsia="仿宋_GB2312"/>
          <w:color w:val="000000"/>
          <w:kern w:val="0"/>
          <w:sz w:val="32"/>
          <w:szCs w:val="32"/>
        </w:rPr>
        <w:t>一般应包含研究方案、</w:t>
      </w:r>
      <w:r>
        <w:rPr>
          <w:rFonts w:hint="eastAsia" w:eastAsia="仿宋_GB2312"/>
          <w:color w:val="000000"/>
          <w:kern w:val="0"/>
          <w:sz w:val="32"/>
          <w:szCs w:val="32"/>
        </w:rPr>
        <w:t>研究</w:t>
      </w:r>
      <w:r>
        <w:rPr>
          <w:rFonts w:eastAsia="仿宋_GB2312"/>
          <w:color w:val="000000"/>
          <w:kern w:val="0"/>
          <w:sz w:val="32"/>
          <w:szCs w:val="32"/>
        </w:rPr>
        <w:t>报告和</w:t>
      </w:r>
      <w:r>
        <w:rPr>
          <w:rFonts w:hint="eastAsia" w:eastAsia="仿宋_GB2312"/>
          <w:color w:val="000000"/>
          <w:kern w:val="0"/>
          <w:sz w:val="32"/>
          <w:szCs w:val="32"/>
        </w:rPr>
        <w:t>研究</w:t>
      </w:r>
      <w:r>
        <w:rPr>
          <w:rFonts w:eastAsia="仿宋_GB2312"/>
          <w:color w:val="000000"/>
          <w:kern w:val="0"/>
          <w:sz w:val="32"/>
          <w:szCs w:val="32"/>
        </w:rPr>
        <w:t>数据。</w:t>
      </w:r>
      <w:r>
        <w:rPr>
          <w:rFonts w:hint="eastAsia" w:eastAsia="仿宋_GB2312"/>
          <w:sz w:val="32"/>
          <w:szCs w:val="32"/>
          <w:lang w:bidi="ar"/>
        </w:rPr>
        <w:t>产品稳定性研究结论应能支持说明书中对产品储存条件及时间等声称内容，应注意研究条件是否涵盖了声称的极端情况（如极端温度）。</w:t>
      </w:r>
    </w:p>
    <w:p w14:paraId="19EABFAE">
      <w:pPr>
        <w:spacing w:line="520" w:lineRule="exact"/>
        <w:ind w:firstLine="640" w:firstLineChars="200"/>
        <w:rPr>
          <w:rFonts w:eastAsia="仿宋_GB2312"/>
          <w:color w:val="000000"/>
          <w:kern w:val="0"/>
          <w:sz w:val="32"/>
          <w:szCs w:val="32"/>
        </w:rPr>
      </w:pPr>
      <w:r>
        <w:rPr>
          <w:rFonts w:hint="eastAsia" w:eastAsia="仿宋_GB2312"/>
          <w:color w:val="000000"/>
          <w:kern w:val="0"/>
          <w:sz w:val="32"/>
          <w:szCs w:val="32"/>
        </w:rPr>
        <w:t>5</w:t>
      </w:r>
      <w:r>
        <w:rPr>
          <w:rFonts w:eastAsia="仿宋_GB2312"/>
          <w:color w:val="000000"/>
          <w:kern w:val="0"/>
          <w:sz w:val="32"/>
          <w:szCs w:val="32"/>
        </w:rPr>
        <w:t>.1实时稳定性（货架有效期）</w:t>
      </w:r>
    </w:p>
    <w:p w14:paraId="0726BD83">
      <w:pPr>
        <w:spacing w:line="520" w:lineRule="exact"/>
        <w:ind w:firstLine="640" w:firstLineChars="200"/>
        <w:rPr>
          <w:rFonts w:eastAsia="仿宋_GB2312"/>
          <w:color w:val="000000"/>
          <w:sz w:val="32"/>
          <w:szCs w:val="32"/>
        </w:rPr>
      </w:pPr>
      <w:r>
        <w:rPr>
          <w:rFonts w:eastAsia="仿宋_GB2312"/>
          <w:color w:val="000000"/>
          <w:sz w:val="32"/>
          <w:szCs w:val="32"/>
        </w:rPr>
        <w:t>提交至少三批申报产品在实际储存条件下保存至成品有效期后的实时稳定性研究资料。明确储存的环境条件（如温度、湿度和光照</w:t>
      </w:r>
      <w:r>
        <w:rPr>
          <w:rFonts w:hint="eastAsia" w:eastAsia="仿宋_GB2312"/>
          <w:color w:val="000000"/>
          <w:sz w:val="32"/>
          <w:szCs w:val="32"/>
          <w:highlight w:val="none"/>
        </w:rPr>
        <w:t>等</w:t>
      </w:r>
      <w:r>
        <w:rPr>
          <w:rFonts w:eastAsia="仿宋_GB2312"/>
          <w:color w:val="000000"/>
          <w:sz w:val="32"/>
          <w:szCs w:val="32"/>
        </w:rPr>
        <w:t>）及有效期。</w:t>
      </w:r>
    </w:p>
    <w:p w14:paraId="346D7A21">
      <w:pPr>
        <w:spacing w:line="520" w:lineRule="exact"/>
        <w:ind w:firstLine="640" w:firstLineChars="200"/>
        <w:rPr>
          <w:rFonts w:eastAsia="仿宋_GB2312"/>
          <w:color w:val="000000"/>
          <w:kern w:val="0"/>
          <w:sz w:val="32"/>
          <w:szCs w:val="32"/>
        </w:rPr>
      </w:pPr>
      <w:r>
        <w:rPr>
          <w:rFonts w:hint="eastAsia" w:eastAsia="仿宋_GB2312"/>
          <w:color w:val="000000"/>
          <w:kern w:val="0"/>
          <w:sz w:val="32"/>
          <w:szCs w:val="32"/>
        </w:rPr>
        <w:t>5</w:t>
      </w:r>
      <w:r>
        <w:rPr>
          <w:rFonts w:eastAsia="仿宋_GB2312"/>
          <w:color w:val="000000"/>
          <w:kern w:val="0"/>
          <w:sz w:val="32"/>
          <w:szCs w:val="32"/>
        </w:rPr>
        <w:t>.2使用稳定性</w:t>
      </w:r>
    </w:p>
    <w:p w14:paraId="7ABE5D4E">
      <w:pPr>
        <w:spacing w:line="520" w:lineRule="exact"/>
        <w:ind w:firstLine="640" w:firstLineChars="200"/>
        <w:rPr>
          <w:rFonts w:eastAsia="仿宋_GB2312"/>
          <w:color w:val="FF0000"/>
          <w:sz w:val="32"/>
          <w:szCs w:val="32"/>
          <w:lang w:bidi="ar"/>
        </w:rPr>
      </w:pPr>
      <w:r>
        <w:rPr>
          <w:rFonts w:hint="eastAsia" w:eastAsia="仿宋_GB2312"/>
          <w:sz w:val="32"/>
        </w:rPr>
        <w:t>PEPC酶法二氧化碳检测试剂为</w:t>
      </w:r>
      <w:r>
        <w:rPr>
          <w:rFonts w:hint="eastAsia" w:eastAsia="仿宋_GB2312"/>
          <w:kern w:val="0"/>
          <w:sz w:val="32"/>
          <w:szCs w:val="32"/>
        </w:rPr>
        <w:t>弱碱性</w:t>
      </w:r>
      <w:r>
        <w:rPr>
          <w:rFonts w:eastAsia="仿宋_GB2312"/>
          <w:kern w:val="0"/>
          <w:sz w:val="32"/>
          <w:szCs w:val="32"/>
        </w:rPr>
        <w:t>试剂</w:t>
      </w:r>
      <w:r>
        <w:rPr>
          <w:rFonts w:hint="eastAsia" w:eastAsia="仿宋_GB2312"/>
          <w:kern w:val="0"/>
          <w:sz w:val="32"/>
          <w:szCs w:val="32"/>
        </w:rPr>
        <w:t>，试剂开封后暴露</w:t>
      </w:r>
      <w:r>
        <w:rPr>
          <w:rFonts w:eastAsia="仿宋_GB2312"/>
          <w:kern w:val="0"/>
          <w:sz w:val="32"/>
          <w:szCs w:val="32"/>
        </w:rPr>
        <w:t>于空气中</w:t>
      </w:r>
      <w:r>
        <w:rPr>
          <w:rFonts w:hint="eastAsia" w:eastAsia="仿宋_GB2312"/>
          <w:kern w:val="0"/>
          <w:sz w:val="32"/>
          <w:szCs w:val="32"/>
        </w:rPr>
        <w:t>会</w:t>
      </w:r>
      <w:r>
        <w:rPr>
          <w:rFonts w:eastAsia="仿宋_GB2312"/>
          <w:kern w:val="0"/>
          <w:sz w:val="32"/>
          <w:szCs w:val="32"/>
        </w:rPr>
        <w:t>吸收</w:t>
      </w:r>
      <w:r>
        <w:rPr>
          <w:rFonts w:hint="eastAsia" w:eastAsia="仿宋_GB2312"/>
          <w:kern w:val="0"/>
          <w:sz w:val="32"/>
          <w:szCs w:val="32"/>
        </w:rPr>
        <w:t>空气中的</w:t>
      </w:r>
      <w:r>
        <w:rPr>
          <w:rFonts w:eastAsia="仿宋_GB2312"/>
          <w:kern w:val="0"/>
          <w:sz w:val="32"/>
          <w:szCs w:val="32"/>
        </w:rPr>
        <w:t>二氧化碳</w:t>
      </w:r>
      <w:r>
        <w:rPr>
          <w:rFonts w:hint="eastAsia" w:eastAsia="仿宋_GB2312"/>
          <w:kern w:val="0"/>
          <w:sz w:val="32"/>
          <w:szCs w:val="32"/>
        </w:rPr>
        <w:t>，对</w:t>
      </w:r>
      <w:r>
        <w:rPr>
          <w:rFonts w:eastAsia="仿宋_GB2312"/>
          <w:kern w:val="0"/>
          <w:sz w:val="32"/>
          <w:szCs w:val="32"/>
        </w:rPr>
        <w:t>检测结果</w:t>
      </w:r>
      <w:r>
        <w:rPr>
          <w:rFonts w:hint="eastAsia" w:eastAsia="仿宋_GB2312"/>
          <w:kern w:val="0"/>
          <w:sz w:val="32"/>
          <w:szCs w:val="32"/>
        </w:rPr>
        <w:t>造成干扰，试剂盒开封后应尽量避免与空气接触，并尽快使用。因此申请人</w:t>
      </w:r>
      <w:r>
        <w:rPr>
          <w:rFonts w:eastAsia="仿宋_GB2312"/>
          <w:kern w:val="0"/>
          <w:sz w:val="32"/>
          <w:szCs w:val="32"/>
        </w:rPr>
        <w:t>应</w:t>
      </w:r>
      <w:r>
        <w:rPr>
          <w:rFonts w:hint="eastAsia" w:eastAsia="仿宋_GB2312"/>
          <w:kern w:val="0"/>
          <w:sz w:val="32"/>
          <w:szCs w:val="32"/>
        </w:rPr>
        <w:t>重点关注</w:t>
      </w:r>
      <w:r>
        <w:rPr>
          <w:rFonts w:eastAsia="仿宋_GB2312"/>
          <w:kern w:val="0"/>
          <w:sz w:val="32"/>
          <w:szCs w:val="32"/>
        </w:rPr>
        <w:t>使用稳定性的研究</w:t>
      </w:r>
      <w:r>
        <w:rPr>
          <w:rFonts w:hint="eastAsia" w:eastAsia="仿宋_GB2312"/>
          <w:kern w:val="0"/>
          <w:sz w:val="32"/>
          <w:szCs w:val="32"/>
        </w:rPr>
        <w:t>，</w:t>
      </w:r>
      <w:r>
        <w:rPr>
          <w:rFonts w:hint="eastAsia" w:eastAsia="仿宋_GB2312"/>
          <w:sz w:val="32"/>
          <w:szCs w:val="32"/>
          <w:lang w:bidi="ar"/>
        </w:rPr>
        <w:t>如涉及校准品/质控品，应重点关注校准品/质控品的开封稳定性以及校准频率研究。</w:t>
      </w:r>
    </w:p>
    <w:p w14:paraId="1B929694">
      <w:pPr>
        <w:spacing w:line="520" w:lineRule="exact"/>
        <w:ind w:firstLine="640" w:firstLineChars="200"/>
        <w:rPr>
          <w:rFonts w:eastAsia="仿宋_GB2312"/>
          <w:color w:val="000000"/>
          <w:kern w:val="0"/>
          <w:sz w:val="32"/>
          <w:szCs w:val="32"/>
        </w:rPr>
      </w:pPr>
      <w:r>
        <w:rPr>
          <w:rFonts w:hint="eastAsia" w:eastAsia="仿宋_GB2312"/>
          <w:sz w:val="32"/>
          <w:szCs w:val="32"/>
          <w:lang w:bidi="ar"/>
        </w:rPr>
        <w:t>应</w:t>
      </w:r>
      <w:r>
        <w:rPr>
          <w:rFonts w:eastAsia="仿宋_GB2312"/>
          <w:color w:val="000000"/>
          <w:kern w:val="0"/>
          <w:sz w:val="32"/>
          <w:szCs w:val="32"/>
        </w:rPr>
        <w:t>提交</w:t>
      </w:r>
      <w:r>
        <w:rPr>
          <w:rFonts w:hint="eastAsia" w:eastAsia="仿宋_GB2312"/>
          <w:color w:val="000000"/>
          <w:kern w:val="0"/>
          <w:sz w:val="32"/>
          <w:szCs w:val="32"/>
        </w:rPr>
        <w:t>至少一批</w:t>
      </w:r>
      <w:r>
        <w:rPr>
          <w:rFonts w:eastAsia="仿宋_GB2312"/>
          <w:color w:val="000000"/>
          <w:kern w:val="0"/>
          <w:sz w:val="32"/>
          <w:szCs w:val="32"/>
        </w:rPr>
        <w:t>申报产品实际使用期间稳定性的研究资料</w:t>
      </w:r>
      <w:r>
        <w:rPr>
          <w:rFonts w:hint="eastAsia" w:eastAsia="仿宋_GB2312"/>
          <w:color w:val="000000"/>
          <w:kern w:val="0"/>
          <w:sz w:val="32"/>
          <w:szCs w:val="32"/>
        </w:rPr>
        <w:t>，应包括所有组成成分的开封稳定性。适用时提交复溶稳定性、机载稳定性及冻融次数研究资料等，还应提交校准频率或</w:t>
      </w:r>
      <w:r>
        <w:rPr>
          <w:rFonts w:eastAsia="仿宋_GB2312"/>
          <w:color w:val="000000"/>
          <w:kern w:val="0"/>
          <w:sz w:val="32"/>
          <w:szCs w:val="32"/>
        </w:rPr>
        <w:t>校准稳定性</w:t>
      </w:r>
      <w:r>
        <w:rPr>
          <w:rFonts w:hint="eastAsia" w:eastAsia="仿宋_GB2312"/>
          <w:color w:val="000000"/>
          <w:kern w:val="0"/>
          <w:sz w:val="32"/>
          <w:szCs w:val="32"/>
        </w:rPr>
        <w:t>研究资料。明确产品使用的温度、湿度条件等。</w:t>
      </w:r>
    </w:p>
    <w:p w14:paraId="376E7A0B">
      <w:pPr>
        <w:spacing w:line="520" w:lineRule="exact"/>
        <w:ind w:firstLine="640" w:firstLineChars="200"/>
        <w:rPr>
          <w:rFonts w:eastAsia="仿宋_GB2312"/>
          <w:color w:val="000000"/>
          <w:kern w:val="0"/>
          <w:sz w:val="32"/>
          <w:szCs w:val="32"/>
        </w:rPr>
      </w:pPr>
      <w:r>
        <w:rPr>
          <w:rFonts w:hint="eastAsia" w:eastAsia="仿宋_GB2312"/>
          <w:color w:val="000000"/>
          <w:kern w:val="0"/>
          <w:sz w:val="32"/>
          <w:szCs w:val="32"/>
        </w:rPr>
        <w:t>5</w:t>
      </w:r>
      <w:r>
        <w:rPr>
          <w:rFonts w:eastAsia="仿宋_GB2312"/>
          <w:color w:val="000000"/>
          <w:kern w:val="0"/>
          <w:sz w:val="32"/>
          <w:szCs w:val="32"/>
        </w:rPr>
        <w:t>.3运输稳定性</w:t>
      </w:r>
    </w:p>
    <w:p w14:paraId="0DD8B83E">
      <w:pPr>
        <w:spacing w:line="520" w:lineRule="exact"/>
        <w:ind w:firstLine="640" w:firstLineChars="200"/>
        <w:rPr>
          <w:rFonts w:eastAsia="仿宋_GB2312"/>
          <w:color w:val="000000"/>
          <w:sz w:val="32"/>
          <w:szCs w:val="32"/>
        </w:rPr>
      </w:pPr>
      <w:r>
        <w:rPr>
          <w:rFonts w:eastAsia="仿宋_GB2312"/>
          <w:color w:val="000000"/>
          <w:sz w:val="32"/>
          <w:szCs w:val="32"/>
        </w:rPr>
        <w:t>提交</w:t>
      </w:r>
      <w:r>
        <w:rPr>
          <w:rFonts w:eastAsia="仿宋_GB2312"/>
          <w:color w:val="000000"/>
          <w:kern w:val="0"/>
          <w:sz w:val="32"/>
          <w:szCs w:val="32"/>
        </w:rPr>
        <w:t>至少一批</w:t>
      </w:r>
      <w:r>
        <w:rPr>
          <w:rFonts w:eastAsia="仿宋_GB2312"/>
          <w:color w:val="000000"/>
          <w:sz w:val="32"/>
          <w:szCs w:val="32"/>
        </w:rPr>
        <w:t>申报产品可在特定或者预期的条件下运输的研究资料，应说明产品正确运输的环境条件（如温度、湿度、光照和机械保护等）。同时说明产品的包装方式以及暴露的最差运输条件。</w:t>
      </w:r>
    </w:p>
    <w:p w14:paraId="335A5420">
      <w:pPr>
        <w:pStyle w:val="37"/>
        <w:outlineLvl w:val="2"/>
      </w:pPr>
      <w:r>
        <w:rPr>
          <w:rFonts w:hint="eastAsia"/>
        </w:rPr>
        <w:t>6</w:t>
      </w:r>
      <w:r>
        <w:t>.参考区间</w:t>
      </w:r>
      <w:r>
        <w:rPr>
          <w:rFonts w:hint="eastAsia"/>
        </w:rPr>
        <w:t>研究</w:t>
      </w:r>
    </w:p>
    <w:p w14:paraId="2BDD4272">
      <w:pPr>
        <w:spacing w:line="520" w:lineRule="exact"/>
        <w:ind w:firstLine="640" w:firstLineChars="200"/>
        <w:contextualSpacing/>
        <w:rPr>
          <w:rFonts w:eastAsia="仿宋_GB2312"/>
          <w:sz w:val="32"/>
          <w:szCs w:val="32"/>
          <w:highlight w:val="yellow"/>
        </w:rPr>
      </w:pPr>
      <w:r>
        <w:rPr>
          <w:rFonts w:hint="eastAsia" w:ascii="仿宋" w:hAnsi="仿宋" w:eastAsia="仿宋"/>
          <w:sz w:val="32"/>
          <w:szCs w:val="32"/>
          <w:lang w:bidi="ar"/>
        </w:rPr>
        <w:t>二氧化碳目前无发布实施的临床检测参考区间标准，</w:t>
      </w:r>
      <w:r>
        <w:rPr>
          <w:rFonts w:hint="eastAsia" w:eastAsia="仿宋_GB2312"/>
          <w:sz w:val="32"/>
          <w:szCs w:val="32"/>
          <w:lang w:bidi="ar"/>
        </w:rPr>
        <w:t>申请人应参照《体外诊断试剂参考区间确定注册审查指导原则》，通过建立或验证的方法确定产品的参考区间。</w:t>
      </w:r>
    </w:p>
    <w:p w14:paraId="08337163">
      <w:pPr>
        <w:adjustRightInd w:val="0"/>
        <w:snapToGrid w:val="0"/>
        <w:spacing w:line="520" w:lineRule="exact"/>
        <w:ind w:firstLine="640" w:firstLineChars="200"/>
        <w:rPr>
          <w:rFonts w:eastAsia="仿宋_GB2312"/>
          <w:color w:val="000000"/>
          <w:sz w:val="32"/>
          <w:szCs w:val="32"/>
        </w:rPr>
      </w:pPr>
      <w:r>
        <w:rPr>
          <w:rFonts w:eastAsia="仿宋_GB2312"/>
          <w:color w:val="000000"/>
          <w:sz w:val="32"/>
          <w:szCs w:val="32"/>
        </w:rPr>
        <w:t>申请人应</w:t>
      </w:r>
      <w:r>
        <w:rPr>
          <w:rFonts w:hint="eastAsia" w:eastAsia="仿宋_GB2312"/>
          <w:color w:val="000000"/>
          <w:sz w:val="32"/>
          <w:szCs w:val="32"/>
        </w:rPr>
        <w:t>明确</w:t>
      </w:r>
      <w:r>
        <w:rPr>
          <w:rFonts w:eastAsia="仿宋_GB2312"/>
          <w:color w:val="000000"/>
          <w:sz w:val="32"/>
          <w:szCs w:val="32"/>
        </w:rPr>
        <w:t>参考区间确定的方法或依据</w:t>
      </w:r>
      <w:r>
        <w:rPr>
          <w:rFonts w:hint="eastAsia" w:eastAsia="仿宋_GB2312"/>
          <w:color w:val="000000"/>
          <w:sz w:val="32"/>
          <w:szCs w:val="32"/>
        </w:rPr>
        <w:t>、</w:t>
      </w:r>
      <w:r>
        <w:rPr>
          <w:rFonts w:eastAsia="仿宋_GB2312"/>
          <w:color w:val="000000"/>
          <w:sz w:val="32"/>
          <w:szCs w:val="32"/>
        </w:rPr>
        <w:t>采用样本的来源与</w:t>
      </w:r>
      <w:r>
        <w:rPr>
          <w:rFonts w:hint="eastAsia" w:eastAsia="仿宋_GB2312"/>
          <w:color w:val="000000"/>
          <w:sz w:val="32"/>
          <w:szCs w:val="32"/>
        </w:rPr>
        <w:t>样本类型</w:t>
      </w:r>
      <w:r>
        <w:rPr>
          <w:rFonts w:eastAsia="仿宋_GB2312"/>
          <w:color w:val="000000"/>
          <w:sz w:val="32"/>
          <w:szCs w:val="32"/>
        </w:rPr>
        <w:t>，</w:t>
      </w:r>
      <w:r>
        <w:rPr>
          <w:rFonts w:hint="eastAsia" w:eastAsia="仿宋_GB2312"/>
          <w:color w:val="000000"/>
          <w:sz w:val="32"/>
          <w:szCs w:val="32"/>
        </w:rPr>
        <w:t>纳入和排除标准、统计方法及结论。尽可能考虑样本来源年龄、性别等因素的多样性，以及地域的代表性。申请人应采用符合说明书声称要求的样本进行参考区间研究，并在研究报告中详细说明样本类型、储存方式等情况。</w:t>
      </w:r>
    </w:p>
    <w:p w14:paraId="4B3FA091">
      <w:pPr>
        <w:pStyle w:val="37"/>
        <w:outlineLvl w:val="2"/>
      </w:pPr>
      <w:r>
        <w:rPr>
          <w:rFonts w:hint="eastAsia"/>
        </w:rPr>
        <w:t>7</w:t>
      </w:r>
      <w:r>
        <w:t>.其他资料</w:t>
      </w:r>
    </w:p>
    <w:p w14:paraId="64198132">
      <w:pPr>
        <w:widowControl/>
        <w:spacing w:line="520" w:lineRule="exact"/>
        <w:ind w:firstLine="640" w:firstLineChars="200"/>
        <w:rPr>
          <w:rFonts w:eastAsia="仿宋_GB2312"/>
          <w:sz w:val="32"/>
          <w:szCs w:val="32"/>
        </w:rPr>
      </w:pPr>
      <w:r>
        <w:rPr>
          <w:rFonts w:hint="eastAsia" w:eastAsia="仿宋_GB2312"/>
          <w:sz w:val="32"/>
          <w:szCs w:val="32"/>
        </w:rPr>
        <w:t>7.1</w:t>
      </w:r>
      <w:r>
        <w:rPr>
          <w:rFonts w:eastAsia="仿宋_GB2312"/>
          <w:color w:val="000000"/>
          <w:sz w:val="32"/>
          <w:szCs w:val="32"/>
        </w:rPr>
        <w:t>主要原材料研究资料</w:t>
      </w:r>
      <w:r>
        <w:rPr>
          <w:rFonts w:hint="eastAsia" w:eastAsia="仿宋_GB2312"/>
          <w:color w:val="000000"/>
          <w:sz w:val="32"/>
          <w:szCs w:val="32"/>
        </w:rPr>
        <w:t>和</w:t>
      </w:r>
      <w:r>
        <w:rPr>
          <w:rFonts w:eastAsia="仿宋_GB2312"/>
          <w:sz w:val="32"/>
          <w:szCs w:val="32"/>
        </w:rPr>
        <w:t>生产工艺研究资料</w:t>
      </w:r>
    </w:p>
    <w:p w14:paraId="759A60AD">
      <w:pPr>
        <w:widowControl/>
        <w:spacing w:line="520" w:lineRule="exact"/>
        <w:ind w:firstLine="640" w:firstLineChars="200"/>
        <w:rPr>
          <w:rFonts w:eastAsia="仿宋_GB2312"/>
          <w:color w:val="000000"/>
          <w:sz w:val="32"/>
          <w:szCs w:val="32"/>
        </w:rPr>
      </w:pPr>
      <w:r>
        <w:rPr>
          <w:rFonts w:hint="eastAsia" w:eastAsia="仿宋_GB2312"/>
          <w:color w:val="000000"/>
          <w:sz w:val="32"/>
          <w:szCs w:val="32"/>
        </w:rPr>
        <w:t>资料由申请人保存，技术审评需要时应提交。</w:t>
      </w:r>
    </w:p>
    <w:p w14:paraId="255FCBDC">
      <w:pPr>
        <w:widowControl/>
        <w:spacing w:line="520" w:lineRule="exact"/>
        <w:ind w:firstLine="640" w:firstLineChars="200"/>
        <w:rPr>
          <w:rFonts w:eastAsia="仿宋_GB2312"/>
          <w:sz w:val="32"/>
          <w:szCs w:val="32"/>
        </w:rPr>
      </w:pPr>
      <w:r>
        <w:rPr>
          <w:rFonts w:hint="eastAsia" w:eastAsia="仿宋_GB2312"/>
          <w:color w:val="000000"/>
          <w:sz w:val="32"/>
          <w:szCs w:val="32"/>
        </w:rPr>
        <w:t>7.2三批</w:t>
      </w:r>
      <w:r>
        <w:rPr>
          <w:rFonts w:eastAsia="仿宋_GB2312"/>
          <w:sz w:val="32"/>
          <w:szCs w:val="32"/>
        </w:rPr>
        <w:t>产品的生产及自检记录。</w:t>
      </w:r>
    </w:p>
    <w:p w14:paraId="2419E7BB">
      <w:pPr>
        <w:widowControl/>
        <w:spacing w:line="520" w:lineRule="exact"/>
        <w:ind w:firstLine="640" w:firstLineChars="200"/>
        <w:rPr>
          <w:rFonts w:eastAsia="仿宋_GB2312"/>
          <w:sz w:val="32"/>
          <w:szCs w:val="32"/>
        </w:rPr>
      </w:pPr>
      <w:r>
        <w:rPr>
          <w:rFonts w:hint="eastAsia" w:eastAsia="仿宋_GB2312"/>
          <w:sz w:val="32"/>
          <w:szCs w:val="32"/>
        </w:rPr>
        <w:t>7.3</w:t>
      </w:r>
      <w:r>
        <w:rPr>
          <w:rFonts w:eastAsia="仿宋_GB2312"/>
          <w:sz w:val="32"/>
          <w:szCs w:val="32"/>
        </w:rPr>
        <w:t>证明产品安全性、有效性的其他非临床研究资料。</w:t>
      </w:r>
    </w:p>
    <w:p w14:paraId="3E682FA9">
      <w:pPr>
        <w:pStyle w:val="35"/>
      </w:pPr>
      <w:r>
        <w:t>（</w:t>
      </w:r>
      <w:r>
        <w:rPr>
          <w:rFonts w:hint="eastAsia"/>
        </w:rPr>
        <w:t>四</w:t>
      </w:r>
      <w:r>
        <w:t>）临床评价资料</w:t>
      </w:r>
    </w:p>
    <w:p w14:paraId="0B3537FC">
      <w:pPr>
        <w:snapToGrid w:val="0"/>
        <w:spacing w:line="520" w:lineRule="exact"/>
        <w:ind w:firstLine="640" w:firstLineChars="200"/>
        <w:rPr>
          <w:rFonts w:eastAsia="仿宋_GB2312"/>
          <w:sz w:val="32"/>
          <w:szCs w:val="32"/>
        </w:rPr>
      </w:pPr>
      <w:r>
        <w:rPr>
          <w:rFonts w:hint="eastAsia" w:eastAsia="仿宋_GB2312" w:cs="仿宋_GB2312"/>
          <w:sz w:val="32"/>
          <w:szCs w:val="32"/>
          <w:lang w:bidi="ar"/>
        </w:rPr>
        <w:t>根据体外诊断试剂临床评价的相关要求，该项目已列入《免于临床试验体外诊断试剂目录》，申请人可按照《免于临床试验的体外诊断试剂临床评价技术指导原则》要求进行临床评价。</w:t>
      </w:r>
    </w:p>
    <w:p w14:paraId="3838253F">
      <w:pPr>
        <w:snapToGrid w:val="0"/>
        <w:spacing w:line="520" w:lineRule="exact"/>
        <w:ind w:firstLine="640" w:firstLineChars="200"/>
        <w:rPr>
          <w:rFonts w:eastAsia="仿宋_GB2312"/>
          <w:sz w:val="32"/>
          <w:szCs w:val="32"/>
        </w:rPr>
      </w:pPr>
      <w:r>
        <w:rPr>
          <w:rFonts w:hint="eastAsia" w:eastAsia="仿宋_GB2312" w:cs="仿宋_GB2312"/>
          <w:sz w:val="32"/>
          <w:szCs w:val="32"/>
          <w:lang w:bidi="ar"/>
        </w:rPr>
        <w:t>申请人也可通过临床试验的方式进行临床评价；如申请人无法按要求进行临床评价或预期用途超出豁免目录中的描述，应进行临床试验；临床试验的伦理、方案的制定以及报告的撰写等临床试验资料均应符合《体外诊断试剂临床试验技术指导原则》等对临床试验资料的规定，相关资料签章应符合《医疗器械临床试验质量管理规范》的要求。</w:t>
      </w:r>
    </w:p>
    <w:p w14:paraId="21D014F1">
      <w:pPr>
        <w:pStyle w:val="35"/>
      </w:pPr>
      <w:r>
        <w:t>（</w:t>
      </w:r>
      <w:r>
        <w:rPr>
          <w:rFonts w:hint="eastAsia"/>
        </w:rPr>
        <w:t>五</w:t>
      </w:r>
      <w:r>
        <w:t>）产品说明书和标签样稿</w:t>
      </w:r>
    </w:p>
    <w:p w14:paraId="42A41852">
      <w:pPr>
        <w:spacing w:line="520" w:lineRule="exact"/>
        <w:ind w:firstLine="640" w:firstLineChars="200"/>
        <w:rPr>
          <w:rFonts w:eastAsia="仿宋_GB2312"/>
          <w:color w:val="000000"/>
          <w:kern w:val="0"/>
          <w:sz w:val="32"/>
          <w:szCs w:val="32"/>
        </w:rPr>
      </w:pPr>
      <w:r>
        <w:rPr>
          <w:rFonts w:eastAsia="仿宋_GB2312"/>
          <w:kern w:val="0"/>
          <w:sz w:val="32"/>
          <w:szCs w:val="32"/>
        </w:rPr>
        <w:t>产品说明书</w:t>
      </w:r>
      <w:r>
        <w:rPr>
          <w:rFonts w:hint="eastAsia" w:eastAsia="仿宋_GB2312"/>
          <w:kern w:val="0"/>
          <w:sz w:val="32"/>
          <w:szCs w:val="32"/>
        </w:rPr>
        <w:t>与标签样稿</w:t>
      </w:r>
      <w:r>
        <w:rPr>
          <w:rFonts w:eastAsia="仿宋_GB2312"/>
          <w:kern w:val="0"/>
          <w:sz w:val="32"/>
          <w:szCs w:val="32"/>
        </w:rPr>
        <w:t>格式应符合《医疗器械说明书和标签管理规定》和《体外诊断试剂说明书编写指导原则》的要求。产品说明书的所有内容均应与申请人提交的注册申报资料中的相关研究结果保持一致，如某些内容引用自参考文献，则应以规范格式对此内容进行标注，并单独列明参考文献的相关信息。</w:t>
      </w:r>
    </w:p>
    <w:p w14:paraId="782CD96A">
      <w:pPr>
        <w:spacing w:line="520" w:lineRule="exact"/>
        <w:rPr>
          <w:rFonts w:eastAsia="仿宋_GB2312"/>
          <w:kern w:val="0"/>
          <w:sz w:val="32"/>
          <w:szCs w:val="32"/>
        </w:rPr>
      </w:pPr>
      <w:r>
        <w:rPr>
          <w:rFonts w:eastAsia="仿宋_GB2312"/>
          <w:kern w:val="0"/>
          <w:sz w:val="32"/>
          <w:szCs w:val="32"/>
        </w:rPr>
        <w:t>以下内容仅对</w:t>
      </w:r>
      <w:r>
        <w:rPr>
          <w:rFonts w:hint="eastAsia" w:eastAsia="仿宋_GB2312"/>
          <w:kern w:val="0"/>
          <w:sz w:val="32"/>
          <w:szCs w:val="32"/>
        </w:rPr>
        <w:t>二氧化碳</w:t>
      </w:r>
      <w:r>
        <w:rPr>
          <w:rFonts w:eastAsia="仿宋_GB2312"/>
          <w:kern w:val="0"/>
          <w:sz w:val="32"/>
          <w:szCs w:val="32"/>
        </w:rPr>
        <w:t>检测试剂说明书的重点内容进行详细说明。</w:t>
      </w:r>
    </w:p>
    <w:p w14:paraId="62B27C1D">
      <w:pPr>
        <w:pStyle w:val="37"/>
        <w:outlineLvl w:val="2"/>
      </w:pPr>
      <w:r>
        <w:t>1.【产品名称】</w:t>
      </w:r>
    </w:p>
    <w:p w14:paraId="7F596BD4">
      <w:pPr>
        <w:spacing w:line="520" w:lineRule="exact"/>
        <w:ind w:firstLine="640" w:firstLineChars="200"/>
        <w:rPr>
          <w:rFonts w:eastAsia="仿宋_GB2312"/>
          <w:color w:val="000000"/>
          <w:kern w:val="0"/>
          <w:sz w:val="32"/>
          <w:szCs w:val="32"/>
        </w:rPr>
      </w:pPr>
      <w:r>
        <w:rPr>
          <w:rFonts w:eastAsia="仿宋_GB2312"/>
          <w:color w:val="000000"/>
          <w:kern w:val="0"/>
          <w:sz w:val="32"/>
          <w:szCs w:val="32"/>
        </w:rPr>
        <w:t>产品名称由三部分组成：被测物名称、用途、方法或原理。例如：</w:t>
      </w:r>
      <w:r>
        <w:rPr>
          <w:rFonts w:hint="eastAsia" w:eastAsia="仿宋_GB2312"/>
          <w:color w:val="000000"/>
          <w:kern w:val="0"/>
          <w:sz w:val="32"/>
          <w:szCs w:val="32"/>
        </w:rPr>
        <w:t>二氧化碳</w:t>
      </w:r>
      <w:r>
        <w:rPr>
          <w:rFonts w:eastAsia="仿宋_GB2312"/>
          <w:color w:val="000000"/>
          <w:kern w:val="0"/>
          <w:sz w:val="32"/>
          <w:szCs w:val="32"/>
        </w:rPr>
        <w:t>测定试剂（</w:t>
      </w:r>
      <w:r>
        <w:rPr>
          <w:rFonts w:hint="eastAsia" w:eastAsia="仿宋_GB2312"/>
          <w:color w:val="000000"/>
          <w:kern w:val="0"/>
          <w:sz w:val="32"/>
          <w:szCs w:val="32"/>
        </w:rPr>
        <w:t>PEPC酶</w:t>
      </w:r>
      <w:r>
        <w:rPr>
          <w:rFonts w:eastAsia="仿宋_GB2312"/>
          <w:color w:val="000000"/>
          <w:kern w:val="0"/>
          <w:sz w:val="32"/>
          <w:szCs w:val="32"/>
        </w:rPr>
        <w:t>法）。</w:t>
      </w:r>
    </w:p>
    <w:p w14:paraId="19F8C993">
      <w:pPr>
        <w:tabs>
          <w:tab w:val="right" w:pos="8090"/>
        </w:tabs>
        <w:spacing w:line="520" w:lineRule="exact"/>
        <w:ind w:firstLine="640" w:firstLineChars="200"/>
        <w:rPr>
          <w:rFonts w:eastAsia="仿宋_GB2312"/>
          <w:color w:val="000000"/>
          <w:kern w:val="0"/>
          <w:sz w:val="32"/>
          <w:szCs w:val="32"/>
        </w:rPr>
      </w:pPr>
      <w:r>
        <w:rPr>
          <w:rFonts w:eastAsia="仿宋_GB2312"/>
          <w:color w:val="000000"/>
          <w:kern w:val="0"/>
          <w:sz w:val="32"/>
          <w:szCs w:val="32"/>
        </w:rPr>
        <w:t>产品的名称中不应当出现样本类型、定性/定量等内容</w:t>
      </w:r>
      <w:r>
        <w:rPr>
          <w:rFonts w:hint="eastAsia" w:eastAsia="仿宋_GB2312"/>
          <w:color w:val="000000"/>
          <w:kern w:val="0"/>
          <w:sz w:val="32"/>
          <w:szCs w:val="32"/>
        </w:rPr>
        <w:t>。</w:t>
      </w:r>
    </w:p>
    <w:p w14:paraId="33A9C08C">
      <w:pPr>
        <w:pStyle w:val="37"/>
        <w:outlineLvl w:val="2"/>
      </w:pPr>
      <w:r>
        <w:t>2.【包装规格】</w:t>
      </w:r>
    </w:p>
    <w:p w14:paraId="02B7E839">
      <w:pPr>
        <w:spacing w:line="520" w:lineRule="exact"/>
        <w:ind w:firstLine="640" w:firstLineChars="200"/>
        <w:rPr>
          <w:rFonts w:eastAsia="仿宋_GB2312"/>
          <w:kern w:val="0"/>
          <w:sz w:val="32"/>
          <w:szCs w:val="32"/>
        </w:rPr>
      </w:pPr>
      <w:r>
        <w:rPr>
          <w:rFonts w:eastAsia="仿宋_GB2312"/>
          <w:color w:val="000000"/>
          <w:kern w:val="0"/>
          <w:sz w:val="32"/>
          <w:szCs w:val="32"/>
        </w:rPr>
        <w:t>应注明可测试的样本数或装量，如××测试/盒、××人份/盒、××mL，除国际通用计量单位外，其余内容均应采用中文进行表述。</w:t>
      </w:r>
      <w:r>
        <w:rPr>
          <w:rFonts w:hint="eastAsia" w:eastAsia="仿宋_GB2312"/>
          <w:sz w:val="32"/>
          <w:szCs w:val="32"/>
          <w:lang w:bidi="ar"/>
        </w:rPr>
        <w:t>如产品有不同组分，可以写明组分名称。</w:t>
      </w:r>
      <w:r>
        <w:rPr>
          <w:rFonts w:hint="eastAsia" w:eastAsia="仿宋_GB2312"/>
          <w:kern w:val="0"/>
          <w:sz w:val="32"/>
          <w:szCs w:val="32"/>
        </w:rPr>
        <w:t>如有</w:t>
      </w:r>
      <w:r>
        <w:rPr>
          <w:rFonts w:eastAsia="仿宋_GB2312"/>
          <w:kern w:val="0"/>
          <w:sz w:val="32"/>
          <w:szCs w:val="32"/>
        </w:rPr>
        <w:t>货号，可增加货号信息。</w:t>
      </w:r>
    </w:p>
    <w:p w14:paraId="2D42F94F">
      <w:pPr>
        <w:pStyle w:val="37"/>
        <w:outlineLvl w:val="2"/>
      </w:pPr>
      <w:r>
        <w:t>3</w:t>
      </w:r>
      <w:r>
        <w:rPr>
          <w:rFonts w:hint="eastAsia"/>
        </w:rPr>
        <w:t>.</w:t>
      </w:r>
      <w:r>
        <w:t>【预期用途】</w:t>
      </w:r>
    </w:p>
    <w:p w14:paraId="396572F1">
      <w:pPr>
        <w:spacing w:line="520" w:lineRule="exact"/>
        <w:ind w:firstLine="640" w:firstLineChars="200"/>
        <w:rPr>
          <w:rFonts w:eastAsia="仿宋_GB2312"/>
          <w:color w:val="000000"/>
          <w:kern w:val="0"/>
          <w:sz w:val="32"/>
          <w:szCs w:val="32"/>
        </w:rPr>
      </w:pPr>
      <w:r>
        <w:rPr>
          <w:rFonts w:hint="eastAsia" w:eastAsia="仿宋_GB2312"/>
          <w:sz w:val="32"/>
          <w:szCs w:val="32"/>
          <w:lang w:bidi="ar"/>
        </w:rPr>
        <w:t>首段内容说明</w:t>
      </w:r>
      <w:r>
        <w:rPr>
          <w:rFonts w:eastAsia="仿宋_GB2312"/>
          <w:color w:val="000000"/>
          <w:kern w:val="0"/>
          <w:sz w:val="32"/>
          <w:szCs w:val="32"/>
        </w:rPr>
        <w:t>试剂用于体外定量检测</w:t>
      </w:r>
      <w:r>
        <w:rPr>
          <w:rFonts w:hint="eastAsia" w:eastAsia="仿宋_GB2312"/>
          <w:sz w:val="32"/>
          <w:szCs w:val="32"/>
          <w:lang w:bidi="ar"/>
        </w:rPr>
        <w:t>人体样本（血清和</w:t>
      </w:r>
      <w:r>
        <w:rPr>
          <w:rFonts w:eastAsia="仿宋_GB2312"/>
          <w:sz w:val="32"/>
          <w:szCs w:val="32"/>
          <w:lang w:bidi="ar"/>
        </w:rPr>
        <w:t>/</w:t>
      </w:r>
      <w:r>
        <w:rPr>
          <w:rFonts w:hint="eastAsia" w:eastAsia="仿宋_GB2312"/>
          <w:sz w:val="32"/>
          <w:szCs w:val="32"/>
          <w:lang w:bidi="ar"/>
        </w:rPr>
        <w:t>或血浆等）</w:t>
      </w:r>
      <w:r>
        <w:rPr>
          <w:rFonts w:eastAsia="仿宋_GB2312"/>
          <w:color w:val="000000"/>
          <w:kern w:val="0"/>
          <w:sz w:val="32"/>
          <w:szCs w:val="32"/>
        </w:rPr>
        <w:t>中</w:t>
      </w:r>
      <w:r>
        <w:rPr>
          <w:rFonts w:hint="eastAsia" w:eastAsia="仿宋_GB2312"/>
          <w:color w:val="000000"/>
          <w:kern w:val="0"/>
          <w:sz w:val="32"/>
          <w:szCs w:val="32"/>
        </w:rPr>
        <w:t>二氧化碳</w:t>
      </w:r>
      <w:r>
        <w:rPr>
          <w:rFonts w:eastAsia="仿宋_GB2312"/>
          <w:color w:val="000000"/>
          <w:kern w:val="0"/>
          <w:sz w:val="32"/>
          <w:szCs w:val="32"/>
        </w:rPr>
        <w:t>的含量。</w:t>
      </w:r>
    </w:p>
    <w:p w14:paraId="5113E775">
      <w:pPr>
        <w:spacing w:line="520" w:lineRule="exact"/>
        <w:ind w:firstLine="640" w:firstLineChars="200"/>
        <w:rPr>
          <w:rFonts w:hint="eastAsia" w:ascii="仿宋_GB2312" w:hAnsi="仿宋_GB2312" w:eastAsia="仿宋_GB2312" w:cs="仿宋_GB2312"/>
          <w:sz w:val="32"/>
          <w:szCs w:val="32"/>
          <w:lang w:bidi="ar"/>
        </w:rPr>
      </w:pPr>
      <w:r>
        <w:rPr>
          <w:rFonts w:eastAsia="仿宋_GB2312"/>
          <w:color w:val="000000"/>
          <w:kern w:val="0"/>
          <w:sz w:val="32"/>
          <w:szCs w:val="32"/>
        </w:rPr>
        <w:t>第二段</w:t>
      </w:r>
      <w:r>
        <w:rPr>
          <w:rFonts w:hint="eastAsia" w:eastAsia="仿宋_GB2312"/>
          <w:color w:val="000000"/>
          <w:kern w:val="0"/>
          <w:sz w:val="32"/>
          <w:szCs w:val="32"/>
        </w:rPr>
        <w:t>应</w:t>
      </w:r>
      <w:r>
        <w:rPr>
          <w:rFonts w:eastAsia="仿宋_GB2312"/>
          <w:color w:val="000000"/>
          <w:kern w:val="0"/>
          <w:sz w:val="32"/>
          <w:szCs w:val="32"/>
        </w:rPr>
        <w:t>详细说明</w:t>
      </w:r>
      <w:r>
        <w:rPr>
          <w:rFonts w:hint="eastAsia" w:eastAsia="仿宋_GB2312"/>
          <w:color w:val="000000"/>
          <w:kern w:val="0"/>
          <w:sz w:val="32"/>
          <w:szCs w:val="32"/>
        </w:rPr>
        <w:t>预期用途</w:t>
      </w:r>
      <w:r>
        <w:rPr>
          <w:rFonts w:eastAsia="仿宋_GB2312"/>
          <w:color w:val="000000"/>
          <w:kern w:val="0"/>
          <w:sz w:val="32"/>
          <w:szCs w:val="32"/>
        </w:rPr>
        <w:t>。</w:t>
      </w:r>
      <w:r>
        <w:rPr>
          <w:rFonts w:hint="eastAsia" w:ascii="仿宋_GB2312" w:hAnsi="仿宋_GB2312" w:eastAsia="仿宋_GB2312" w:cs="仿宋_GB2312"/>
          <w:sz w:val="32"/>
          <w:szCs w:val="32"/>
          <w:lang w:bidi="ar"/>
        </w:rPr>
        <w:t>包括适用人群，相关的临床适应证和检测目的等。如临床上作为体内酸碱平衡的评价指标。</w:t>
      </w:r>
    </w:p>
    <w:p w14:paraId="6F270C62">
      <w:pPr>
        <w:spacing w:line="520" w:lineRule="exact"/>
        <w:ind w:firstLine="640" w:firstLineChars="200"/>
        <w:rPr>
          <w:rFonts w:eastAsia="仿宋_GB2312"/>
          <w:color w:val="000000"/>
          <w:kern w:val="0"/>
          <w:sz w:val="32"/>
          <w:szCs w:val="32"/>
        </w:rPr>
      </w:pPr>
      <w:r>
        <w:rPr>
          <w:rFonts w:hint="eastAsia" w:eastAsia="仿宋_GB2312"/>
          <w:sz w:val="32"/>
          <w:szCs w:val="32"/>
          <w:lang w:bidi="ar"/>
        </w:rPr>
        <w:t>其余段落对被测分析物进行背景介绍、说明相关的临床或实验室诊断方法；说明与预期用途相关的临床背景情况；说明被测分析物与临床适应证的关系。</w:t>
      </w:r>
    </w:p>
    <w:p w14:paraId="0F0FD5B9">
      <w:pPr>
        <w:pStyle w:val="37"/>
        <w:outlineLvl w:val="2"/>
      </w:pPr>
      <w:r>
        <w:t>4.【检验原理】</w:t>
      </w:r>
    </w:p>
    <w:p w14:paraId="6504B228">
      <w:pPr>
        <w:spacing w:line="520" w:lineRule="exact"/>
        <w:ind w:firstLine="640" w:firstLineChars="200"/>
        <w:rPr>
          <w:rFonts w:eastAsia="仿宋_GB2312"/>
          <w:sz w:val="32"/>
          <w:szCs w:val="32"/>
          <w:lang w:bidi="ar"/>
        </w:rPr>
      </w:pPr>
      <w:r>
        <w:rPr>
          <w:rFonts w:hint="eastAsia" w:eastAsia="仿宋_GB2312"/>
          <w:sz w:val="32"/>
          <w:szCs w:val="32"/>
          <w:lang w:bidi="ar"/>
        </w:rPr>
        <w:t>根据产品采用的方法学说明检验的原理，检测原理的描述应结合产品主要组成成分、被测物和产物的关系进行描述，必要时可结合图示方法描述。</w:t>
      </w:r>
    </w:p>
    <w:p w14:paraId="738DB399">
      <w:pPr>
        <w:spacing w:line="520" w:lineRule="exact"/>
        <w:ind w:firstLine="640" w:firstLineChars="200"/>
        <w:rPr>
          <w:rFonts w:eastAsia="仿宋_GB2312"/>
          <w:sz w:val="32"/>
          <w:szCs w:val="32"/>
          <w:lang w:bidi="ar"/>
        </w:rPr>
      </w:pPr>
      <w:r>
        <w:rPr>
          <w:rFonts w:hint="eastAsia" w:eastAsia="仿宋_GB2312"/>
          <w:color w:val="000000"/>
          <w:kern w:val="0"/>
          <w:sz w:val="32"/>
          <w:szCs w:val="32"/>
        </w:rPr>
        <w:t>例如：</w:t>
      </w:r>
      <w:r>
        <w:rPr>
          <w:rFonts w:hint="eastAsia" w:eastAsia="仿宋_GB2312"/>
          <w:sz w:val="32"/>
          <w:szCs w:val="32"/>
          <w:lang w:bidi="ar"/>
        </w:rPr>
        <w:t>血浆（血清）中的碳酸氢根在磷酸烯醇式丙酮酸羧化酶（PEPC）催化下和磷酸烯醇式丙酮酸（PEP）反应，生成草酰乙酸和磷酸；草酰乙酸在苹果酸脱氢酶（MDH）催化下，生成苹果酸，同时还原型辅酶（NADH或NADH类似物）被氧化成氧化型辅酶（NAD</w:t>
      </w:r>
      <w:r>
        <w:rPr>
          <w:rFonts w:hint="eastAsia" w:eastAsia="仿宋_GB2312"/>
          <w:sz w:val="32"/>
          <w:szCs w:val="32"/>
          <w:vertAlign w:val="superscript"/>
          <w:lang w:bidi="ar"/>
        </w:rPr>
        <w:t>+</w:t>
      </w:r>
      <w:r>
        <w:rPr>
          <w:rFonts w:hint="eastAsia" w:eastAsia="仿宋_GB2312"/>
          <w:sz w:val="32"/>
          <w:szCs w:val="32"/>
          <w:lang w:bidi="ar"/>
        </w:rPr>
        <w:t>或类似物），引起某些特定波长处的吸收减少，其下降程度与所检测标本中的碳酸氢盐浓度成正比例。反应式如下：</w:t>
      </w:r>
    </w:p>
    <w:p w14:paraId="1FCEC263">
      <w:pPr>
        <w:spacing w:line="520" w:lineRule="exact"/>
        <w:ind w:firstLine="560" w:firstLineChars="200"/>
        <w:rPr>
          <w:rFonts w:eastAsia="仿宋_GB2312"/>
          <w:szCs w:val="21"/>
          <w:lang w:bidi="ar"/>
        </w:rPr>
      </w:pPr>
      <w:r>
        <w:rPr>
          <w:rFonts w:hint="eastAsia" w:eastAsia="仿宋_GB2312"/>
          <w:sz w:val="28"/>
          <w:szCs w:val="28"/>
          <w:lang w:bidi="ar"/>
        </w:rPr>
        <w:t xml:space="preserve">                     </w:t>
      </w:r>
      <w:r>
        <w:rPr>
          <w:rFonts w:hint="eastAsia" w:eastAsia="仿宋_GB2312"/>
          <w:szCs w:val="21"/>
          <w:lang w:bidi="ar"/>
        </w:rPr>
        <w:t xml:space="preserve">     PEPC</w:t>
      </w:r>
    </w:p>
    <w:p w14:paraId="402B40D0">
      <w:pPr>
        <w:spacing w:line="520" w:lineRule="exact"/>
        <w:ind w:firstLine="560" w:firstLineChars="200"/>
        <w:rPr>
          <w:rFonts w:eastAsia="仿宋_GB2312"/>
          <w:sz w:val="28"/>
          <w:szCs w:val="28"/>
          <w:lang w:bidi="ar"/>
        </w:rPr>
      </w:pPr>
      <w:r>
        <w:rPr>
          <w:sz w:val="28"/>
          <w:szCs w:val="28"/>
        </w:rPr>
        <mc:AlternateContent>
          <mc:Choice Requires="wps">
            <w:drawing>
              <wp:anchor distT="0" distB="0" distL="114300" distR="114300" simplePos="0" relativeHeight="251659264" behindDoc="0" locked="0" layoutInCell="1" allowOverlap="1">
                <wp:simplePos x="0" y="0"/>
                <wp:positionH relativeFrom="column">
                  <wp:posOffset>2546350</wp:posOffset>
                </wp:positionH>
                <wp:positionV relativeFrom="paragraph">
                  <wp:posOffset>194945</wp:posOffset>
                </wp:positionV>
                <wp:extent cx="493395" cy="0"/>
                <wp:effectExtent l="0" t="38100" r="1905" b="38100"/>
                <wp:wrapNone/>
                <wp:docPr id="1" name="直线 7"/>
                <wp:cNvGraphicFramePr/>
                <a:graphic xmlns:a="http://schemas.openxmlformats.org/drawingml/2006/main">
                  <a:graphicData uri="http://schemas.microsoft.com/office/word/2010/wordprocessingShape">
                    <wps:wsp>
                      <wps:cNvCnPr/>
                      <wps:spPr>
                        <a:xfrm>
                          <a:off x="0" y="0"/>
                          <a:ext cx="493395" cy="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直线 7" o:spid="_x0000_s1026" o:spt="20" style="position:absolute;left:0pt;margin-left:200.5pt;margin-top:15.35pt;height:0pt;width:38.85pt;z-index:251659264;mso-width-relative:page;mso-height-relative:page;" filled="f" stroked="t" coordsize="21600,21600" o:gfxdata="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A6NNRLZ&#10;AAAACQEAAA8AAAAAAAAAAQAgAAAAIgAAAGRycy9kb3ducmV2LnhtbFBLAQIUABQAAAAIAIdO4kBX&#10;9JAW5gEAANIDAAAOAAAAAAAAAAEAIAAAACgBAABkcnMvZTJvRG9jLnhtbFBLBQYAAAAABgAGAFkB&#10;AACABQAAAAA=&#10;">
                <v:fill on="f" focussize="0,0"/>
                <v:stroke color="#000000" joinstyle="round" endarrow="block"/>
                <v:imagedata o:title=""/>
                <o:lock v:ext="edit" aspectratio="f"/>
              </v:line>
            </w:pict>
          </mc:Fallback>
        </mc:AlternateContent>
      </w:r>
      <w:r>
        <w:rPr>
          <w:rFonts w:hint="eastAsia" w:eastAsia="仿宋_GB2312"/>
          <w:sz w:val="28"/>
          <w:szCs w:val="28"/>
          <w:lang w:bidi="ar"/>
        </w:rPr>
        <w:t>磷酸烯醇式丙酮酸</w:t>
      </w:r>
      <w:r>
        <w:rPr>
          <w:rFonts w:eastAsia="仿宋_GB2312"/>
          <w:sz w:val="28"/>
          <w:szCs w:val="28"/>
          <w:lang w:bidi="ar"/>
        </w:rPr>
        <w:t xml:space="preserve"> + </w:t>
      </w:r>
      <w:r>
        <w:rPr>
          <w:rFonts w:hint="eastAsia" w:eastAsia="仿宋_GB2312"/>
          <w:sz w:val="28"/>
          <w:szCs w:val="28"/>
          <w:lang w:bidi="ar"/>
        </w:rPr>
        <w:t>HCO</w:t>
      </w:r>
      <w:r>
        <w:rPr>
          <w:rFonts w:hint="eastAsia" w:eastAsia="仿宋_GB2312"/>
          <w:sz w:val="28"/>
          <w:szCs w:val="28"/>
          <w:vertAlign w:val="subscript"/>
          <w:lang w:bidi="ar"/>
        </w:rPr>
        <w:t>3</w:t>
      </w:r>
      <w:r>
        <w:rPr>
          <w:rFonts w:hint="eastAsia" w:eastAsia="仿宋_GB2312"/>
          <w:sz w:val="28"/>
          <w:szCs w:val="28"/>
          <w:vertAlign w:val="superscript"/>
          <w:lang w:bidi="ar"/>
        </w:rPr>
        <w:t>-</w:t>
      </w:r>
      <w:r>
        <w:rPr>
          <w:rFonts w:eastAsia="仿宋_GB2312"/>
          <w:sz w:val="28"/>
          <w:szCs w:val="28"/>
          <w:lang w:bidi="ar"/>
        </w:rPr>
        <w:t xml:space="preserve"> </w:t>
      </w:r>
      <w:r>
        <w:rPr>
          <w:sz w:val="28"/>
          <w:szCs w:val="28"/>
        </w:rPr>
        <w:t xml:space="preserve">      </w:t>
      </w:r>
      <w:r>
        <w:rPr>
          <w:rFonts w:hint="eastAsia" w:eastAsia="仿宋_GB2312"/>
          <w:sz w:val="28"/>
          <w:szCs w:val="28"/>
          <w:lang w:bidi="ar"/>
        </w:rPr>
        <w:t>草酰乙酸</w:t>
      </w:r>
      <w:r>
        <w:rPr>
          <w:sz w:val="28"/>
          <w:szCs w:val="28"/>
        </w:rPr>
        <w:t xml:space="preserve"> </w:t>
      </w:r>
      <w:r>
        <w:rPr>
          <w:rFonts w:eastAsia="仿宋_GB2312"/>
          <w:sz w:val="28"/>
          <w:szCs w:val="28"/>
          <w:lang w:bidi="ar"/>
        </w:rPr>
        <w:t>+</w:t>
      </w:r>
      <w:r>
        <w:rPr>
          <w:rFonts w:hint="eastAsia" w:eastAsia="仿宋_GB2312"/>
          <w:sz w:val="28"/>
          <w:szCs w:val="28"/>
          <w:lang w:bidi="ar"/>
        </w:rPr>
        <w:t>磷酸</w:t>
      </w:r>
    </w:p>
    <w:p w14:paraId="0CBBCF0A">
      <w:pPr>
        <w:spacing w:line="520" w:lineRule="exact"/>
        <w:ind w:left="5319" w:leftChars="266" w:hanging="4760" w:hangingChars="1700"/>
        <w:rPr>
          <w:sz w:val="28"/>
          <w:szCs w:val="28"/>
        </w:rPr>
      </w:pPr>
      <w:r>
        <w:rPr>
          <w:rFonts w:hint="eastAsia"/>
          <w:sz w:val="28"/>
          <w:szCs w:val="28"/>
        </w:rPr>
        <w:t xml:space="preserve">                          </w:t>
      </w:r>
    </w:p>
    <w:p w14:paraId="5AAC7171">
      <w:pPr>
        <w:spacing w:line="520" w:lineRule="exact"/>
        <w:ind w:left="4120" w:leftChars="1962" w:firstLine="840" w:firstLineChars="400"/>
        <w:rPr>
          <w:szCs w:val="21"/>
        </w:rPr>
      </w:pPr>
      <w:r>
        <w:rPr>
          <w:rFonts w:hint="eastAsia"/>
          <w:szCs w:val="21"/>
        </w:rPr>
        <w:t>M</w:t>
      </w:r>
      <w:bookmarkStart w:id="1" w:name="_GoBack"/>
      <w:bookmarkEnd w:id="1"/>
      <w:r>
        <w:rPr>
          <w:rFonts w:hint="eastAsia"/>
          <w:szCs w:val="21"/>
        </w:rPr>
        <w:t>DH</w:t>
      </w:r>
    </w:p>
    <w:p w14:paraId="0D3CEBD6">
      <w:pPr>
        <w:spacing w:line="520" w:lineRule="exact"/>
        <w:ind w:firstLine="560" w:firstLineChars="200"/>
        <w:rPr>
          <w:rFonts w:eastAsia="仿宋_GB2312"/>
          <w:sz w:val="28"/>
          <w:szCs w:val="28"/>
          <w:lang w:bidi="ar"/>
        </w:rPr>
      </w:pPr>
      <w:r>
        <w:rPr>
          <w:sz w:val="28"/>
          <w:szCs w:val="28"/>
        </w:rPr>
        <mc:AlternateContent>
          <mc:Choice Requires="wps">
            <w:drawing>
              <wp:anchor distT="0" distB="0" distL="114300" distR="114300" simplePos="0" relativeHeight="251660288" behindDoc="0" locked="0" layoutInCell="1" allowOverlap="1">
                <wp:simplePos x="0" y="0"/>
                <wp:positionH relativeFrom="column">
                  <wp:posOffset>3031490</wp:posOffset>
                </wp:positionH>
                <wp:positionV relativeFrom="paragraph">
                  <wp:posOffset>187325</wp:posOffset>
                </wp:positionV>
                <wp:extent cx="493395" cy="0"/>
                <wp:effectExtent l="0" t="38100" r="1905" b="38100"/>
                <wp:wrapNone/>
                <wp:docPr id="2" name="直线 8"/>
                <wp:cNvGraphicFramePr/>
                <a:graphic xmlns:a="http://schemas.openxmlformats.org/drawingml/2006/main">
                  <a:graphicData uri="http://schemas.microsoft.com/office/word/2010/wordprocessingShape">
                    <wps:wsp>
                      <wps:cNvCnPr/>
                      <wps:spPr>
                        <a:xfrm>
                          <a:off x="0" y="0"/>
                          <a:ext cx="493395" cy="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直线 8" o:spid="_x0000_s1026" o:spt="20" style="position:absolute;left:0pt;margin-left:238.7pt;margin-top:14.75pt;height:0pt;width:38.85pt;z-index:251660288;mso-width-relative:page;mso-height-relative:page;" filled="f" stroked="t" coordsize="21600,21600" o:gfxdata="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hOGke&#10;2gAAAAkBAAAPAAAAAAAAAAEAIAAAACIAAABkcnMvZG93bnJldi54bWxQSwECFAAUAAAACACHTuJA&#10;I0Xo1OYBAADSAwAADgAAAAAAAAABACAAAAApAQAAZHJzL2Uyb0RvYy54bWxQSwUGAAAAAAYABgBZ&#10;AQAAgQUAAAAA&#10;">
                <v:fill on="f" focussize="0,0"/>
                <v:stroke color="#000000" joinstyle="round" endarrow="block"/>
                <v:imagedata o:title=""/>
                <o:lock v:ext="edit" aspectratio="f"/>
              </v:line>
            </w:pict>
          </mc:Fallback>
        </mc:AlternateContent>
      </w:r>
      <w:r>
        <w:rPr>
          <w:rFonts w:hint="eastAsia" w:eastAsia="仿宋_GB2312"/>
          <w:sz w:val="28"/>
          <w:szCs w:val="28"/>
          <w:lang w:bidi="ar"/>
        </w:rPr>
        <w:t>草酰乙酸</w:t>
      </w:r>
      <w:r>
        <w:rPr>
          <w:sz w:val="28"/>
          <w:szCs w:val="28"/>
        </w:rPr>
        <w:t xml:space="preserve"> </w:t>
      </w:r>
      <w:r>
        <w:rPr>
          <w:rFonts w:eastAsia="仿宋_GB2312"/>
          <w:sz w:val="28"/>
          <w:szCs w:val="28"/>
          <w:lang w:bidi="ar"/>
        </w:rPr>
        <w:t>+</w:t>
      </w:r>
      <w:r>
        <w:rPr>
          <w:rFonts w:hint="eastAsia" w:eastAsia="仿宋_GB2312"/>
          <w:sz w:val="28"/>
          <w:szCs w:val="28"/>
          <w:lang w:bidi="ar"/>
        </w:rPr>
        <w:t xml:space="preserve"> NADH或类似物 + H</w:t>
      </w:r>
      <w:r>
        <w:rPr>
          <w:rFonts w:hint="eastAsia" w:eastAsia="仿宋_GB2312"/>
          <w:sz w:val="28"/>
          <w:szCs w:val="28"/>
          <w:vertAlign w:val="superscript"/>
          <w:lang w:bidi="ar"/>
        </w:rPr>
        <w:t>+</w:t>
      </w:r>
      <w:r>
        <w:rPr>
          <w:sz w:val="28"/>
          <w:szCs w:val="28"/>
        </w:rPr>
        <w:t xml:space="preserve">      </w:t>
      </w:r>
      <w:r>
        <w:rPr>
          <w:rFonts w:hint="eastAsia" w:eastAsia="仿宋_GB2312"/>
          <w:sz w:val="28"/>
          <w:szCs w:val="28"/>
          <w:lang w:bidi="ar"/>
        </w:rPr>
        <w:t xml:space="preserve">苹果酸 </w:t>
      </w:r>
      <w:r>
        <w:rPr>
          <w:rFonts w:eastAsia="仿宋_GB2312"/>
          <w:sz w:val="28"/>
          <w:szCs w:val="28"/>
          <w:lang w:bidi="ar"/>
        </w:rPr>
        <w:t>+</w:t>
      </w:r>
      <w:r>
        <w:rPr>
          <w:rFonts w:hint="eastAsia" w:eastAsia="仿宋_GB2312"/>
          <w:sz w:val="28"/>
          <w:szCs w:val="28"/>
          <w:lang w:bidi="ar"/>
        </w:rPr>
        <w:t xml:space="preserve"> NAD</w:t>
      </w:r>
      <w:r>
        <w:rPr>
          <w:rFonts w:hint="eastAsia" w:eastAsia="仿宋_GB2312"/>
          <w:sz w:val="28"/>
          <w:szCs w:val="28"/>
          <w:vertAlign w:val="superscript"/>
          <w:lang w:bidi="ar"/>
        </w:rPr>
        <w:t>+</w:t>
      </w:r>
      <w:r>
        <w:rPr>
          <w:rFonts w:hint="eastAsia" w:eastAsia="仿宋_GB2312"/>
          <w:sz w:val="28"/>
          <w:szCs w:val="28"/>
          <w:lang w:bidi="ar"/>
        </w:rPr>
        <w:t>或类似物</w:t>
      </w:r>
    </w:p>
    <w:p w14:paraId="1FB5AB1C">
      <w:pPr>
        <w:tabs>
          <w:tab w:val="left" w:pos="6431"/>
        </w:tabs>
        <w:spacing w:line="520" w:lineRule="exact"/>
        <w:rPr>
          <w:rFonts w:eastAsia="仿宋_GB2312"/>
          <w:color w:val="000000"/>
          <w:kern w:val="0"/>
          <w:sz w:val="28"/>
          <w:szCs w:val="28"/>
        </w:rPr>
      </w:pPr>
    </w:p>
    <w:p w14:paraId="44966EFC">
      <w:pPr>
        <w:pStyle w:val="37"/>
        <w:outlineLvl w:val="2"/>
      </w:pPr>
      <w:r>
        <w:t>5.【主要组成成分】</w:t>
      </w:r>
    </w:p>
    <w:p w14:paraId="2620C53E">
      <w:pPr>
        <w:snapToGrid w:val="0"/>
        <w:spacing w:line="520" w:lineRule="exact"/>
        <w:ind w:firstLine="640" w:firstLineChars="200"/>
        <w:rPr>
          <w:rFonts w:eastAsia="仿宋_GB2312"/>
          <w:spacing w:val="2"/>
          <w:sz w:val="32"/>
          <w:szCs w:val="32"/>
        </w:rPr>
      </w:pPr>
      <w:r>
        <w:rPr>
          <w:rFonts w:hint="eastAsia" w:eastAsia="仿宋_GB2312"/>
          <w:sz w:val="32"/>
          <w:szCs w:val="32"/>
          <w:lang w:bidi="ar"/>
        </w:rPr>
        <w:t>说明</w:t>
      </w:r>
      <w:r>
        <w:rPr>
          <w:rFonts w:eastAsia="仿宋_GB2312"/>
          <w:spacing w:val="2"/>
          <w:sz w:val="32"/>
          <w:szCs w:val="32"/>
        </w:rPr>
        <w:t>试剂组分的名称、比例或浓度</w:t>
      </w:r>
      <w:r>
        <w:rPr>
          <w:rFonts w:hint="eastAsia" w:eastAsia="仿宋_GB2312"/>
          <w:spacing w:val="2"/>
          <w:sz w:val="32"/>
          <w:szCs w:val="32"/>
        </w:rPr>
        <w:t>。多组分</w:t>
      </w:r>
      <w:r>
        <w:rPr>
          <w:rFonts w:eastAsia="仿宋_GB2312"/>
          <w:spacing w:val="2"/>
          <w:sz w:val="32"/>
          <w:szCs w:val="32"/>
        </w:rPr>
        <w:t>试剂盒应明确</w:t>
      </w:r>
      <w:r>
        <w:rPr>
          <w:rFonts w:hint="eastAsia" w:eastAsia="仿宋_GB2312"/>
          <w:spacing w:val="2"/>
          <w:sz w:val="32"/>
          <w:szCs w:val="32"/>
        </w:rPr>
        <w:t>不同</w:t>
      </w:r>
      <w:r>
        <w:rPr>
          <w:rFonts w:eastAsia="仿宋_GB2312"/>
          <w:spacing w:val="2"/>
          <w:sz w:val="32"/>
          <w:szCs w:val="32"/>
        </w:rPr>
        <w:t>批号产品各组分是否可以互换</w:t>
      </w:r>
      <w:r>
        <w:rPr>
          <w:rFonts w:hint="eastAsia" w:eastAsia="仿宋_GB2312"/>
          <w:spacing w:val="2"/>
          <w:sz w:val="32"/>
          <w:szCs w:val="32"/>
        </w:rPr>
        <w:t>。</w:t>
      </w:r>
    </w:p>
    <w:p w14:paraId="4A49B027">
      <w:pPr>
        <w:snapToGrid w:val="0"/>
        <w:spacing w:line="520" w:lineRule="exact"/>
        <w:ind w:firstLine="648" w:firstLineChars="200"/>
        <w:rPr>
          <w:rFonts w:eastAsia="仿宋_GB2312"/>
          <w:color w:val="000000"/>
          <w:kern w:val="0"/>
          <w:sz w:val="32"/>
          <w:szCs w:val="32"/>
        </w:rPr>
      </w:pPr>
      <w:r>
        <w:rPr>
          <w:rFonts w:eastAsia="仿宋_GB2312"/>
          <w:spacing w:val="2"/>
          <w:sz w:val="32"/>
          <w:szCs w:val="32"/>
        </w:rPr>
        <w:t>如含有校准品或质控品，除明确组成成分及生物学来源外，校准品还应明确其定值及溯源性</w:t>
      </w:r>
      <w:r>
        <w:rPr>
          <w:rFonts w:hint="eastAsia" w:eastAsia="仿宋_GB2312"/>
          <w:spacing w:val="2"/>
          <w:sz w:val="32"/>
          <w:szCs w:val="32"/>
        </w:rPr>
        <w:t>。</w:t>
      </w:r>
      <w:r>
        <w:rPr>
          <w:rFonts w:eastAsia="仿宋_GB2312"/>
          <w:spacing w:val="2"/>
          <w:sz w:val="32"/>
          <w:szCs w:val="32"/>
        </w:rPr>
        <w:t>质控品应明确靶值</w:t>
      </w:r>
      <w:r>
        <w:rPr>
          <w:rFonts w:hint="eastAsia" w:eastAsia="仿宋_GB2312"/>
          <w:spacing w:val="2"/>
          <w:sz w:val="32"/>
          <w:szCs w:val="32"/>
        </w:rPr>
        <w:t>及</w:t>
      </w:r>
      <w:r>
        <w:rPr>
          <w:rFonts w:eastAsia="仿宋_GB2312"/>
          <w:spacing w:val="2"/>
          <w:sz w:val="32"/>
          <w:szCs w:val="32"/>
        </w:rPr>
        <w:t>靶值范围。</w:t>
      </w:r>
      <w:r>
        <w:rPr>
          <w:rFonts w:eastAsia="仿宋_GB2312"/>
          <w:color w:val="000000"/>
          <w:kern w:val="0"/>
          <w:sz w:val="32"/>
          <w:szCs w:val="32"/>
        </w:rPr>
        <w:t>如</w:t>
      </w:r>
      <w:r>
        <w:rPr>
          <w:rFonts w:hint="eastAsia" w:eastAsia="仿宋_GB2312"/>
          <w:sz w:val="32"/>
          <w:szCs w:val="32"/>
        </w:rPr>
        <w:t>校准品或质控品的</w:t>
      </w:r>
      <w:r>
        <w:rPr>
          <w:rFonts w:eastAsia="仿宋_GB2312"/>
          <w:sz w:val="32"/>
          <w:szCs w:val="32"/>
        </w:rPr>
        <w:t>值为批特异</w:t>
      </w:r>
      <w:r>
        <w:rPr>
          <w:rFonts w:eastAsia="仿宋_GB2312"/>
          <w:color w:val="000000"/>
          <w:kern w:val="0"/>
          <w:sz w:val="32"/>
          <w:szCs w:val="32"/>
        </w:rPr>
        <w:t>，</w:t>
      </w:r>
      <w:r>
        <w:rPr>
          <w:rFonts w:hint="eastAsia" w:eastAsia="仿宋_GB2312"/>
          <w:color w:val="000000"/>
          <w:kern w:val="0"/>
          <w:sz w:val="32"/>
          <w:szCs w:val="32"/>
        </w:rPr>
        <w:t>可</w:t>
      </w:r>
      <w:r>
        <w:rPr>
          <w:rFonts w:eastAsia="仿宋_GB2312"/>
          <w:color w:val="000000"/>
          <w:kern w:val="0"/>
          <w:sz w:val="32"/>
          <w:szCs w:val="32"/>
        </w:rPr>
        <w:t>注明批特异，并在适当的位置标明，如附单独的靶值单。</w:t>
      </w:r>
    </w:p>
    <w:p w14:paraId="55E986D1">
      <w:pPr>
        <w:snapToGrid w:val="0"/>
        <w:spacing w:line="520" w:lineRule="exact"/>
        <w:ind w:firstLine="640" w:firstLineChars="200"/>
        <w:rPr>
          <w:rFonts w:eastAsia="仿宋_GB2312"/>
          <w:sz w:val="32"/>
          <w:szCs w:val="32"/>
        </w:rPr>
      </w:pPr>
      <w:r>
        <w:rPr>
          <w:rFonts w:hint="eastAsia" w:eastAsia="仿宋_GB2312"/>
          <w:sz w:val="32"/>
          <w:szCs w:val="32"/>
        </w:rPr>
        <w:t>需要但未提供的试剂。对于产品中不包含，但对该试验必需的试剂，如</w:t>
      </w:r>
      <w:r>
        <w:rPr>
          <w:rFonts w:hint="eastAsia" w:eastAsia="仿宋_GB2312"/>
          <w:sz w:val="32"/>
          <w:szCs w:val="32"/>
          <w:lang w:bidi="ar"/>
        </w:rPr>
        <w:t>单独注册的校准品和质控品等，</w:t>
      </w:r>
      <w:r>
        <w:rPr>
          <w:rFonts w:hint="eastAsia" w:eastAsia="仿宋_GB2312"/>
          <w:sz w:val="32"/>
          <w:szCs w:val="32"/>
        </w:rPr>
        <w:t>应列出各组分的名称、</w:t>
      </w:r>
      <w:r>
        <w:rPr>
          <w:rFonts w:hint="eastAsia" w:eastAsia="仿宋_GB2312"/>
          <w:sz w:val="32"/>
          <w:szCs w:val="32"/>
          <w:lang w:bidi="ar"/>
        </w:rPr>
        <w:t>注册人（备案人）、货号及其注册证编号（备案编号）</w:t>
      </w:r>
      <w:r>
        <w:rPr>
          <w:rFonts w:hint="eastAsia" w:eastAsia="仿宋_GB2312"/>
          <w:sz w:val="32"/>
          <w:szCs w:val="32"/>
        </w:rPr>
        <w:t>。</w:t>
      </w:r>
    </w:p>
    <w:p w14:paraId="3557E0A9">
      <w:pPr>
        <w:pStyle w:val="37"/>
        <w:outlineLvl w:val="2"/>
      </w:pPr>
      <w:r>
        <w:t>6</w:t>
      </w:r>
      <w:r>
        <w:rPr>
          <w:rFonts w:hint="eastAsia"/>
        </w:rPr>
        <w:t>.</w:t>
      </w:r>
      <w:r>
        <w:t>【储存条件及有效期】</w:t>
      </w:r>
    </w:p>
    <w:p w14:paraId="287E96DC">
      <w:pPr>
        <w:spacing w:line="520" w:lineRule="exact"/>
        <w:ind w:firstLine="640" w:firstLineChars="200"/>
        <w:rPr>
          <w:rFonts w:eastAsia="仿宋_GB2312"/>
          <w:sz w:val="32"/>
          <w:szCs w:val="32"/>
        </w:rPr>
      </w:pPr>
      <w:r>
        <w:rPr>
          <w:rFonts w:hint="eastAsia" w:eastAsia="仿宋_GB2312" w:cs="仿宋_GB2312"/>
          <w:sz w:val="32"/>
          <w:szCs w:val="32"/>
          <w:lang w:bidi="ar"/>
        </w:rPr>
        <w:t>明确货架保存条件和有效期，如</w:t>
      </w:r>
      <w:r>
        <w:rPr>
          <w:rFonts w:eastAsia="仿宋_GB2312"/>
          <w:sz w:val="32"/>
          <w:szCs w:val="32"/>
          <w:lang w:bidi="ar"/>
        </w:rPr>
        <w:t>2~8</w:t>
      </w:r>
      <w:r>
        <w:rPr>
          <w:rFonts w:hint="eastAsia" w:eastAsia="仿宋_GB2312" w:cs="仿宋_GB2312"/>
          <w:sz w:val="32"/>
          <w:szCs w:val="32"/>
          <w:lang w:bidi="ar"/>
        </w:rPr>
        <w:t>℃保存，有效期</w:t>
      </w:r>
      <w:r>
        <w:rPr>
          <w:rFonts w:eastAsia="仿宋_GB2312"/>
          <w:sz w:val="32"/>
          <w:szCs w:val="32"/>
          <w:lang w:bidi="ar"/>
        </w:rPr>
        <w:t>12</w:t>
      </w:r>
      <w:r>
        <w:rPr>
          <w:rFonts w:hint="eastAsia" w:eastAsia="仿宋_GB2312" w:cs="仿宋_GB2312"/>
          <w:sz w:val="32"/>
          <w:szCs w:val="32"/>
          <w:lang w:bidi="ar"/>
        </w:rPr>
        <w:t>个月。同时明确特殊保存条件，如禁止冷冻、光线和湿度要求等。</w:t>
      </w:r>
    </w:p>
    <w:p w14:paraId="5369925D">
      <w:pPr>
        <w:spacing w:line="520" w:lineRule="exact"/>
        <w:ind w:firstLine="640" w:firstLineChars="200"/>
        <w:rPr>
          <w:rFonts w:eastAsia="仿宋_GB2312"/>
          <w:sz w:val="32"/>
          <w:szCs w:val="32"/>
          <w:lang w:bidi="ar"/>
        </w:rPr>
      </w:pPr>
      <w:r>
        <w:rPr>
          <w:rFonts w:hint="eastAsia" w:eastAsia="仿宋_GB2312"/>
          <w:sz w:val="32"/>
          <w:szCs w:val="32"/>
          <w:lang w:bidi="ar"/>
        </w:rPr>
        <w:t>明确各组分的使用稳定性，包括开封保存条件和保存时长、冻融次数、机载稳定性等。</w:t>
      </w:r>
    </w:p>
    <w:p w14:paraId="1240CD03">
      <w:pPr>
        <w:spacing w:line="520" w:lineRule="exact"/>
        <w:ind w:firstLine="640" w:firstLineChars="200"/>
        <w:rPr>
          <w:rFonts w:eastAsia="仿宋_GB2312"/>
          <w:sz w:val="32"/>
          <w:szCs w:val="32"/>
        </w:rPr>
      </w:pPr>
      <w:r>
        <w:rPr>
          <w:rFonts w:hint="eastAsia" w:eastAsia="仿宋_GB2312" w:cs="仿宋_GB2312"/>
          <w:sz w:val="32"/>
          <w:szCs w:val="32"/>
          <w:lang w:bidi="ar"/>
        </w:rPr>
        <w:t>明确生产日期、使用期限</w:t>
      </w:r>
      <w:r>
        <w:rPr>
          <w:rFonts w:eastAsia="仿宋_GB2312"/>
          <w:sz w:val="32"/>
          <w:szCs w:val="32"/>
          <w:lang w:bidi="ar"/>
        </w:rPr>
        <w:t>/</w:t>
      </w:r>
      <w:r>
        <w:rPr>
          <w:rFonts w:hint="eastAsia" w:eastAsia="仿宋_GB2312" w:cs="仿宋_GB2312"/>
          <w:sz w:val="32"/>
          <w:szCs w:val="32"/>
          <w:lang w:bidi="ar"/>
        </w:rPr>
        <w:t>失效日期</w:t>
      </w:r>
      <w:r>
        <w:rPr>
          <w:rFonts w:eastAsia="仿宋_GB2312"/>
          <w:sz w:val="32"/>
          <w:szCs w:val="32"/>
          <w:lang w:bidi="ar"/>
        </w:rPr>
        <w:t>/</w:t>
      </w:r>
      <w:r>
        <w:rPr>
          <w:rFonts w:hint="eastAsia" w:eastAsia="仿宋_GB2312" w:cs="仿宋_GB2312"/>
          <w:sz w:val="32"/>
          <w:szCs w:val="32"/>
          <w:lang w:bidi="ar"/>
        </w:rPr>
        <w:t>有效期至见标签。</w:t>
      </w:r>
    </w:p>
    <w:p w14:paraId="531411A1">
      <w:pPr>
        <w:spacing w:line="520" w:lineRule="exact"/>
        <w:ind w:firstLine="640" w:firstLineChars="200"/>
        <w:rPr>
          <w:rFonts w:eastAsia="仿宋_GB2312"/>
          <w:sz w:val="32"/>
          <w:szCs w:val="32"/>
        </w:rPr>
      </w:pPr>
      <w:r>
        <w:rPr>
          <w:rFonts w:hint="eastAsia" w:eastAsia="仿宋_GB2312" w:cs="仿宋_GB2312"/>
          <w:sz w:val="32"/>
          <w:szCs w:val="32"/>
          <w:lang w:bidi="ar"/>
        </w:rPr>
        <w:t>若各组分的保存条件不一致，应分别描述。</w:t>
      </w:r>
    </w:p>
    <w:p w14:paraId="59752084">
      <w:pPr>
        <w:spacing w:line="520" w:lineRule="exact"/>
        <w:ind w:firstLine="640" w:firstLineChars="200"/>
        <w:rPr>
          <w:rFonts w:eastAsia="仿宋_GB2312"/>
          <w:kern w:val="0"/>
          <w:szCs w:val="32"/>
        </w:rPr>
      </w:pPr>
      <w:r>
        <w:rPr>
          <w:rFonts w:hint="eastAsia" w:eastAsia="仿宋_GB2312" w:cs="仿宋_GB2312"/>
          <w:sz w:val="32"/>
          <w:szCs w:val="32"/>
          <w:lang w:bidi="ar"/>
        </w:rPr>
        <w:t>若各组分的有效期不同，则试剂盒的有效期为最短保存时间。</w:t>
      </w:r>
    </w:p>
    <w:p w14:paraId="497BC693">
      <w:pPr>
        <w:pStyle w:val="37"/>
        <w:outlineLvl w:val="2"/>
      </w:pPr>
      <w:r>
        <w:t>7.【适用仪器】</w:t>
      </w:r>
    </w:p>
    <w:p w14:paraId="25AB5A26">
      <w:pPr>
        <w:spacing w:line="520" w:lineRule="exact"/>
        <w:ind w:firstLine="640" w:firstLineChars="200"/>
        <w:rPr>
          <w:rFonts w:eastAsia="仿宋_GB2312"/>
          <w:color w:val="000000"/>
          <w:kern w:val="0"/>
          <w:sz w:val="32"/>
          <w:szCs w:val="32"/>
        </w:rPr>
      </w:pPr>
      <w:r>
        <w:rPr>
          <w:rFonts w:hint="eastAsia" w:eastAsia="仿宋_GB2312"/>
          <w:sz w:val="32"/>
          <w:szCs w:val="32"/>
          <w:lang w:bidi="ar"/>
        </w:rPr>
        <w:t>说明适用的仪器及其型号</w:t>
      </w:r>
      <w:r>
        <w:rPr>
          <w:rFonts w:eastAsia="仿宋_GB2312"/>
          <w:color w:val="000000"/>
          <w:kern w:val="0"/>
          <w:sz w:val="32"/>
          <w:szCs w:val="32"/>
        </w:rPr>
        <w:t>，</w:t>
      </w:r>
      <w:r>
        <w:rPr>
          <w:rFonts w:hint="eastAsia" w:eastAsia="仿宋_GB2312"/>
          <w:color w:val="000000"/>
          <w:kern w:val="0"/>
          <w:sz w:val="32"/>
          <w:szCs w:val="32"/>
          <w:lang w:eastAsia="zh-CN"/>
        </w:rPr>
        <w:t>并</w:t>
      </w:r>
      <w:r>
        <w:rPr>
          <w:rFonts w:eastAsia="仿宋_GB2312"/>
          <w:color w:val="000000"/>
          <w:kern w:val="0"/>
          <w:sz w:val="32"/>
          <w:szCs w:val="32"/>
        </w:rPr>
        <w:t>提供与仪器有关的信息以便</w:t>
      </w:r>
      <w:r>
        <w:rPr>
          <w:rFonts w:hint="eastAsia" w:eastAsia="仿宋_GB2312"/>
          <w:color w:val="000000"/>
          <w:kern w:val="0"/>
          <w:sz w:val="32"/>
          <w:szCs w:val="32"/>
        </w:rPr>
        <w:t>用户正确选择使用</w:t>
      </w:r>
      <w:r>
        <w:rPr>
          <w:rFonts w:eastAsia="仿宋_GB2312"/>
          <w:color w:val="000000"/>
          <w:kern w:val="0"/>
          <w:sz w:val="32"/>
          <w:szCs w:val="32"/>
        </w:rPr>
        <w:t>。</w:t>
      </w:r>
    </w:p>
    <w:p w14:paraId="1E8DFE2A">
      <w:pPr>
        <w:pStyle w:val="37"/>
        <w:outlineLvl w:val="2"/>
      </w:pPr>
      <w:r>
        <w:t>8.【样本要求】</w:t>
      </w:r>
    </w:p>
    <w:p w14:paraId="67B3F85C">
      <w:pPr>
        <w:spacing w:line="520" w:lineRule="exact"/>
        <w:ind w:firstLine="640" w:firstLineChars="200"/>
        <w:rPr>
          <w:rFonts w:eastAsia="仿宋_GB2312"/>
          <w:color w:val="000000"/>
          <w:kern w:val="0"/>
          <w:sz w:val="32"/>
          <w:szCs w:val="32"/>
        </w:rPr>
      </w:pPr>
      <w:r>
        <w:rPr>
          <w:rFonts w:eastAsia="仿宋_GB2312"/>
          <w:color w:val="000000"/>
          <w:kern w:val="0"/>
          <w:sz w:val="32"/>
          <w:szCs w:val="32"/>
        </w:rPr>
        <w:t>应</w:t>
      </w:r>
      <w:r>
        <w:rPr>
          <w:rFonts w:hint="eastAsia" w:eastAsia="仿宋_GB2312"/>
          <w:color w:val="000000"/>
          <w:kern w:val="0"/>
          <w:sz w:val="32"/>
          <w:szCs w:val="32"/>
        </w:rPr>
        <w:t>明确以下几个方面</w:t>
      </w:r>
      <w:r>
        <w:rPr>
          <w:rFonts w:eastAsia="仿宋_GB2312"/>
          <w:color w:val="000000"/>
          <w:kern w:val="0"/>
          <w:sz w:val="32"/>
          <w:szCs w:val="32"/>
        </w:rPr>
        <w:t>：</w:t>
      </w:r>
    </w:p>
    <w:p w14:paraId="4503E5B6">
      <w:pPr>
        <w:spacing w:line="520" w:lineRule="exact"/>
        <w:ind w:firstLine="640" w:firstLineChars="200"/>
        <w:rPr>
          <w:rFonts w:eastAsia="仿宋_GB2312"/>
          <w:color w:val="000000"/>
          <w:kern w:val="0"/>
          <w:sz w:val="32"/>
          <w:szCs w:val="32"/>
        </w:rPr>
      </w:pPr>
      <w:r>
        <w:rPr>
          <w:rFonts w:eastAsia="仿宋_GB2312"/>
          <w:color w:val="000000"/>
          <w:kern w:val="0"/>
          <w:sz w:val="32"/>
          <w:szCs w:val="32"/>
        </w:rPr>
        <w:t>8.1适用的样本类型。</w:t>
      </w:r>
    </w:p>
    <w:p w14:paraId="340A7CC2">
      <w:pPr>
        <w:overflowPunct w:val="0"/>
        <w:adjustRightInd w:val="0"/>
        <w:snapToGrid w:val="0"/>
        <w:spacing w:line="520" w:lineRule="exact"/>
        <w:ind w:firstLine="640" w:firstLineChars="200"/>
        <w:rPr>
          <w:rFonts w:eastAsia="仿宋_GB2312"/>
          <w:kern w:val="0"/>
          <w:sz w:val="32"/>
          <w:szCs w:val="32"/>
        </w:rPr>
      </w:pPr>
      <w:r>
        <w:rPr>
          <w:rFonts w:eastAsia="仿宋_GB2312"/>
          <w:kern w:val="0"/>
          <w:sz w:val="32"/>
          <w:szCs w:val="32"/>
        </w:rPr>
        <w:t>8.2</w:t>
      </w:r>
      <w:r>
        <w:rPr>
          <w:rFonts w:hint="eastAsia" w:eastAsia="仿宋_GB2312"/>
          <w:sz w:val="32"/>
          <w:szCs w:val="32"/>
          <w:lang w:bidi="ar"/>
        </w:rPr>
        <w:t>详细描述样本的采集和保存方法，明确样本收集过程中的注意事项</w:t>
      </w:r>
      <w:r>
        <w:rPr>
          <w:rFonts w:eastAsia="仿宋_GB2312"/>
          <w:kern w:val="0"/>
          <w:sz w:val="32"/>
          <w:szCs w:val="32"/>
        </w:rPr>
        <w:t>。</w:t>
      </w:r>
      <w:r>
        <w:rPr>
          <w:rFonts w:hint="eastAsia" w:eastAsia="仿宋_GB2312"/>
          <w:kern w:val="0"/>
          <w:sz w:val="32"/>
          <w:szCs w:val="32"/>
        </w:rPr>
        <w:t>如：</w:t>
      </w:r>
      <w:r>
        <w:rPr>
          <w:rFonts w:hint="eastAsia" w:eastAsia="仿宋_GB2312" w:cs="仿宋_GB2312"/>
          <w:sz w:val="32"/>
          <w:szCs w:val="32"/>
          <w:lang w:bidi="ar"/>
        </w:rPr>
        <w:t>样本采集后，应尽快分离密封并尽快检测。</w:t>
      </w:r>
    </w:p>
    <w:p w14:paraId="5A87682C">
      <w:pPr>
        <w:spacing w:line="520" w:lineRule="exact"/>
        <w:ind w:firstLine="640" w:firstLineChars="200"/>
        <w:rPr>
          <w:rFonts w:eastAsia="仿宋_GB2312"/>
          <w:sz w:val="32"/>
          <w:szCs w:val="32"/>
          <w:lang w:bidi="ar"/>
        </w:rPr>
      </w:pPr>
      <w:r>
        <w:rPr>
          <w:rFonts w:eastAsia="仿宋_GB2312"/>
          <w:color w:val="000000"/>
          <w:kern w:val="0"/>
          <w:sz w:val="32"/>
          <w:szCs w:val="32"/>
        </w:rPr>
        <w:t>8.</w:t>
      </w:r>
      <w:r>
        <w:rPr>
          <w:rFonts w:hint="eastAsia" w:eastAsia="仿宋_GB2312"/>
          <w:color w:val="000000"/>
          <w:kern w:val="0"/>
          <w:sz w:val="32"/>
          <w:szCs w:val="32"/>
        </w:rPr>
        <w:t>3</w:t>
      </w:r>
      <w:r>
        <w:rPr>
          <w:rFonts w:hint="eastAsia" w:eastAsia="仿宋_GB2312"/>
          <w:sz w:val="32"/>
          <w:szCs w:val="32"/>
          <w:lang w:bidi="ar"/>
        </w:rPr>
        <w:t>若特定样本不适用或需进一步处理后使用，需明确。</w:t>
      </w:r>
    </w:p>
    <w:p w14:paraId="136D795F">
      <w:pPr>
        <w:spacing w:line="520" w:lineRule="exact"/>
        <w:ind w:firstLine="640" w:firstLineChars="200"/>
        <w:rPr>
          <w:rFonts w:eastAsia="仿宋_GB2312"/>
          <w:color w:val="000000"/>
          <w:kern w:val="0"/>
          <w:sz w:val="32"/>
          <w:szCs w:val="32"/>
        </w:rPr>
      </w:pPr>
      <w:r>
        <w:rPr>
          <w:rFonts w:hint="eastAsia" w:eastAsia="仿宋_GB2312"/>
          <w:sz w:val="32"/>
          <w:szCs w:val="32"/>
          <w:lang w:bidi="ar"/>
        </w:rPr>
        <w:t>8.4样本稳定性。</w:t>
      </w:r>
      <w:r>
        <w:rPr>
          <w:rFonts w:hint="eastAsia" w:eastAsia="仿宋_GB2312"/>
          <w:sz w:val="32"/>
          <w:szCs w:val="32"/>
        </w:rPr>
        <w:t>冷藏/冷冻样本检测前是否需要恢复室温，可冻融次数等。</w:t>
      </w:r>
    </w:p>
    <w:p w14:paraId="616C64B5">
      <w:pPr>
        <w:pStyle w:val="37"/>
        <w:outlineLvl w:val="2"/>
      </w:pPr>
      <w:r>
        <w:t>9.【检验方法】</w:t>
      </w:r>
    </w:p>
    <w:p w14:paraId="6634FAE7">
      <w:pPr>
        <w:spacing w:line="520" w:lineRule="exact"/>
        <w:ind w:firstLine="640" w:firstLineChars="200"/>
        <w:rPr>
          <w:rFonts w:eastAsia="仿宋_GB2312"/>
          <w:color w:val="000000"/>
          <w:kern w:val="0"/>
          <w:sz w:val="32"/>
          <w:szCs w:val="32"/>
        </w:rPr>
      </w:pPr>
      <w:r>
        <w:rPr>
          <w:rFonts w:eastAsia="仿宋_GB2312"/>
          <w:color w:val="000000"/>
          <w:kern w:val="0"/>
          <w:sz w:val="32"/>
          <w:szCs w:val="32"/>
        </w:rPr>
        <w:t>为保证试验的正确进行，详细说明试验操作的各个步骤：</w:t>
      </w:r>
    </w:p>
    <w:p w14:paraId="742558DF">
      <w:pPr>
        <w:spacing w:line="520" w:lineRule="exact"/>
        <w:ind w:firstLine="640" w:firstLineChars="200"/>
        <w:rPr>
          <w:rFonts w:eastAsia="仿宋_GB2312"/>
          <w:color w:val="000000"/>
          <w:kern w:val="0"/>
          <w:sz w:val="32"/>
          <w:szCs w:val="32"/>
        </w:rPr>
      </w:pPr>
      <w:r>
        <w:rPr>
          <w:rFonts w:eastAsia="仿宋_GB2312"/>
          <w:color w:val="000000"/>
          <w:kern w:val="0"/>
          <w:sz w:val="32"/>
          <w:szCs w:val="32"/>
        </w:rPr>
        <w:t>9.1试剂配制：各试剂组分的稀释、混合及其他必要的程序。</w:t>
      </w:r>
    </w:p>
    <w:p w14:paraId="1813BBDE">
      <w:pPr>
        <w:spacing w:line="520" w:lineRule="exact"/>
        <w:ind w:firstLine="640" w:firstLineChars="200"/>
        <w:rPr>
          <w:rFonts w:eastAsia="仿宋_GB2312"/>
          <w:color w:val="000000"/>
          <w:kern w:val="0"/>
          <w:sz w:val="32"/>
          <w:szCs w:val="32"/>
        </w:rPr>
      </w:pPr>
      <w:r>
        <w:rPr>
          <w:rFonts w:eastAsia="仿宋_GB2312"/>
          <w:color w:val="000000"/>
          <w:kern w:val="0"/>
          <w:sz w:val="32"/>
          <w:szCs w:val="32"/>
        </w:rPr>
        <w:t>9.2</w:t>
      </w:r>
      <w:r>
        <w:rPr>
          <w:rFonts w:hint="eastAsia" w:eastAsia="仿宋_GB2312"/>
          <w:color w:val="000000"/>
          <w:kern w:val="0"/>
          <w:sz w:val="32"/>
          <w:szCs w:val="32"/>
        </w:rPr>
        <w:t>试验条件</w:t>
      </w:r>
      <w:r>
        <w:rPr>
          <w:rFonts w:eastAsia="仿宋_GB2312"/>
          <w:color w:val="000000"/>
          <w:kern w:val="0"/>
          <w:sz w:val="32"/>
          <w:szCs w:val="32"/>
        </w:rPr>
        <w:t>：如温度、每一步</w:t>
      </w:r>
      <w:r>
        <w:rPr>
          <w:rFonts w:hint="eastAsia" w:eastAsia="仿宋_GB2312"/>
          <w:color w:val="000000"/>
          <w:kern w:val="0"/>
          <w:sz w:val="32"/>
          <w:szCs w:val="32"/>
        </w:rPr>
        <w:t>反应的</w:t>
      </w:r>
      <w:r>
        <w:rPr>
          <w:rFonts w:eastAsia="仿宋_GB2312"/>
          <w:color w:val="000000"/>
          <w:kern w:val="0"/>
          <w:sz w:val="32"/>
          <w:szCs w:val="32"/>
        </w:rPr>
        <w:t>时间、</w:t>
      </w:r>
      <w:r>
        <w:rPr>
          <w:rFonts w:hint="eastAsia" w:eastAsia="仿宋_GB2312"/>
          <w:color w:val="000000"/>
          <w:kern w:val="0"/>
          <w:sz w:val="32"/>
          <w:szCs w:val="32"/>
        </w:rPr>
        <w:t>测定</w:t>
      </w:r>
      <w:r>
        <w:rPr>
          <w:rFonts w:eastAsia="仿宋_GB2312"/>
          <w:color w:val="000000"/>
          <w:kern w:val="0"/>
          <w:sz w:val="32"/>
          <w:szCs w:val="32"/>
        </w:rPr>
        <w:t>波长、试剂用量、样本用量、测定方法</w:t>
      </w:r>
      <w:r>
        <w:rPr>
          <w:rFonts w:hint="eastAsia" w:eastAsia="仿宋_GB2312"/>
          <w:color w:val="000000"/>
          <w:kern w:val="0"/>
          <w:sz w:val="32"/>
          <w:szCs w:val="32"/>
        </w:rPr>
        <w:t>及</w:t>
      </w:r>
      <w:r>
        <w:rPr>
          <w:rFonts w:eastAsia="仿宋_GB2312"/>
          <w:color w:val="000000"/>
          <w:kern w:val="0"/>
          <w:sz w:val="32"/>
          <w:szCs w:val="32"/>
        </w:rPr>
        <w:t>注意的事项。</w:t>
      </w:r>
    </w:p>
    <w:p w14:paraId="580FE9C4">
      <w:pPr>
        <w:spacing w:line="520" w:lineRule="exact"/>
        <w:ind w:firstLine="640" w:firstLineChars="200"/>
        <w:rPr>
          <w:rFonts w:eastAsia="仿宋_GB2312"/>
          <w:color w:val="000000"/>
          <w:kern w:val="0"/>
          <w:sz w:val="32"/>
          <w:szCs w:val="32"/>
        </w:rPr>
      </w:pPr>
      <w:r>
        <w:rPr>
          <w:rFonts w:eastAsia="仿宋_GB2312"/>
          <w:color w:val="000000"/>
          <w:kern w:val="0"/>
          <w:sz w:val="32"/>
          <w:szCs w:val="32"/>
        </w:rPr>
        <w:t>9.3校准程序：校准品的准备和使用，校准曲线的绘制方法，推荐的校准周期，以及何种情况须重新校准。</w:t>
      </w:r>
    </w:p>
    <w:p w14:paraId="435632C3">
      <w:pPr>
        <w:spacing w:line="520" w:lineRule="exact"/>
        <w:ind w:firstLine="640" w:firstLineChars="200"/>
        <w:rPr>
          <w:rFonts w:eastAsia="仿宋_GB2312"/>
          <w:color w:val="000000"/>
          <w:kern w:val="0"/>
          <w:sz w:val="32"/>
          <w:szCs w:val="32"/>
        </w:rPr>
      </w:pPr>
      <w:r>
        <w:rPr>
          <w:rFonts w:eastAsia="仿宋_GB2312"/>
          <w:color w:val="000000"/>
          <w:kern w:val="0"/>
          <w:sz w:val="32"/>
          <w:szCs w:val="32"/>
        </w:rPr>
        <w:t>9.4质量控制程序：质控品的使用、质量控制方法、注意事项、对质控结果的必要解释等。</w:t>
      </w:r>
    </w:p>
    <w:p w14:paraId="18801919">
      <w:pPr>
        <w:spacing w:line="520" w:lineRule="exact"/>
        <w:ind w:firstLine="640" w:firstLineChars="200"/>
        <w:rPr>
          <w:rFonts w:eastAsia="仿宋_GB2312"/>
          <w:color w:val="000000"/>
          <w:kern w:val="0"/>
          <w:sz w:val="32"/>
          <w:szCs w:val="32"/>
        </w:rPr>
      </w:pPr>
      <w:r>
        <w:rPr>
          <w:rFonts w:eastAsia="仿宋_GB2312"/>
          <w:color w:val="000000"/>
          <w:kern w:val="0"/>
          <w:sz w:val="32"/>
          <w:szCs w:val="32"/>
        </w:rPr>
        <w:t>9.5试验结果的计算或读取，</w:t>
      </w:r>
      <w:r>
        <w:rPr>
          <w:rFonts w:hint="eastAsia" w:eastAsia="仿宋_GB2312"/>
          <w:color w:val="000000"/>
          <w:kern w:val="0"/>
          <w:sz w:val="32"/>
          <w:szCs w:val="32"/>
        </w:rPr>
        <w:t>应明确结果的计算与读取方法。</w:t>
      </w:r>
    </w:p>
    <w:p w14:paraId="293C157F">
      <w:pPr>
        <w:pStyle w:val="37"/>
        <w:outlineLvl w:val="2"/>
      </w:pPr>
      <w:r>
        <w:t>10.【参考区间】</w:t>
      </w:r>
    </w:p>
    <w:p w14:paraId="7670BA2F">
      <w:pPr>
        <w:spacing w:line="520" w:lineRule="exact"/>
        <w:ind w:firstLine="640" w:firstLineChars="200"/>
        <w:rPr>
          <w:rFonts w:eastAsia="仿宋_GB2312"/>
          <w:kern w:val="0"/>
          <w:sz w:val="32"/>
          <w:szCs w:val="32"/>
        </w:rPr>
      </w:pPr>
      <w:r>
        <w:rPr>
          <w:rFonts w:hint="eastAsia" w:eastAsia="仿宋_GB2312"/>
          <w:color w:val="000000"/>
          <w:kern w:val="0"/>
          <w:sz w:val="32"/>
          <w:szCs w:val="32"/>
        </w:rPr>
        <w:t>分</w:t>
      </w:r>
      <w:r>
        <w:rPr>
          <w:rFonts w:eastAsia="仿宋_GB2312"/>
          <w:color w:val="000000"/>
          <w:kern w:val="0"/>
          <w:sz w:val="32"/>
          <w:szCs w:val="32"/>
        </w:rPr>
        <w:t>别说明</w:t>
      </w:r>
      <w:r>
        <w:rPr>
          <w:rFonts w:hint="eastAsia" w:eastAsia="仿宋_GB2312"/>
          <w:color w:val="000000"/>
          <w:kern w:val="0"/>
          <w:sz w:val="32"/>
          <w:szCs w:val="32"/>
        </w:rPr>
        <w:t>不同</w:t>
      </w:r>
      <w:r>
        <w:rPr>
          <w:rFonts w:eastAsia="仿宋_GB2312"/>
          <w:color w:val="000000"/>
          <w:kern w:val="0"/>
          <w:sz w:val="32"/>
          <w:szCs w:val="32"/>
        </w:rPr>
        <w:t>样本类型的参考区间，</w:t>
      </w:r>
      <w:r>
        <w:rPr>
          <w:rFonts w:eastAsia="仿宋_GB2312"/>
          <w:kern w:val="0"/>
          <w:sz w:val="32"/>
          <w:szCs w:val="32"/>
        </w:rPr>
        <w:t>载明经研究确定的参考区间。此部分内容应包含参考区间确定的基本信息，包括：样本量、参考人群特征（如性别、年龄、种族等）和参考区间确定采用的统计学方法。</w:t>
      </w:r>
    </w:p>
    <w:p w14:paraId="245DEC9C">
      <w:pPr>
        <w:pStyle w:val="37"/>
        <w:outlineLvl w:val="2"/>
      </w:pPr>
      <w:r>
        <w:t>11.【检验结果的解释】</w:t>
      </w:r>
    </w:p>
    <w:p w14:paraId="74F39827">
      <w:pPr>
        <w:spacing w:line="520" w:lineRule="exact"/>
        <w:ind w:firstLine="646"/>
        <w:rPr>
          <w:rFonts w:eastAsia="仿宋_GB2312"/>
          <w:kern w:val="0"/>
          <w:sz w:val="32"/>
          <w:szCs w:val="32"/>
        </w:rPr>
      </w:pPr>
      <w:r>
        <w:rPr>
          <w:rFonts w:eastAsia="仿宋_GB2312"/>
          <w:kern w:val="0"/>
          <w:sz w:val="32"/>
          <w:szCs w:val="32"/>
        </w:rPr>
        <w:t>应根据其临床意义对可能出现的结果进行合理的解释。</w:t>
      </w:r>
    </w:p>
    <w:p w14:paraId="74089A42">
      <w:pPr>
        <w:spacing w:line="520" w:lineRule="exact"/>
        <w:ind w:firstLine="646"/>
        <w:rPr>
          <w:rFonts w:eastAsia="仿宋_GB2312"/>
          <w:kern w:val="0"/>
          <w:sz w:val="32"/>
          <w:szCs w:val="32"/>
        </w:rPr>
      </w:pPr>
      <w:r>
        <w:rPr>
          <w:rFonts w:eastAsia="仿宋_GB2312"/>
          <w:kern w:val="0"/>
          <w:sz w:val="32"/>
          <w:szCs w:val="32"/>
        </w:rPr>
        <w:t>说明在何种情况下</w:t>
      </w:r>
      <w:r>
        <w:rPr>
          <w:rFonts w:hint="eastAsia" w:eastAsia="仿宋_GB2312"/>
          <w:kern w:val="0"/>
          <w:sz w:val="32"/>
          <w:szCs w:val="32"/>
        </w:rPr>
        <w:t>需进行</w:t>
      </w:r>
      <w:r>
        <w:rPr>
          <w:rFonts w:eastAsia="仿宋_GB2312"/>
          <w:kern w:val="0"/>
          <w:sz w:val="32"/>
          <w:szCs w:val="32"/>
        </w:rPr>
        <w:t>复测或确认试验</w:t>
      </w:r>
      <w:r>
        <w:rPr>
          <w:rFonts w:hint="eastAsia" w:eastAsia="仿宋_GB2312"/>
          <w:kern w:val="0"/>
          <w:sz w:val="32"/>
          <w:szCs w:val="32"/>
        </w:rPr>
        <w:t>（如需要）。如</w:t>
      </w:r>
      <w:r>
        <w:rPr>
          <w:rFonts w:eastAsia="仿宋_GB2312"/>
          <w:kern w:val="0"/>
          <w:sz w:val="32"/>
          <w:szCs w:val="32"/>
        </w:rPr>
        <w:t>超出</w:t>
      </w:r>
      <w:r>
        <w:rPr>
          <w:rFonts w:hint="eastAsia" w:eastAsia="仿宋_GB2312"/>
          <w:kern w:val="0"/>
          <w:sz w:val="32"/>
          <w:szCs w:val="32"/>
        </w:rPr>
        <w:t>测量区间</w:t>
      </w:r>
      <w:r>
        <w:rPr>
          <w:rFonts w:eastAsia="仿宋_GB2312"/>
          <w:kern w:val="0"/>
          <w:sz w:val="32"/>
          <w:szCs w:val="32"/>
        </w:rPr>
        <w:t>的样本需稀释，应注明稀释</w:t>
      </w:r>
      <w:r>
        <w:rPr>
          <w:rFonts w:hint="eastAsia" w:eastAsia="仿宋_GB2312"/>
          <w:kern w:val="0"/>
          <w:sz w:val="32"/>
          <w:szCs w:val="32"/>
        </w:rPr>
        <w:t>液</w:t>
      </w:r>
      <w:r>
        <w:rPr>
          <w:rFonts w:eastAsia="仿宋_GB2312"/>
          <w:kern w:val="0"/>
          <w:sz w:val="32"/>
          <w:szCs w:val="32"/>
        </w:rPr>
        <w:t>、稀释方法、最大稀释比例等。</w:t>
      </w:r>
    </w:p>
    <w:p w14:paraId="7B0AF002">
      <w:pPr>
        <w:spacing w:line="520" w:lineRule="exact"/>
        <w:ind w:firstLine="646"/>
        <w:rPr>
          <w:rFonts w:eastAsia="仿宋_GB2312"/>
          <w:kern w:val="0"/>
          <w:sz w:val="32"/>
          <w:szCs w:val="32"/>
        </w:rPr>
      </w:pPr>
      <w:r>
        <w:rPr>
          <w:rFonts w:hint="eastAsia" w:eastAsia="仿宋_GB2312"/>
          <w:kern w:val="0"/>
          <w:sz w:val="32"/>
          <w:szCs w:val="32"/>
        </w:rPr>
        <w:t>说明可能对试验结果产生影响的因素。</w:t>
      </w:r>
    </w:p>
    <w:p w14:paraId="5D31786E">
      <w:pPr>
        <w:pStyle w:val="37"/>
        <w:outlineLvl w:val="2"/>
      </w:pPr>
      <w:r>
        <w:t>12.【检验方法的局限性】</w:t>
      </w:r>
    </w:p>
    <w:p w14:paraId="58E4EC91">
      <w:pPr>
        <w:spacing w:line="520" w:lineRule="exact"/>
        <w:ind w:firstLine="640" w:firstLineChars="200"/>
        <w:rPr>
          <w:rFonts w:eastAsia="仿宋_GB2312"/>
          <w:color w:val="000000"/>
          <w:kern w:val="0"/>
          <w:sz w:val="32"/>
          <w:szCs w:val="32"/>
        </w:rPr>
      </w:pPr>
      <w:r>
        <w:rPr>
          <w:rFonts w:eastAsia="仿宋_GB2312"/>
          <w:color w:val="000000"/>
          <w:kern w:val="0"/>
          <w:sz w:val="32"/>
          <w:szCs w:val="32"/>
        </w:rPr>
        <w:t>说明该检验方法的局限性，如试剂盒的检测结果仅供临床参考，不能单独作为确诊或排除病例的依据，为达到诊断目的，此检测结果要与临床检查、病史和其他的检查结果结合使用。</w:t>
      </w:r>
    </w:p>
    <w:p w14:paraId="5E4DC897">
      <w:pPr>
        <w:pStyle w:val="37"/>
        <w:outlineLvl w:val="2"/>
      </w:pPr>
      <w:r>
        <w:t>13.【产品性能指标】</w:t>
      </w:r>
    </w:p>
    <w:p w14:paraId="191085A1">
      <w:pPr>
        <w:spacing w:line="520" w:lineRule="exact"/>
        <w:ind w:firstLine="640" w:firstLineChars="200"/>
        <w:rPr>
          <w:rFonts w:eastAsia="仿宋_GB2312"/>
          <w:color w:val="000000"/>
          <w:kern w:val="0"/>
          <w:sz w:val="32"/>
          <w:szCs w:val="32"/>
        </w:rPr>
      </w:pPr>
      <w:r>
        <w:rPr>
          <w:rFonts w:eastAsia="仿宋_GB2312"/>
          <w:sz w:val="32"/>
          <w:szCs w:val="32"/>
        </w:rPr>
        <w:t>此项内容为分析性能研究资料和临床评价资料的总结</w:t>
      </w:r>
      <w:r>
        <w:rPr>
          <w:rFonts w:eastAsia="仿宋_GB2312"/>
          <w:color w:val="000000"/>
          <w:kern w:val="0"/>
          <w:sz w:val="32"/>
          <w:szCs w:val="32"/>
        </w:rPr>
        <w:t>。</w:t>
      </w:r>
    </w:p>
    <w:p w14:paraId="1649AD48">
      <w:pPr>
        <w:pStyle w:val="37"/>
        <w:outlineLvl w:val="2"/>
      </w:pPr>
      <w:r>
        <w:t>14.【注意事项】</w:t>
      </w:r>
    </w:p>
    <w:p w14:paraId="4BB7A64B">
      <w:pPr>
        <w:spacing w:line="520" w:lineRule="exact"/>
        <w:ind w:firstLine="640" w:firstLineChars="200"/>
        <w:rPr>
          <w:rFonts w:eastAsia="仿宋_GB2312"/>
          <w:color w:val="000000"/>
          <w:kern w:val="0"/>
          <w:sz w:val="32"/>
          <w:szCs w:val="32"/>
        </w:rPr>
      </w:pPr>
      <w:r>
        <w:rPr>
          <w:rFonts w:eastAsia="仿宋_GB2312"/>
          <w:color w:val="000000"/>
          <w:kern w:val="0"/>
          <w:sz w:val="32"/>
          <w:szCs w:val="32"/>
        </w:rPr>
        <w:t>注明必要的注意事项，如本品仅用于体外诊断等。</w:t>
      </w:r>
    </w:p>
    <w:p w14:paraId="7CA75AB8">
      <w:pPr>
        <w:spacing w:line="520" w:lineRule="exact"/>
        <w:ind w:firstLine="640" w:firstLineChars="200"/>
        <w:rPr>
          <w:rFonts w:eastAsia="仿宋_GB2312"/>
          <w:color w:val="000000"/>
          <w:kern w:val="0"/>
          <w:sz w:val="32"/>
          <w:szCs w:val="32"/>
        </w:rPr>
      </w:pPr>
      <w:r>
        <w:rPr>
          <w:rFonts w:eastAsia="仿宋_GB2312"/>
          <w:color w:val="000000"/>
          <w:kern w:val="0"/>
          <w:sz w:val="32"/>
          <w:szCs w:val="32"/>
        </w:rPr>
        <w:t>如该产品含有人源或动物源性物质，应给出具有潜在感染性的警告</w:t>
      </w:r>
      <w:r>
        <w:rPr>
          <w:rFonts w:hint="eastAsia" w:eastAsia="仿宋_GB2312"/>
          <w:color w:val="000000"/>
          <w:kern w:val="0"/>
          <w:sz w:val="32"/>
          <w:szCs w:val="32"/>
        </w:rPr>
        <w:t>。</w:t>
      </w:r>
    </w:p>
    <w:p w14:paraId="46D678D2">
      <w:pPr>
        <w:pStyle w:val="37"/>
        <w:outlineLvl w:val="2"/>
      </w:pPr>
      <w:r>
        <w:t>15.【标识的解释】</w:t>
      </w:r>
    </w:p>
    <w:p w14:paraId="69126EEE">
      <w:pPr>
        <w:spacing w:line="520" w:lineRule="exact"/>
        <w:ind w:firstLine="640" w:firstLineChars="200"/>
        <w:rPr>
          <w:rFonts w:eastAsia="仿宋_GB2312"/>
          <w:color w:val="000000"/>
          <w:kern w:val="0"/>
          <w:sz w:val="32"/>
          <w:szCs w:val="32"/>
        </w:rPr>
      </w:pPr>
      <w:r>
        <w:rPr>
          <w:rFonts w:eastAsia="仿宋_GB2312"/>
          <w:color w:val="000000"/>
          <w:kern w:val="0"/>
          <w:sz w:val="32"/>
          <w:szCs w:val="32"/>
        </w:rPr>
        <w:t>如有图形或符号，请解释其代表的意义。</w:t>
      </w:r>
    </w:p>
    <w:p w14:paraId="24B27E7C">
      <w:pPr>
        <w:pStyle w:val="37"/>
        <w:outlineLvl w:val="2"/>
      </w:pPr>
      <w:r>
        <w:t>16.【参考文献】</w:t>
      </w:r>
    </w:p>
    <w:p w14:paraId="38D50FE9">
      <w:pPr>
        <w:spacing w:line="520" w:lineRule="exact"/>
        <w:ind w:firstLine="640" w:firstLineChars="200"/>
        <w:rPr>
          <w:rFonts w:eastAsia="仿宋_GB2312"/>
          <w:color w:val="000000"/>
          <w:kern w:val="0"/>
          <w:sz w:val="32"/>
          <w:szCs w:val="32"/>
        </w:rPr>
      </w:pPr>
      <w:r>
        <w:rPr>
          <w:rFonts w:eastAsia="仿宋_GB2312"/>
          <w:color w:val="000000"/>
          <w:kern w:val="0"/>
          <w:sz w:val="32"/>
          <w:szCs w:val="32"/>
        </w:rPr>
        <w:t>注明引用参考文献，其书写应清楚、易查询且格式规范统一，符合相关标准要求。</w:t>
      </w:r>
    </w:p>
    <w:p w14:paraId="5BDD9964">
      <w:pPr>
        <w:pStyle w:val="37"/>
        <w:outlineLvl w:val="2"/>
      </w:pPr>
      <w:r>
        <w:t>17.【基本信息】</w:t>
      </w:r>
    </w:p>
    <w:p w14:paraId="37ADC743">
      <w:pPr>
        <w:spacing w:line="520" w:lineRule="exact"/>
        <w:ind w:firstLine="640" w:firstLineChars="200"/>
        <w:rPr>
          <w:rFonts w:eastAsia="仿宋_GB2312"/>
          <w:color w:val="000000"/>
          <w:kern w:val="0"/>
          <w:sz w:val="32"/>
          <w:szCs w:val="32"/>
        </w:rPr>
      </w:pPr>
      <w:r>
        <w:rPr>
          <w:rFonts w:eastAsia="仿宋_GB2312"/>
          <w:color w:val="000000"/>
          <w:kern w:val="0"/>
          <w:sz w:val="32"/>
          <w:szCs w:val="32"/>
        </w:rPr>
        <w:t>17.1注册人与生产企业为同一企业的，按以下格式标注基本信息：</w:t>
      </w:r>
    </w:p>
    <w:p w14:paraId="1DD8CBCA">
      <w:pPr>
        <w:spacing w:line="520" w:lineRule="exact"/>
        <w:ind w:firstLine="640" w:firstLineChars="200"/>
        <w:rPr>
          <w:rFonts w:eastAsia="仿宋_GB2312"/>
          <w:color w:val="000000"/>
          <w:kern w:val="0"/>
          <w:sz w:val="32"/>
          <w:szCs w:val="32"/>
        </w:rPr>
      </w:pPr>
      <w:r>
        <w:rPr>
          <w:rFonts w:eastAsia="仿宋_GB2312"/>
          <w:color w:val="000000"/>
          <w:kern w:val="0"/>
          <w:sz w:val="32"/>
          <w:szCs w:val="32"/>
        </w:rPr>
        <w:t>注册人/生产企业名称</w:t>
      </w:r>
    </w:p>
    <w:p w14:paraId="00F6881F">
      <w:pPr>
        <w:spacing w:line="520" w:lineRule="exact"/>
        <w:ind w:firstLine="640" w:firstLineChars="200"/>
        <w:rPr>
          <w:rFonts w:eastAsia="仿宋_GB2312"/>
          <w:color w:val="000000"/>
          <w:kern w:val="0"/>
          <w:sz w:val="32"/>
          <w:szCs w:val="32"/>
        </w:rPr>
      </w:pPr>
      <w:r>
        <w:rPr>
          <w:rFonts w:eastAsia="仿宋_GB2312"/>
          <w:color w:val="000000"/>
          <w:kern w:val="0"/>
          <w:sz w:val="32"/>
          <w:szCs w:val="32"/>
        </w:rPr>
        <w:t>住所</w:t>
      </w:r>
    </w:p>
    <w:p w14:paraId="09ACD668">
      <w:pPr>
        <w:spacing w:line="520" w:lineRule="exact"/>
        <w:ind w:firstLine="640" w:firstLineChars="200"/>
        <w:rPr>
          <w:rFonts w:eastAsia="仿宋_GB2312"/>
          <w:color w:val="000000"/>
          <w:kern w:val="0"/>
          <w:sz w:val="32"/>
          <w:szCs w:val="32"/>
        </w:rPr>
      </w:pPr>
      <w:r>
        <w:rPr>
          <w:rFonts w:eastAsia="仿宋_GB2312"/>
          <w:color w:val="000000"/>
          <w:kern w:val="0"/>
          <w:sz w:val="32"/>
          <w:szCs w:val="32"/>
        </w:rPr>
        <w:t>联系方式</w:t>
      </w:r>
    </w:p>
    <w:p w14:paraId="21039256">
      <w:pPr>
        <w:spacing w:line="520" w:lineRule="exact"/>
        <w:ind w:firstLine="640" w:firstLineChars="200"/>
        <w:rPr>
          <w:rFonts w:eastAsia="仿宋_GB2312"/>
          <w:color w:val="000000"/>
          <w:kern w:val="0"/>
          <w:sz w:val="32"/>
          <w:szCs w:val="32"/>
        </w:rPr>
      </w:pPr>
      <w:r>
        <w:rPr>
          <w:rFonts w:eastAsia="仿宋_GB2312"/>
          <w:color w:val="000000"/>
          <w:kern w:val="0"/>
          <w:sz w:val="32"/>
          <w:szCs w:val="32"/>
        </w:rPr>
        <w:t>售后服务单位名称</w:t>
      </w:r>
    </w:p>
    <w:p w14:paraId="1DB8323F">
      <w:pPr>
        <w:spacing w:line="520" w:lineRule="exact"/>
        <w:ind w:firstLine="640" w:firstLineChars="200"/>
        <w:rPr>
          <w:rFonts w:eastAsia="仿宋_GB2312"/>
          <w:color w:val="000000"/>
          <w:kern w:val="0"/>
          <w:sz w:val="32"/>
          <w:szCs w:val="32"/>
        </w:rPr>
      </w:pPr>
      <w:r>
        <w:rPr>
          <w:rFonts w:eastAsia="仿宋_GB2312"/>
          <w:color w:val="000000"/>
          <w:kern w:val="0"/>
          <w:sz w:val="32"/>
          <w:szCs w:val="32"/>
        </w:rPr>
        <w:t>联系方式</w:t>
      </w:r>
    </w:p>
    <w:p w14:paraId="3F33BAEF">
      <w:pPr>
        <w:spacing w:line="520" w:lineRule="exact"/>
        <w:ind w:firstLine="640" w:firstLineChars="200"/>
        <w:rPr>
          <w:rFonts w:eastAsia="仿宋_GB2312"/>
          <w:color w:val="000000"/>
          <w:kern w:val="0"/>
          <w:sz w:val="32"/>
          <w:szCs w:val="32"/>
        </w:rPr>
      </w:pPr>
      <w:r>
        <w:rPr>
          <w:rFonts w:eastAsia="仿宋_GB2312"/>
          <w:color w:val="000000"/>
          <w:kern w:val="0"/>
          <w:sz w:val="32"/>
          <w:szCs w:val="32"/>
        </w:rPr>
        <w:t>生产地址</w:t>
      </w:r>
    </w:p>
    <w:p w14:paraId="4770C7D7">
      <w:pPr>
        <w:spacing w:line="520" w:lineRule="exact"/>
        <w:ind w:firstLine="640" w:firstLineChars="200"/>
        <w:rPr>
          <w:rFonts w:eastAsia="仿宋_GB2312"/>
          <w:color w:val="000000"/>
          <w:kern w:val="0"/>
          <w:sz w:val="32"/>
          <w:szCs w:val="32"/>
        </w:rPr>
      </w:pPr>
      <w:r>
        <w:rPr>
          <w:rFonts w:eastAsia="仿宋_GB2312"/>
          <w:color w:val="000000"/>
          <w:kern w:val="0"/>
          <w:sz w:val="32"/>
          <w:szCs w:val="32"/>
        </w:rPr>
        <w:t>生产许可证编号</w:t>
      </w:r>
    </w:p>
    <w:p w14:paraId="08D6F984">
      <w:pPr>
        <w:spacing w:line="520" w:lineRule="exact"/>
        <w:ind w:firstLine="640" w:firstLineChars="200"/>
        <w:rPr>
          <w:rFonts w:eastAsia="仿宋_GB2312"/>
          <w:color w:val="000000"/>
          <w:kern w:val="0"/>
          <w:sz w:val="32"/>
          <w:szCs w:val="32"/>
        </w:rPr>
      </w:pPr>
      <w:r>
        <w:rPr>
          <w:rFonts w:eastAsia="仿宋_GB2312"/>
          <w:color w:val="000000"/>
          <w:kern w:val="0"/>
          <w:sz w:val="32"/>
          <w:szCs w:val="32"/>
        </w:rPr>
        <w:t>17.2委托生产的按照以下格式标注基本信息：</w:t>
      </w:r>
    </w:p>
    <w:p w14:paraId="3E23B9FB">
      <w:pPr>
        <w:spacing w:line="520" w:lineRule="exact"/>
        <w:ind w:firstLine="640" w:firstLineChars="200"/>
        <w:rPr>
          <w:rFonts w:eastAsia="仿宋_GB2312"/>
          <w:color w:val="000000"/>
          <w:kern w:val="0"/>
          <w:sz w:val="32"/>
          <w:szCs w:val="32"/>
        </w:rPr>
      </w:pPr>
      <w:r>
        <w:rPr>
          <w:rFonts w:eastAsia="仿宋_GB2312"/>
          <w:color w:val="000000"/>
          <w:kern w:val="0"/>
          <w:sz w:val="32"/>
          <w:szCs w:val="32"/>
        </w:rPr>
        <w:t>注册人名称</w:t>
      </w:r>
    </w:p>
    <w:p w14:paraId="6F17C942">
      <w:pPr>
        <w:spacing w:line="520" w:lineRule="exact"/>
        <w:ind w:firstLine="640" w:firstLineChars="200"/>
        <w:rPr>
          <w:rFonts w:eastAsia="仿宋_GB2312"/>
          <w:color w:val="000000"/>
          <w:kern w:val="0"/>
          <w:sz w:val="32"/>
          <w:szCs w:val="32"/>
        </w:rPr>
      </w:pPr>
      <w:r>
        <w:rPr>
          <w:rFonts w:eastAsia="仿宋_GB2312"/>
          <w:color w:val="000000"/>
          <w:kern w:val="0"/>
          <w:sz w:val="32"/>
          <w:szCs w:val="32"/>
        </w:rPr>
        <w:t>住所</w:t>
      </w:r>
    </w:p>
    <w:p w14:paraId="16F52B02">
      <w:pPr>
        <w:spacing w:line="520" w:lineRule="exact"/>
        <w:ind w:firstLine="640" w:firstLineChars="200"/>
        <w:rPr>
          <w:rFonts w:eastAsia="仿宋_GB2312"/>
          <w:color w:val="000000"/>
          <w:kern w:val="0"/>
          <w:sz w:val="32"/>
          <w:szCs w:val="32"/>
        </w:rPr>
      </w:pPr>
      <w:r>
        <w:rPr>
          <w:rFonts w:eastAsia="仿宋_GB2312"/>
          <w:color w:val="000000"/>
          <w:kern w:val="0"/>
          <w:sz w:val="32"/>
          <w:szCs w:val="32"/>
        </w:rPr>
        <w:t>联系方式</w:t>
      </w:r>
    </w:p>
    <w:p w14:paraId="1ADA39F9">
      <w:pPr>
        <w:spacing w:line="520" w:lineRule="exact"/>
        <w:ind w:firstLine="640" w:firstLineChars="200"/>
        <w:rPr>
          <w:rFonts w:eastAsia="仿宋_GB2312"/>
          <w:color w:val="000000"/>
          <w:kern w:val="0"/>
          <w:sz w:val="32"/>
          <w:szCs w:val="32"/>
        </w:rPr>
      </w:pPr>
      <w:r>
        <w:rPr>
          <w:rFonts w:eastAsia="仿宋_GB2312"/>
          <w:color w:val="000000"/>
          <w:kern w:val="0"/>
          <w:sz w:val="32"/>
          <w:szCs w:val="32"/>
        </w:rPr>
        <w:t>售后服务单位名称</w:t>
      </w:r>
    </w:p>
    <w:p w14:paraId="46E284B6">
      <w:pPr>
        <w:spacing w:line="520" w:lineRule="exact"/>
        <w:ind w:firstLine="640" w:firstLineChars="200"/>
        <w:rPr>
          <w:rFonts w:eastAsia="仿宋_GB2312"/>
          <w:color w:val="000000"/>
          <w:kern w:val="0"/>
          <w:sz w:val="32"/>
          <w:szCs w:val="32"/>
        </w:rPr>
      </w:pPr>
      <w:r>
        <w:rPr>
          <w:rFonts w:eastAsia="仿宋_GB2312"/>
          <w:color w:val="000000"/>
          <w:kern w:val="0"/>
          <w:sz w:val="32"/>
          <w:szCs w:val="32"/>
        </w:rPr>
        <w:t>联系方式</w:t>
      </w:r>
    </w:p>
    <w:p w14:paraId="1F615090">
      <w:pPr>
        <w:spacing w:line="520" w:lineRule="exact"/>
        <w:ind w:firstLine="640" w:firstLineChars="200"/>
        <w:rPr>
          <w:rFonts w:eastAsia="仿宋_GB2312"/>
          <w:color w:val="000000"/>
          <w:kern w:val="0"/>
          <w:sz w:val="32"/>
          <w:szCs w:val="32"/>
        </w:rPr>
      </w:pPr>
      <w:r>
        <w:rPr>
          <w:rFonts w:eastAsia="仿宋_GB2312"/>
          <w:color w:val="000000"/>
          <w:kern w:val="0"/>
          <w:sz w:val="32"/>
          <w:szCs w:val="32"/>
        </w:rPr>
        <w:t>受托企业的名称</w:t>
      </w:r>
    </w:p>
    <w:p w14:paraId="45EE6A20">
      <w:pPr>
        <w:spacing w:line="520" w:lineRule="exact"/>
        <w:ind w:firstLine="640" w:firstLineChars="200"/>
        <w:rPr>
          <w:rFonts w:eastAsia="仿宋_GB2312"/>
          <w:color w:val="000000"/>
          <w:kern w:val="0"/>
          <w:sz w:val="32"/>
          <w:szCs w:val="32"/>
        </w:rPr>
      </w:pPr>
      <w:r>
        <w:rPr>
          <w:rFonts w:eastAsia="仿宋_GB2312"/>
          <w:color w:val="000000"/>
          <w:kern w:val="0"/>
          <w:sz w:val="32"/>
          <w:szCs w:val="32"/>
        </w:rPr>
        <w:t>住所</w:t>
      </w:r>
    </w:p>
    <w:p w14:paraId="3E016FEC">
      <w:pPr>
        <w:spacing w:line="520" w:lineRule="exact"/>
        <w:ind w:firstLine="640" w:firstLineChars="200"/>
        <w:rPr>
          <w:rFonts w:eastAsia="仿宋_GB2312"/>
          <w:color w:val="000000"/>
          <w:kern w:val="0"/>
          <w:sz w:val="32"/>
          <w:szCs w:val="32"/>
        </w:rPr>
      </w:pPr>
      <w:r>
        <w:rPr>
          <w:rFonts w:eastAsia="仿宋_GB2312"/>
          <w:color w:val="000000"/>
          <w:kern w:val="0"/>
          <w:sz w:val="32"/>
          <w:szCs w:val="32"/>
        </w:rPr>
        <w:t>生产地址</w:t>
      </w:r>
    </w:p>
    <w:p w14:paraId="4601CCF1">
      <w:pPr>
        <w:spacing w:line="520" w:lineRule="exact"/>
        <w:ind w:firstLine="640" w:firstLineChars="200"/>
        <w:rPr>
          <w:rFonts w:eastAsia="仿宋_GB2312"/>
          <w:color w:val="000000"/>
          <w:kern w:val="0"/>
          <w:sz w:val="32"/>
          <w:szCs w:val="32"/>
        </w:rPr>
      </w:pPr>
      <w:r>
        <w:rPr>
          <w:rFonts w:eastAsia="仿宋_GB2312"/>
          <w:color w:val="000000"/>
          <w:kern w:val="0"/>
          <w:sz w:val="32"/>
          <w:szCs w:val="32"/>
        </w:rPr>
        <w:t>生产许可证编号</w:t>
      </w:r>
    </w:p>
    <w:p w14:paraId="7DDAE05D">
      <w:pPr>
        <w:spacing w:line="520" w:lineRule="exact"/>
        <w:ind w:firstLine="640" w:firstLineChars="200"/>
        <w:rPr>
          <w:rFonts w:eastAsia="仿宋_GB2312"/>
          <w:sz w:val="32"/>
          <w:szCs w:val="32"/>
        </w:rPr>
      </w:pPr>
      <w:r>
        <w:rPr>
          <w:rFonts w:hint="eastAsia" w:eastAsia="仿宋_GB2312"/>
          <w:sz w:val="32"/>
          <w:szCs w:val="32"/>
        </w:rPr>
        <w:t>18.</w:t>
      </w:r>
      <w:r>
        <w:rPr>
          <w:rFonts w:eastAsia="仿宋_GB2312"/>
          <w:sz w:val="32"/>
          <w:szCs w:val="32"/>
        </w:rPr>
        <w:t>【医疗器械注册证编号/产品技术要求编号】（【医疗器械备案编号/产品技术要求编号】）注明该产品的注册证编号或者备案编号。</w:t>
      </w:r>
    </w:p>
    <w:p w14:paraId="29366937">
      <w:pPr>
        <w:spacing w:line="520" w:lineRule="exact"/>
        <w:ind w:firstLine="640" w:firstLineChars="200"/>
        <w:rPr>
          <w:rFonts w:eastAsia="仿宋_GB2312"/>
          <w:sz w:val="32"/>
          <w:szCs w:val="32"/>
        </w:rPr>
      </w:pPr>
      <w:r>
        <w:rPr>
          <w:rFonts w:hint="eastAsia" w:eastAsia="仿宋_GB2312"/>
          <w:sz w:val="32"/>
          <w:szCs w:val="32"/>
        </w:rPr>
        <w:t>19.</w:t>
      </w:r>
      <w:r>
        <w:rPr>
          <w:rFonts w:eastAsia="仿宋_GB2312"/>
          <w:sz w:val="32"/>
          <w:szCs w:val="32"/>
        </w:rPr>
        <w:t>【说明书</w:t>
      </w:r>
      <w:r>
        <w:rPr>
          <w:rFonts w:hint="eastAsia" w:eastAsia="仿宋_GB2312"/>
          <w:sz w:val="32"/>
          <w:szCs w:val="32"/>
        </w:rPr>
        <w:t>批准</w:t>
      </w:r>
      <w:r>
        <w:rPr>
          <w:rFonts w:eastAsia="仿宋_GB2312"/>
          <w:sz w:val="32"/>
          <w:szCs w:val="32"/>
        </w:rPr>
        <w:t>日期</w:t>
      </w:r>
      <w:r>
        <w:rPr>
          <w:rFonts w:hint="eastAsia" w:eastAsia="仿宋_GB2312"/>
          <w:sz w:val="32"/>
          <w:szCs w:val="32"/>
        </w:rPr>
        <w:t>/生效日期</w:t>
      </w:r>
      <w:r>
        <w:rPr>
          <w:rFonts w:eastAsia="仿宋_GB2312"/>
          <w:sz w:val="32"/>
          <w:szCs w:val="32"/>
        </w:rPr>
        <w:t>及修改日期】</w:t>
      </w:r>
    </w:p>
    <w:p w14:paraId="02360A49">
      <w:pPr>
        <w:pStyle w:val="35"/>
      </w:pPr>
      <w:r>
        <w:rPr>
          <w:rFonts w:hint="eastAsia"/>
        </w:rPr>
        <w:t>（六）</w:t>
      </w:r>
      <w:r>
        <w:t>质量管理体系文件</w:t>
      </w:r>
    </w:p>
    <w:p w14:paraId="7D66CE5D">
      <w:pPr>
        <w:pStyle w:val="31"/>
        <w:overflowPunct w:val="0"/>
        <w:autoSpaceDE w:val="0"/>
        <w:autoSpaceDN w:val="0"/>
        <w:spacing w:line="520" w:lineRule="exact"/>
        <w:ind w:firstLine="640"/>
        <w:rPr>
          <w:rFonts w:eastAsia="仿宋_GB2312"/>
          <w:sz w:val="32"/>
          <w:szCs w:val="32"/>
        </w:rPr>
      </w:pPr>
      <w:r>
        <w:rPr>
          <w:rFonts w:eastAsia="仿宋_GB2312"/>
          <w:sz w:val="32"/>
          <w:szCs w:val="32"/>
        </w:rPr>
        <w:t>申请人应当在申请注册时提交与产品研制、生产有关的质量管理体系相关资料。详述产品的生产过程，提供生产工艺流程图。明确</w:t>
      </w:r>
      <w:r>
        <w:rPr>
          <w:rFonts w:hint="eastAsia" w:eastAsia="仿宋_GB2312"/>
          <w:sz w:val="32"/>
          <w:szCs w:val="32"/>
        </w:rPr>
        <w:t>二氧化碳</w:t>
      </w:r>
      <w:r>
        <w:rPr>
          <w:rFonts w:eastAsia="仿宋_GB2312"/>
          <w:sz w:val="32"/>
          <w:szCs w:val="32"/>
        </w:rPr>
        <w:t>检测试剂的产品反应及检测原理和过程，标明主要控制点与项目及主要原材料、采购件的来源及质量控制方法。</w:t>
      </w:r>
    </w:p>
    <w:p w14:paraId="028D986D">
      <w:pPr>
        <w:spacing w:line="520" w:lineRule="exact"/>
        <w:ind w:firstLine="640" w:firstLineChars="200"/>
        <w:jc w:val="left"/>
        <w:rPr>
          <w:rFonts w:eastAsia="仿宋_GB2312"/>
          <w:kern w:val="0"/>
          <w:sz w:val="32"/>
          <w:szCs w:val="32"/>
        </w:rPr>
      </w:pPr>
      <w:r>
        <w:rPr>
          <w:rFonts w:hint="eastAsia" w:eastAsia="仿宋_GB2312"/>
          <w:kern w:val="0"/>
          <w:sz w:val="32"/>
          <w:szCs w:val="32"/>
        </w:rPr>
        <w:t>质量管理体系文件</w:t>
      </w:r>
      <w:r>
        <w:rPr>
          <w:rFonts w:eastAsia="仿宋_GB2312"/>
          <w:kern w:val="0"/>
          <w:sz w:val="32"/>
          <w:szCs w:val="32"/>
        </w:rPr>
        <w:t>主要包括综述、生产制造信息、质量管理体系程序、管理职责程序、资源管理程序、产品实现程序、质量管理体系的测量、分析和改进程序、其他质量体系程序信息以及质量管理体系核查文件等。</w:t>
      </w:r>
    </w:p>
    <w:p w14:paraId="78CF607A">
      <w:pPr>
        <w:overflowPunct w:val="0"/>
        <w:spacing w:line="520" w:lineRule="exact"/>
        <w:ind w:firstLine="640" w:firstLineChars="200"/>
        <w:outlineLvl w:val="0"/>
        <w:rPr>
          <w:rFonts w:hint="eastAsia" w:ascii="黑体" w:hAnsi="黑体" w:eastAsia="黑体"/>
          <w:color w:val="000000"/>
          <w:kern w:val="0"/>
          <w:sz w:val="32"/>
          <w:szCs w:val="32"/>
        </w:rPr>
      </w:pPr>
      <w:r>
        <w:rPr>
          <w:rFonts w:ascii="黑体" w:hAnsi="黑体" w:eastAsia="黑体"/>
          <w:color w:val="000000"/>
          <w:kern w:val="0"/>
          <w:sz w:val="32"/>
          <w:szCs w:val="32"/>
        </w:rPr>
        <w:t>三、参考文献</w:t>
      </w:r>
    </w:p>
    <w:p w14:paraId="0D70980E">
      <w:pPr>
        <w:numPr>
          <w:ilvl w:val="0"/>
          <w:numId w:val="2"/>
        </w:numPr>
        <w:tabs>
          <w:tab w:val="left" w:pos="360"/>
          <w:tab w:val="left" w:pos="952"/>
          <w:tab w:val="left" w:pos="1078"/>
          <w:tab w:val="left" w:pos="1140"/>
        </w:tabs>
        <w:autoSpaceDE w:val="0"/>
        <w:autoSpaceDN w:val="0"/>
        <w:adjustRightInd w:val="0"/>
        <w:spacing w:line="520" w:lineRule="exact"/>
        <w:ind w:left="-10" w:firstLine="640"/>
        <w:rPr>
          <w:rFonts w:eastAsia="仿宋_GB2312"/>
          <w:sz w:val="32"/>
          <w:szCs w:val="30"/>
        </w:rPr>
      </w:pPr>
      <w:r>
        <w:rPr>
          <w:rFonts w:hint="eastAsia" w:eastAsia="仿宋_GB2312"/>
          <w:sz w:val="32"/>
          <w:szCs w:val="32"/>
        </w:rPr>
        <w:t>中华人民共和国国务院.</w:t>
      </w:r>
      <w:r>
        <w:rPr>
          <w:rFonts w:eastAsia="仿宋_GB2312"/>
          <w:sz w:val="32"/>
          <w:szCs w:val="32"/>
        </w:rPr>
        <w:t>医疗器械监督管理</w:t>
      </w:r>
      <w:r>
        <w:rPr>
          <w:rFonts w:hint="eastAsia" w:eastAsia="仿宋_GB2312"/>
          <w:sz w:val="32"/>
          <w:szCs w:val="32"/>
        </w:rPr>
        <w:t>条例：中华人民共和国国务院令第739号</w:t>
      </w:r>
      <w:r>
        <w:rPr>
          <w:rFonts w:eastAsia="仿宋_GB2312"/>
          <w:sz w:val="32"/>
          <w:szCs w:val="32"/>
        </w:rPr>
        <w:t>[Z].</w:t>
      </w:r>
    </w:p>
    <w:p w14:paraId="09EF13ED">
      <w:pPr>
        <w:numPr>
          <w:ilvl w:val="0"/>
          <w:numId w:val="2"/>
        </w:numPr>
        <w:tabs>
          <w:tab w:val="left" w:pos="360"/>
          <w:tab w:val="left" w:pos="952"/>
          <w:tab w:val="left" w:pos="1078"/>
          <w:tab w:val="left" w:pos="1140"/>
        </w:tabs>
        <w:autoSpaceDE w:val="0"/>
        <w:autoSpaceDN w:val="0"/>
        <w:adjustRightInd w:val="0"/>
        <w:spacing w:line="520" w:lineRule="exact"/>
        <w:ind w:left="-10" w:firstLine="640"/>
        <w:rPr>
          <w:rFonts w:eastAsia="仿宋_GB2312"/>
          <w:sz w:val="32"/>
          <w:szCs w:val="30"/>
        </w:rPr>
      </w:pPr>
      <w:r>
        <w:rPr>
          <w:rFonts w:hint="eastAsia" w:eastAsia="仿宋_GB2312"/>
          <w:kern w:val="0"/>
          <w:sz w:val="32"/>
          <w:szCs w:val="32"/>
        </w:rPr>
        <w:t>国家市场监督管理总局.体外诊断试剂注册与备案管理办法:</w:t>
      </w:r>
      <w:r>
        <w:rPr>
          <w:rFonts w:hint="eastAsia" w:eastAsia="仿宋_GB2312"/>
          <w:bCs/>
          <w:sz w:val="32"/>
          <w:szCs w:val="32"/>
        </w:rPr>
        <w:t>国家市场监督管理总局令第48号</w:t>
      </w:r>
      <w:r>
        <w:rPr>
          <w:rFonts w:eastAsia="仿宋_GB2312"/>
          <w:sz w:val="32"/>
          <w:szCs w:val="32"/>
        </w:rPr>
        <w:t>[Z].</w:t>
      </w:r>
    </w:p>
    <w:p w14:paraId="66DD47F8">
      <w:pPr>
        <w:numPr>
          <w:ilvl w:val="0"/>
          <w:numId w:val="2"/>
        </w:numPr>
        <w:tabs>
          <w:tab w:val="left" w:pos="360"/>
          <w:tab w:val="left" w:pos="952"/>
          <w:tab w:val="left" w:pos="1078"/>
          <w:tab w:val="left" w:pos="1140"/>
        </w:tabs>
        <w:autoSpaceDE w:val="0"/>
        <w:autoSpaceDN w:val="0"/>
        <w:adjustRightInd w:val="0"/>
        <w:spacing w:line="520" w:lineRule="exact"/>
        <w:ind w:left="-10" w:firstLine="640"/>
        <w:rPr>
          <w:rFonts w:eastAsia="仿宋_GB2312"/>
          <w:sz w:val="32"/>
          <w:szCs w:val="30"/>
        </w:rPr>
      </w:pPr>
      <w:r>
        <w:rPr>
          <w:rFonts w:hint="eastAsia" w:eastAsia="仿宋_GB2312"/>
          <w:kern w:val="0"/>
          <w:sz w:val="32"/>
          <w:szCs w:val="32"/>
        </w:rPr>
        <w:t>国家食品药品监督管理总局.</w:t>
      </w:r>
      <w:r>
        <w:rPr>
          <w:rFonts w:eastAsia="仿宋_GB2312"/>
          <w:sz w:val="32"/>
          <w:szCs w:val="32"/>
        </w:rPr>
        <w:t>医疗器械说明书和标签管理规定</w:t>
      </w:r>
      <w:r>
        <w:rPr>
          <w:rFonts w:hint="eastAsia" w:eastAsia="仿宋_GB2312"/>
          <w:sz w:val="32"/>
          <w:szCs w:val="32"/>
        </w:rPr>
        <w:t>:</w:t>
      </w:r>
      <w:r>
        <w:rPr>
          <w:rFonts w:hint="eastAsia" w:eastAsia="仿宋_GB2312"/>
          <w:kern w:val="0"/>
          <w:sz w:val="32"/>
          <w:szCs w:val="32"/>
        </w:rPr>
        <w:t>国家食品药品监督管理总局令第6号</w:t>
      </w:r>
      <w:r>
        <w:rPr>
          <w:rFonts w:eastAsia="仿宋_GB2312"/>
          <w:sz w:val="32"/>
          <w:szCs w:val="32"/>
        </w:rPr>
        <w:t>[Z].</w:t>
      </w:r>
    </w:p>
    <w:p w14:paraId="4F788042">
      <w:pPr>
        <w:numPr>
          <w:ilvl w:val="0"/>
          <w:numId w:val="2"/>
        </w:numPr>
        <w:tabs>
          <w:tab w:val="left" w:pos="360"/>
          <w:tab w:val="left" w:pos="952"/>
          <w:tab w:val="left" w:pos="1078"/>
          <w:tab w:val="left" w:pos="1140"/>
        </w:tabs>
        <w:autoSpaceDE w:val="0"/>
        <w:autoSpaceDN w:val="0"/>
        <w:adjustRightInd w:val="0"/>
        <w:spacing w:line="520" w:lineRule="exact"/>
        <w:ind w:left="-10" w:firstLine="640"/>
        <w:rPr>
          <w:rFonts w:eastAsia="仿宋_GB2312"/>
          <w:sz w:val="32"/>
          <w:szCs w:val="30"/>
        </w:rPr>
      </w:pPr>
      <w:r>
        <w:rPr>
          <w:rFonts w:hint="eastAsia" w:eastAsia="仿宋_GB2312"/>
          <w:sz w:val="32"/>
          <w:szCs w:val="28"/>
          <w:lang w:bidi="ar"/>
        </w:rPr>
        <w:t>国家药品监督管理局</w:t>
      </w:r>
      <w:r>
        <w:rPr>
          <w:rFonts w:eastAsia="仿宋_GB2312"/>
          <w:sz w:val="32"/>
          <w:szCs w:val="28"/>
          <w:lang w:bidi="ar"/>
        </w:rPr>
        <w:t>.</w:t>
      </w:r>
      <w:r>
        <w:rPr>
          <w:rFonts w:hint="eastAsia" w:eastAsia="仿宋_GB2312"/>
          <w:color w:val="000000"/>
          <w:sz w:val="32"/>
          <w:szCs w:val="32"/>
          <w:lang w:bidi="ar"/>
        </w:rPr>
        <w:t>体外诊断试剂说明书编写指导原则（</w:t>
      </w:r>
      <w:r>
        <w:rPr>
          <w:rFonts w:eastAsia="仿宋_GB2312"/>
          <w:color w:val="000000"/>
          <w:sz w:val="32"/>
          <w:szCs w:val="32"/>
          <w:lang w:bidi="ar"/>
        </w:rPr>
        <w:t>2023</w:t>
      </w:r>
      <w:r>
        <w:rPr>
          <w:rFonts w:hint="eastAsia" w:eastAsia="仿宋_GB2312"/>
          <w:color w:val="000000"/>
          <w:sz w:val="32"/>
          <w:szCs w:val="32"/>
          <w:lang w:bidi="ar"/>
        </w:rPr>
        <w:t>年修订版）</w:t>
      </w:r>
      <w:r>
        <w:rPr>
          <w:rFonts w:eastAsia="仿宋_GB2312"/>
          <w:color w:val="000000"/>
          <w:sz w:val="32"/>
          <w:szCs w:val="32"/>
          <w:lang w:bidi="ar"/>
        </w:rPr>
        <w:t>:</w:t>
      </w:r>
      <w:r>
        <w:rPr>
          <w:rFonts w:hint="eastAsia" w:eastAsia="仿宋_GB2312"/>
          <w:color w:val="000000"/>
          <w:sz w:val="32"/>
          <w:szCs w:val="32"/>
          <w:lang w:bidi="ar"/>
        </w:rPr>
        <w:t>国家药监局公告</w:t>
      </w:r>
      <w:r>
        <w:rPr>
          <w:rFonts w:eastAsia="仿宋_GB2312"/>
          <w:color w:val="000000"/>
          <w:sz w:val="32"/>
          <w:szCs w:val="32"/>
          <w:lang w:bidi="ar"/>
        </w:rPr>
        <w:t>2024</w:t>
      </w:r>
      <w:r>
        <w:rPr>
          <w:rFonts w:hint="eastAsia" w:eastAsia="仿宋_GB2312"/>
          <w:color w:val="000000"/>
          <w:sz w:val="32"/>
          <w:szCs w:val="32"/>
          <w:lang w:bidi="ar"/>
        </w:rPr>
        <w:t>年第</w:t>
      </w:r>
      <w:r>
        <w:rPr>
          <w:rFonts w:eastAsia="仿宋_GB2312"/>
          <w:color w:val="000000"/>
          <w:sz w:val="32"/>
          <w:szCs w:val="32"/>
          <w:lang w:bidi="ar"/>
        </w:rPr>
        <w:t>1</w:t>
      </w:r>
      <w:r>
        <w:rPr>
          <w:rFonts w:hint="eastAsia" w:eastAsia="仿宋_GB2312"/>
          <w:color w:val="000000"/>
          <w:sz w:val="32"/>
          <w:szCs w:val="32"/>
          <w:lang w:bidi="ar"/>
        </w:rPr>
        <w:t>号</w:t>
      </w:r>
      <w:r>
        <w:rPr>
          <w:rFonts w:eastAsia="仿宋_GB2312"/>
          <w:sz w:val="32"/>
          <w:szCs w:val="32"/>
          <w:lang w:bidi="ar"/>
        </w:rPr>
        <w:t>[Z].</w:t>
      </w:r>
    </w:p>
    <w:p w14:paraId="76B15E81">
      <w:pPr>
        <w:numPr>
          <w:ilvl w:val="0"/>
          <w:numId w:val="2"/>
        </w:numPr>
        <w:tabs>
          <w:tab w:val="left" w:pos="360"/>
          <w:tab w:val="left" w:pos="952"/>
          <w:tab w:val="left" w:pos="1078"/>
          <w:tab w:val="left" w:pos="1140"/>
        </w:tabs>
        <w:autoSpaceDE w:val="0"/>
        <w:autoSpaceDN w:val="0"/>
        <w:adjustRightInd w:val="0"/>
        <w:spacing w:line="520" w:lineRule="exact"/>
        <w:ind w:left="-10" w:firstLine="640"/>
      </w:pPr>
      <w:r>
        <w:rPr>
          <w:rFonts w:hint="eastAsia" w:eastAsia="仿宋_GB2312"/>
          <w:sz w:val="32"/>
          <w:szCs w:val="30"/>
        </w:rPr>
        <w:t>国家</w:t>
      </w:r>
      <w:r>
        <w:rPr>
          <w:rFonts w:hint="eastAsia" w:eastAsia="仿宋_GB2312"/>
          <w:bCs/>
          <w:sz w:val="32"/>
          <w:szCs w:val="32"/>
        </w:rPr>
        <w:t>药品监督管理局</w:t>
      </w:r>
      <w:r>
        <w:rPr>
          <w:rFonts w:hint="eastAsia" w:eastAsia="仿宋_GB2312"/>
          <w:sz w:val="32"/>
          <w:szCs w:val="30"/>
        </w:rPr>
        <w:t>.</w:t>
      </w:r>
      <w:r>
        <w:rPr>
          <w:rFonts w:eastAsia="仿宋_GB2312"/>
          <w:sz w:val="32"/>
          <w:szCs w:val="30"/>
        </w:rPr>
        <w:t>体外诊断试剂分类规则</w:t>
      </w:r>
      <w:r>
        <w:rPr>
          <w:rFonts w:hint="eastAsia" w:eastAsia="仿宋_GB2312"/>
          <w:sz w:val="32"/>
          <w:szCs w:val="30"/>
        </w:rPr>
        <w:t>:国家</w:t>
      </w:r>
      <w:r>
        <w:rPr>
          <w:rFonts w:hint="eastAsia" w:eastAsia="仿宋_GB2312"/>
          <w:bCs/>
          <w:sz w:val="32"/>
          <w:szCs w:val="32"/>
        </w:rPr>
        <w:t>药品监督管理局</w:t>
      </w:r>
      <w:r>
        <w:rPr>
          <w:rFonts w:hint="eastAsia" w:eastAsia="仿宋_GB2312"/>
          <w:sz w:val="32"/>
          <w:szCs w:val="30"/>
        </w:rPr>
        <w:t>2021年第129号公告</w:t>
      </w:r>
      <w:r>
        <w:rPr>
          <w:rFonts w:eastAsia="仿宋_GB2312"/>
          <w:sz w:val="32"/>
          <w:szCs w:val="30"/>
        </w:rPr>
        <w:t>[Z].</w:t>
      </w:r>
    </w:p>
    <w:p w14:paraId="4B78746B">
      <w:pPr>
        <w:numPr>
          <w:ilvl w:val="0"/>
          <w:numId w:val="2"/>
        </w:numPr>
        <w:tabs>
          <w:tab w:val="left" w:pos="360"/>
          <w:tab w:val="left" w:pos="952"/>
          <w:tab w:val="left" w:pos="1078"/>
          <w:tab w:val="left" w:pos="1140"/>
        </w:tabs>
        <w:autoSpaceDE w:val="0"/>
        <w:autoSpaceDN w:val="0"/>
        <w:adjustRightInd w:val="0"/>
        <w:spacing w:line="520" w:lineRule="exact"/>
        <w:ind w:left="-10" w:firstLine="640"/>
        <w:rPr>
          <w:rFonts w:eastAsia="仿宋_GB2312"/>
          <w:sz w:val="32"/>
          <w:szCs w:val="32"/>
        </w:rPr>
      </w:pPr>
      <w:r>
        <w:rPr>
          <w:rFonts w:hint="eastAsia" w:eastAsia="仿宋_GB2312"/>
          <w:sz w:val="32"/>
          <w:szCs w:val="30"/>
        </w:rPr>
        <w:t>国家</w:t>
      </w:r>
      <w:r>
        <w:rPr>
          <w:rFonts w:hint="eastAsia" w:eastAsia="仿宋_GB2312"/>
          <w:bCs/>
          <w:sz w:val="32"/>
          <w:szCs w:val="32"/>
        </w:rPr>
        <w:t>药品监督管理局</w:t>
      </w:r>
      <w:r>
        <w:rPr>
          <w:rFonts w:hint="eastAsia" w:eastAsia="仿宋_GB2312"/>
          <w:sz w:val="32"/>
          <w:szCs w:val="30"/>
        </w:rPr>
        <w:t>.</w:t>
      </w:r>
      <w:r>
        <w:rPr>
          <w:rFonts w:eastAsia="仿宋_GB2312"/>
          <w:sz w:val="32"/>
          <w:szCs w:val="28"/>
          <w:lang w:bidi="ar"/>
        </w:rPr>
        <w:t>体外诊断试剂分类目录:</w:t>
      </w:r>
      <w:r>
        <w:rPr>
          <w:rFonts w:hint="eastAsia" w:eastAsia="仿宋_GB2312"/>
          <w:sz w:val="32"/>
          <w:szCs w:val="30"/>
        </w:rPr>
        <w:t>国家</w:t>
      </w:r>
      <w:r>
        <w:rPr>
          <w:rFonts w:hint="eastAsia" w:eastAsia="仿宋_GB2312"/>
          <w:bCs/>
          <w:sz w:val="32"/>
          <w:szCs w:val="32"/>
        </w:rPr>
        <w:t>药品监督管理局</w:t>
      </w:r>
      <w:r>
        <w:rPr>
          <w:rFonts w:hint="eastAsia" w:eastAsia="仿宋_GB2312"/>
          <w:sz w:val="32"/>
          <w:szCs w:val="28"/>
          <w:lang w:bidi="ar"/>
        </w:rPr>
        <w:t>通告2024年第58号</w:t>
      </w:r>
      <w:r>
        <w:rPr>
          <w:rFonts w:eastAsia="仿宋_GB2312"/>
          <w:sz w:val="32"/>
          <w:szCs w:val="30"/>
          <w:lang w:bidi="ar"/>
        </w:rPr>
        <w:t>[Z].</w:t>
      </w:r>
    </w:p>
    <w:p w14:paraId="3A5E94A8">
      <w:pPr>
        <w:numPr>
          <w:ilvl w:val="0"/>
          <w:numId w:val="2"/>
        </w:numPr>
        <w:tabs>
          <w:tab w:val="left" w:pos="360"/>
          <w:tab w:val="left" w:pos="952"/>
          <w:tab w:val="left" w:pos="1078"/>
          <w:tab w:val="left" w:pos="1140"/>
        </w:tabs>
        <w:autoSpaceDE w:val="0"/>
        <w:autoSpaceDN w:val="0"/>
        <w:adjustRightInd w:val="0"/>
        <w:spacing w:line="520" w:lineRule="exact"/>
        <w:ind w:left="-10" w:firstLine="640"/>
        <w:rPr>
          <w:rFonts w:eastAsia="仿宋_GB2312"/>
          <w:szCs w:val="32"/>
        </w:rPr>
      </w:pPr>
      <w:r>
        <w:rPr>
          <w:rFonts w:hint="eastAsia" w:eastAsia="仿宋_GB2312"/>
          <w:sz w:val="32"/>
          <w:szCs w:val="32"/>
        </w:rPr>
        <w:t>国家药品监督管理局.体外诊断试剂安全和性能基本原则清单:国家药监局公告2021年第122号[Z].</w:t>
      </w:r>
    </w:p>
    <w:p w14:paraId="5A174E04">
      <w:pPr>
        <w:numPr>
          <w:ilvl w:val="0"/>
          <w:numId w:val="2"/>
        </w:numPr>
        <w:tabs>
          <w:tab w:val="left" w:pos="360"/>
          <w:tab w:val="left" w:pos="952"/>
          <w:tab w:val="left" w:pos="1078"/>
          <w:tab w:val="left" w:pos="1140"/>
        </w:tabs>
        <w:autoSpaceDE w:val="0"/>
        <w:autoSpaceDN w:val="0"/>
        <w:adjustRightInd w:val="0"/>
        <w:spacing w:line="520" w:lineRule="exact"/>
        <w:ind w:left="-10" w:firstLine="640"/>
        <w:rPr>
          <w:rFonts w:eastAsia="仿宋_GB2312"/>
          <w:sz w:val="32"/>
          <w:szCs w:val="30"/>
        </w:rPr>
      </w:pPr>
      <w:r>
        <w:rPr>
          <w:rFonts w:hint="eastAsia" w:eastAsia="仿宋_GB2312" w:cs="仿宋_GB2312"/>
          <w:sz w:val="32"/>
          <w:szCs w:val="32"/>
          <w:lang w:bidi="ar"/>
        </w:rPr>
        <w:t>国家药品监督管理局</w:t>
      </w:r>
      <w:r>
        <w:rPr>
          <w:rFonts w:eastAsia="仿宋_GB2312"/>
          <w:sz w:val="32"/>
          <w:szCs w:val="32"/>
          <w:lang w:bidi="ar"/>
        </w:rPr>
        <w:t>.</w:t>
      </w:r>
      <w:r>
        <w:rPr>
          <w:rFonts w:hint="eastAsia" w:eastAsia="仿宋_GB2312" w:cs="仿宋_GB2312"/>
          <w:sz w:val="32"/>
          <w:szCs w:val="32"/>
          <w:lang w:bidi="ar"/>
        </w:rPr>
        <w:t>医疗器械注册自检管理规定</w:t>
      </w:r>
      <w:r>
        <w:rPr>
          <w:rFonts w:eastAsia="仿宋_GB2312"/>
          <w:kern w:val="0"/>
          <w:sz w:val="32"/>
          <w:szCs w:val="32"/>
          <w:lang w:bidi="ar"/>
        </w:rPr>
        <w:t>:</w:t>
      </w:r>
      <w:r>
        <w:rPr>
          <w:rFonts w:hint="eastAsia" w:eastAsia="仿宋_GB2312" w:cs="仿宋_GB2312"/>
          <w:sz w:val="32"/>
          <w:szCs w:val="32"/>
          <w:lang w:bidi="ar"/>
        </w:rPr>
        <w:t>国家药监局公告</w:t>
      </w:r>
      <w:r>
        <w:rPr>
          <w:rFonts w:eastAsia="仿宋_GB2312"/>
          <w:sz w:val="32"/>
          <w:szCs w:val="32"/>
          <w:lang w:bidi="ar"/>
        </w:rPr>
        <w:t>2021</w:t>
      </w:r>
      <w:r>
        <w:rPr>
          <w:rFonts w:hint="eastAsia" w:eastAsia="仿宋_GB2312" w:cs="仿宋_GB2312"/>
          <w:sz w:val="32"/>
          <w:szCs w:val="32"/>
          <w:lang w:bidi="ar"/>
        </w:rPr>
        <w:t>年第</w:t>
      </w:r>
      <w:r>
        <w:rPr>
          <w:rFonts w:eastAsia="仿宋_GB2312"/>
          <w:sz w:val="32"/>
          <w:szCs w:val="32"/>
          <w:lang w:bidi="ar"/>
        </w:rPr>
        <w:t>126</w:t>
      </w:r>
      <w:r>
        <w:rPr>
          <w:rFonts w:hint="eastAsia" w:eastAsia="仿宋_GB2312" w:cs="仿宋_GB2312"/>
          <w:sz w:val="32"/>
          <w:szCs w:val="32"/>
          <w:lang w:bidi="ar"/>
        </w:rPr>
        <w:t>号</w:t>
      </w:r>
      <w:r>
        <w:rPr>
          <w:rFonts w:eastAsia="仿宋_GB2312"/>
          <w:sz w:val="32"/>
          <w:szCs w:val="32"/>
          <w:lang w:bidi="ar"/>
        </w:rPr>
        <w:t>[Z].</w:t>
      </w:r>
    </w:p>
    <w:p w14:paraId="528F718D">
      <w:pPr>
        <w:numPr>
          <w:ilvl w:val="0"/>
          <w:numId w:val="2"/>
        </w:numPr>
        <w:tabs>
          <w:tab w:val="left" w:pos="360"/>
          <w:tab w:val="left" w:pos="952"/>
          <w:tab w:val="left" w:pos="1078"/>
          <w:tab w:val="left" w:pos="1140"/>
        </w:tabs>
        <w:autoSpaceDE w:val="0"/>
        <w:autoSpaceDN w:val="0"/>
        <w:adjustRightInd w:val="0"/>
        <w:spacing w:line="520" w:lineRule="exact"/>
        <w:ind w:left="-10" w:firstLine="640"/>
        <w:rPr>
          <w:rFonts w:eastAsia="仿宋_GB2312"/>
          <w:sz w:val="32"/>
          <w:szCs w:val="30"/>
        </w:rPr>
      </w:pPr>
      <w:r>
        <w:rPr>
          <w:rFonts w:hint="eastAsia" w:eastAsia="仿宋_GB2312"/>
          <w:sz w:val="32"/>
          <w:szCs w:val="30"/>
        </w:rPr>
        <w:t>国家</w:t>
      </w:r>
      <w:r>
        <w:rPr>
          <w:rFonts w:hint="eastAsia" w:eastAsia="仿宋_GB2312"/>
          <w:bCs/>
          <w:sz w:val="32"/>
          <w:szCs w:val="32"/>
        </w:rPr>
        <w:t>药品监督管理局.</w:t>
      </w:r>
      <w:r>
        <w:rPr>
          <w:rFonts w:eastAsia="仿宋_GB2312"/>
          <w:sz w:val="32"/>
          <w:szCs w:val="32"/>
        </w:rPr>
        <w:t>免于临床试验体外诊断试剂目录</w:t>
      </w:r>
      <w:r>
        <w:rPr>
          <w:rFonts w:hint="eastAsia" w:eastAsia="仿宋_GB2312"/>
          <w:sz w:val="32"/>
          <w:szCs w:val="32"/>
        </w:rPr>
        <w:t>:国家药品监督管理局通告2021年第70号</w:t>
      </w:r>
      <w:r>
        <w:rPr>
          <w:rFonts w:eastAsia="仿宋_GB2312"/>
          <w:sz w:val="32"/>
          <w:szCs w:val="30"/>
        </w:rPr>
        <w:t>[Z].</w:t>
      </w:r>
    </w:p>
    <w:p w14:paraId="166B6A76">
      <w:pPr>
        <w:numPr>
          <w:ilvl w:val="0"/>
          <w:numId w:val="2"/>
        </w:numPr>
        <w:tabs>
          <w:tab w:val="left" w:pos="360"/>
          <w:tab w:val="left" w:pos="952"/>
          <w:tab w:val="left" w:pos="1078"/>
          <w:tab w:val="left" w:pos="1140"/>
        </w:tabs>
        <w:autoSpaceDE w:val="0"/>
        <w:autoSpaceDN w:val="0"/>
        <w:adjustRightInd w:val="0"/>
        <w:spacing w:line="520" w:lineRule="exact"/>
        <w:ind w:left="-10" w:firstLine="640"/>
        <w:rPr>
          <w:rFonts w:eastAsia="仿宋_GB2312"/>
          <w:sz w:val="32"/>
          <w:szCs w:val="32"/>
        </w:rPr>
      </w:pPr>
      <w:r>
        <w:rPr>
          <w:rFonts w:hint="eastAsia" w:eastAsia="仿宋_GB2312"/>
          <w:sz w:val="32"/>
          <w:szCs w:val="30"/>
        </w:rPr>
        <w:t>国家</w:t>
      </w:r>
      <w:r>
        <w:rPr>
          <w:rFonts w:hint="eastAsia" w:eastAsia="仿宋_GB2312"/>
          <w:bCs/>
          <w:sz w:val="32"/>
          <w:szCs w:val="32"/>
        </w:rPr>
        <w:t>药品监督管理局.</w:t>
      </w:r>
      <w:r>
        <w:rPr>
          <w:rFonts w:eastAsia="仿宋_GB2312"/>
          <w:sz w:val="32"/>
          <w:szCs w:val="32"/>
        </w:rPr>
        <w:t>免于临床试验的体外诊断试剂临床评价技术指导原则</w:t>
      </w:r>
      <w:r>
        <w:rPr>
          <w:rFonts w:hint="eastAsia" w:eastAsia="仿宋_GB2312"/>
          <w:sz w:val="32"/>
          <w:szCs w:val="32"/>
        </w:rPr>
        <w:t>:国家药品监督管理局通告2021年第74号</w:t>
      </w:r>
      <w:r>
        <w:rPr>
          <w:rFonts w:eastAsia="仿宋_GB2312"/>
          <w:sz w:val="32"/>
          <w:szCs w:val="30"/>
        </w:rPr>
        <w:t>[Z].</w:t>
      </w:r>
    </w:p>
    <w:p w14:paraId="1A37089A">
      <w:pPr>
        <w:numPr>
          <w:ilvl w:val="0"/>
          <w:numId w:val="2"/>
        </w:numPr>
        <w:tabs>
          <w:tab w:val="left" w:pos="360"/>
          <w:tab w:val="left" w:pos="952"/>
          <w:tab w:val="left" w:pos="1078"/>
          <w:tab w:val="left" w:pos="1140"/>
        </w:tabs>
        <w:autoSpaceDE w:val="0"/>
        <w:autoSpaceDN w:val="0"/>
        <w:adjustRightInd w:val="0"/>
        <w:spacing w:line="520" w:lineRule="exact"/>
        <w:ind w:left="-10" w:firstLine="640"/>
        <w:rPr>
          <w:rFonts w:eastAsia="仿宋_GB2312"/>
          <w:sz w:val="32"/>
          <w:szCs w:val="32"/>
        </w:rPr>
      </w:pPr>
      <w:r>
        <w:rPr>
          <w:rFonts w:hint="eastAsia" w:eastAsia="仿宋_GB2312"/>
          <w:sz w:val="32"/>
          <w:szCs w:val="32"/>
        </w:rPr>
        <w:t>国家药品监督管理局.体</w:t>
      </w:r>
      <w:r>
        <w:rPr>
          <w:rFonts w:eastAsia="仿宋_GB2312"/>
          <w:sz w:val="32"/>
          <w:szCs w:val="32"/>
        </w:rPr>
        <w:t>外诊断试剂临床试验技术指导原则</w:t>
      </w:r>
      <w:r>
        <w:rPr>
          <w:rFonts w:hint="eastAsia" w:eastAsia="仿宋_GB2312"/>
          <w:sz w:val="32"/>
          <w:szCs w:val="32"/>
        </w:rPr>
        <w:t>:国家药监局通告2021年第72号[Z].</w:t>
      </w:r>
    </w:p>
    <w:p w14:paraId="63FBF7BF">
      <w:pPr>
        <w:numPr>
          <w:ilvl w:val="0"/>
          <w:numId w:val="2"/>
        </w:numPr>
        <w:tabs>
          <w:tab w:val="left" w:pos="360"/>
          <w:tab w:val="left" w:pos="952"/>
          <w:tab w:val="left" w:pos="1078"/>
          <w:tab w:val="left" w:pos="1140"/>
        </w:tabs>
        <w:autoSpaceDE w:val="0"/>
        <w:autoSpaceDN w:val="0"/>
        <w:adjustRightInd w:val="0"/>
        <w:spacing w:line="520" w:lineRule="exact"/>
        <w:ind w:left="-10" w:firstLine="640"/>
        <w:rPr>
          <w:rFonts w:eastAsia="仿宋_GB2312"/>
        </w:rPr>
      </w:pPr>
      <w:r>
        <w:rPr>
          <w:rFonts w:hint="eastAsia" w:eastAsia="仿宋_GB2312"/>
          <w:sz w:val="32"/>
          <w:szCs w:val="32"/>
        </w:rPr>
        <w:t>国家药品监督管理局医疗器械审评中心.定量检测体外诊断试剂分析性能评估注册审查指导原则:国家药监局器审中心通告2022年第32号</w:t>
      </w:r>
      <w:r>
        <w:rPr>
          <w:rFonts w:eastAsia="仿宋_GB2312"/>
          <w:sz w:val="32"/>
          <w:szCs w:val="32"/>
        </w:rPr>
        <w:t>[Z]</w:t>
      </w:r>
      <w:r>
        <w:rPr>
          <w:rFonts w:hint="eastAsia" w:eastAsia="仿宋_GB2312"/>
          <w:sz w:val="32"/>
          <w:szCs w:val="32"/>
        </w:rPr>
        <w:t>.</w:t>
      </w:r>
    </w:p>
    <w:p w14:paraId="460648A0">
      <w:pPr>
        <w:numPr>
          <w:ilvl w:val="0"/>
          <w:numId w:val="2"/>
        </w:numPr>
        <w:tabs>
          <w:tab w:val="left" w:pos="360"/>
          <w:tab w:val="left" w:pos="952"/>
          <w:tab w:val="left" w:pos="1078"/>
          <w:tab w:val="left" w:pos="1140"/>
        </w:tabs>
        <w:autoSpaceDE w:val="0"/>
        <w:autoSpaceDN w:val="0"/>
        <w:adjustRightInd w:val="0"/>
        <w:spacing w:line="520" w:lineRule="exact"/>
        <w:ind w:left="-10" w:firstLine="640"/>
        <w:rPr>
          <w:rFonts w:eastAsia="仿宋_GB2312"/>
        </w:rPr>
      </w:pPr>
      <w:r>
        <w:rPr>
          <w:rFonts w:hint="eastAsia" w:eastAsia="仿宋_GB2312"/>
          <w:sz w:val="32"/>
          <w:szCs w:val="32"/>
        </w:rPr>
        <w:t>国家药品监督管理局医疗器械审评中心.</w:t>
      </w:r>
      <w:r>
        <w:rPr>
          <w:rFonts w:hint="eastAsia" w:eastAsia="仿宋_GB2312"/>
          <w:color w:val="000000"/>
          <w:kern w:val="0"/>
          <w:sz w:val="32"/>
          <w:szCs w:val="32"/>
        </w:rPr>
        <w:t>体外诊断试剂稳定性研究注册审查指导原则</w:t>
      </w:r>
      <w:r>
        <w:rPr>
          <w:rFonts w:hint="eastAsia" w:eastAsia="仿宋_GB2312"/>
          <w:sz w:val="32"/>
          <w:szCs w:val="32"/>
        </w:rPr>
        <w:t>:国家药监局器审中心通告</w:t>
      </w:r>
      <w:r>
        <w:rPr>
          <w:rFonts w:hint="eastAsia" w:eastAsia="仿宋_GB2312"/>
          <w:color w:val="000000"/>
          <w:kern w:val="0"/>
          <w:sz w:val="32"/>
          <w:szCs w:val="32"/>
        </w:rPr>
        <w:t>2025年第4号</w:t>
      </w:r>
      <w:r>
        <w:rPr>
          <w:rFonts w:eastAsia="仿宋_GB2312"/>
          <w:sz w:val="32"/>
          <w:szCs w:val="32"/>
        </w:rPr>
        <w:t>[Z]</w:t>
      </w:r>
      <w:r>
        <w:rPr>
          <w:rFonts w:hint="eastAsia" w:eastAsia="仿宋_GB2312"/>
          <w:sz w:val="32"/>
          <w:szCs w:val="32"/>
        </w:rPr>
        <w:t>.</w:t>
      </w:r>
    </w:p>
    <w:p w14:paraId="1D4B1723">
      <w:pPr>
        <w:numPr>
          <w:ilvl w:val="0"/>
          <w:numId w:val="2"/>
        </w:numPr>
        <w:tabs>
          <w:tab w:val="left" w:pos="360"/>
          <w:tab w:val="left" w:pos="952"/>
          <w:tab w:val="left" w:pos="1078"/>
          <w:tab w:val="left" w:pos="1140"/>
        </w:tabs>
        <w:autoSpaceDE w:val="0"/>
        <w:autoSpaceDN w:val="0"/>
        <w:adjustRightInd w:val="0"/>
        <w:spacing w:line="520" w:lineRule="exact"/>
        <w:ind w:left="-10" w:firstLine="640"/>
        <w:rPr>
          <w:rFonts w:eastAsia="仿宋_GB2312"/>
          <w:sz w:val="32"/>
          <w:szCs w:val="32"/>
        </w:rPr>
      </w:pPr>
      <w:r>
        <w:rPr>
          <w:rFonts w:hint="eastAsia" w:eastAsia="仿宋_GB2312"/>
          <w:sz w:val="32"/>
          <w:szCs w:val="32"/>
        </w:rPr>
        <w:t>国家药品监督管理局医疗器械审评中心.体外诊断试剂参考区间确定注册审查指导原则:国家药监局器审中心通告2022年第36号[Z].</w:t>
      </w:r>
    </w:p>
    <w:p w14:paraId="647AA51E">
      <w:pPr>
        <w:numPr>
          <w:ilvl w:val="0"/>
          <w:numId w:val="2"/>
        </w:numPr>
        <w:tabs>
          <w:tab w:val="left" w:pos="360"/>
          <w:tab w:val="left" w:pos="952"/>
          <w:tab w:val="left" w:pos="1078"/>
          <w:tab w:val="left" w:pos="1140"/>
        </w:tabs>
        <w:autoSpaceDE w:val="0"/>
        <w:autoSpaceDN w:val="0"/>
        <w:adjustRightInd w:val="0"/>
        <w:spacing w:line="520" w:lineRule="exact"/>
        <w:ind w:left="-10" w:firstLine="640"/>
        <w:rPr>
          <w:rFonts w:eastAsia="仿宋_GB2312"/>
          <w:szCs w:val="32"/>
        </w:rPr>
      </w:pPr>
      <w:r>
        <w:rPr>
          <w:rFonts w:hint="eastAsia" w:eastAsia="仿宋_GB2312"/>
          <w:sz w:val="32"/>
          <w:szCs w:val="32"/>
        </w:rPr>
        <w:t>国家药品监督管理局.医疗器械产品技术要求编写指导原则:国家药监局公告2022年第8号[Z].</w:t>
      </w:r>
    </w:p>
    <w:p w14:paraId="5AAB8A5B">
      <w:pPr>
        <w:numPr>
          <w:ilvl w:val="0"/>
          <w:numId w:val="2"/>
        </w:numPr>
        <w:tabs>
          <w:tab w:val="left" w:pos="360"/>
          <w:tab w:val="left" w:pos="952"/>
          <w:tab w:val="left" w:pos="1078"/>
          <w:tab w:val="left" w:pos="1140"/>
        </w:tabs>
        <w:autoSpaceDE w:val="0"/>
        <w:autoSpaceDN w:val="0"/>
        <w:adjustRightInd w:val="0"/>
        <w:spacing w:line="520" w:lineRule="exact"/>
        <w:ind w:left="-10" w:firstLine="640"/>
      </w:pPr>
      <w:r>
        <w:rPr>
          <w:rFonts w:hint="eastAsia" w:eastAsia="仿宋_GB2312"/>
          <w:sz w:val="32"/>
          <w:szCs w:val="32"/>
        </w:rPr>
        <w:t>GB/T 42062-2022,医疗器械风险管理对医疗器械的应用[S].</w:t>
      </w:r>
    </w:p>
    <w:p w14:paraId="43AF106E">
      <w:pPr>
        <w:numPr>
          <w:ilvl w:val="0"/>
          <w:numId w:val="2"/>
        </w:numPr>
        <w:tabs>
          <w:tab w:val="left" w:pos="360"/>
          <w:tab w:val="left" w:pos="952"/>
          <w:tab w:val="left" w:pos="1078"/>
          <w:tab w:val="left" w:pos="1140"/>
        </w:tabs>
        <w:autoSpaceDE w:val="0"/>
        <w:autoSpaceDN w:val="0"/>
        <w:adjustRightInd w:val="0"/>
        <w:spacing w:line="520" w:lineRule="exact"/>
        <w:ind w:left="-10" w:firstLine="640"/>
        <w:rPr>
          <w:rFonts w:eastAsia="仿宋_GB2312"/>
          <w:sz w:val="32"/>
          <w:szCs w:val="32"/>
        </w:rPr>
      </w:pPr>
      <w:r>
        <w:rPr>
          <w:rFonts w:eastAsia="仿宋_GB2312"/>
          <w:sz w:val="32"/>
          <w:szCs w:val="32"/>
        </w:rPr>
        <w:t>YY/T 1523</w:t>
      </w:r>
      <w:r>
        <w:rPr>
          <w:rFonts w:hint="eastAsia" w:eastAsia="仿宋_GB2312"/>
          <w:sz w:val="32"/>
          <w:szCs w:val="32"/>
        </w:rPr>
        <w:t>-2017,</w:t>
      </w:r>
      <w:r>
        <w:rPr>
          <w:rFonts w:eastAsia="仿宋_GB2312"/>
          <w:sz w:val="32"/>
          <w:szCs w:val="32"/>
        </w:rPr>
        <w:t>二氧化碳测定试剂盒（PEPC酶法）[S].</w:t>
      </w:r>
    </w:p>
    <w:p w14:paraId="5FAFDFB6">
      <w:pPr>
        <w:numPr>
          <w:ilvl w:val="0"/>
          <w:numId w:val="2"/>
        </w:numPr>
        <w:tabs>
          <w:tab w:val="left" w:pos="360"/>
          <w:tab w:val="left" w:pos="952"/>
          <w:tab w:val="left" w:pos="1078"/>
          <w:tab w:val="left" w:pos="1140"/>
        </w:tabs>
        <w:autoSpaceDE w:val="0"/>
        <w:autoSpaceDN w:val="0"/>
        <w:adjustRightInd w:val="0"/>
        <w:spacing w:line="520" w:lineRule="exact"/>
        <w:ind w:left="-10" w:firstLine="640"/>
        <w:rPr>
          <w:rFonts w:eastAsia="仿宋_GB2312"/>
          <w:sz w:val="32"/>
          <w:szCs w:val="32"/>
        </w:rPr>
      </w:pPr>
      <w:r>
        <w:rPr>
          <w:rFonts w:eastAsia="仿宋_GB2312"/>
          <w:sz w:val="32"/>
          <w:szCs w:val="32"/>
          <w:lang w:bidi="ar"/>
        </w:rPr>
        <w:t>GB/T 26124-2011,</w:t>
      </w:r>
      <w:r>
        <w:rPr>
          <w:rFonts w:hint="eastAsia" w:eastAsia="仿宋_GB2312"/>
          <w:sz w:val="32"/>
          <w:szCs w:val="32"/>
          <w:lang w:bidi="ar"/>
        </w:rPr>
        <w:t>临床化学体外诊断试剂盒</w:t>
      </w:r>
      <w:r>
        <w:rPr>
          <w:rFonts w:eastAsia="仿宋_GB2312"/>
          <w:sz w:val="32"/>
          <w:szCs w:val="32"/>
          <w:lang w:bidi="ar"/>
        </w:rPr>
        <w:t>[S].</w:t>
      </w:r>
    </w:p>
    <w:p w14:paraId="6E7F1B3A">
      <w:pPr>
        <w:numPr>
          <w:ilvl w:val="0"/>
          <w:numId w:val="2"/>
        </w:numPr>
        <w:tabs>
          <w:tab w:val="left" w:pos="360"/>
          <w:tab w:val="left" w:pos="952"/>
          <w:tab w:val="left" w:pos="1078"/>
          <w:tab w:val="left" w:pos="1140"/>
        </w:tabs>
        <w:autoSpaceDE w:val="0"/>
        <w:autoSpaceDN w:val="0"/>
        <w:adjustRightInd w:val="0"/>
        <w:spacing w:line="520" w:lineRule="exact"/>
        <w:ind w:left="-10" w:firstLine="640"/>
        <w:rPr>
          <w:rFonts w:eastAsia="仿宋_GB2312"/>
          <w:sz w:val="32"/>
          <w:szCs w:val="32"/>
        </w:rPr>
      </w:pPr>
      <w:r>
        <w:rPr>
          <w:rFonts w:eastAsia="仿宋_GB2312"/>
          <w:sz w:val="32"/>
          <w:szCs w:val="30"/>
          <w:lang w:bidi="ar"/>
        </w:rPr>
        <w:t>GB/T 21415-2008,</w:t>
      </w:r>
      <w:r>
        <w:rPr>
          <w:rFonts w:hint="eastAsia" w:eastAsia="仿宋_GB2312"/>
          <w:sz w:val="32"/>
          <w:szCs w:val="30"/>
          <w:lang w:bidi="ar"/>
        </w:rPr>
        <w:t>体外诊断医疗器械生物样品中量的测量校准品和控制物质赋值的计量学溯源性</w:t>
      </w:r>
      <w:r>
        <w:rPr>
          <w:rFonts w:eastAsia="仿宋_GB2312"/>
          <w:sz w:val="32"/>
          <w:szCs w:val="30"/>
          <w:lang w:bidi="ar"/>
        </w:rPr>
        <w:t>[S].</w:t>
      </w:r>
    </w:p>
    <w:p w14:paraId="3BF2874A">
      <w:pPr>
        <w:numPr>
          <w:ilvl w:val="0"/>
          <w:numId w:val="2"/>
        </w:numPr>
        <w:tabs>
          <w:tab w:val="left" w:pos="360"/>
          <w:tab w:val="left" w:pos="952"/>
          <w:tab w:val="left" w:pos="1078"/>
          <w:tab w:val="left" w:pos="1140"/>
        </w:tabs>
        <w:autoSpaceDE w:val="0"/>
        <w:autoSpaceDN w:val="0"/>
        <w:adjustRightInd w:val="0"/>
        <w:spacing w:line="520" w:lineRule="exact"/>
        <w:ind w:left="-10" w:firstLine="640"/>
        <w:rPr>
          <w:rFonts w:eastAsia="仿宋_GB2312"/>
          <w:sz w:val="32"/>
          <w:szCs w:val="32"/>
        </w:rPr>
      </w:pPr>
      <w:r>
        <w:rPr>
          <w:rFonts w:eastAsia="仿宋_GB2312"/>
          <w:sz w:val="32"/>
          <w:szCs w:val="30"/>
          <w:lang w:bidi="ar"/>
        </w:rPr>
        <w:t>YY/T 1549-2024,</w:t>
      </w:r>
      <w:r>
        <w:rPr>
          <w:rFonts w:hint="eastAsia" w:eastAsia="仿宋_GB2312"/>
          <w:sz w:val="32"/>
          <w:szCs w:val="30"/>
          <w:lang w:bidi="ar"/>
        </w:rPr>
        <w:t>生化分析仪用校准物</w:t>
      </w:r>
      <w:r>
        <w:rPr>
          <w:rFonts w:eastAsia="仿宋_GB2312"/>
          <w:sz w:val="32"/>
          <w:szCs w:val="30"/>
          <w:lang w:bidi="ar"/>
        </w:rPr>
        <w:t>[S].</w:t>
      </w:r>
    </w:p>
    <w:p w14:paraId="62CD4AEE">
      <w:pPr>
        <w:numPr>
          <w:ilvl w:val="0"/>
          <w:numId w:val="2"/>
        </w:numPr>
        <w:tabs>
          <w:tab w:val="left" w:pos="360"/>
          <w:tab w:val="left" w:pos="952"/>
          <w:tab w:val="left" w:pos="1078"/>
          <w:tab w:val="left" w:pos="1140"/>
        </w:tabs>
        <w:autoSpaceDE w:val="0"/>
        <w:autoSpaceDN w:val="0"/>
        <w:adjustRightInd w:val="0"/>
        <w:spacing w:line="520" w:lineRule="exact"/>
        <w:ind w:left="-10" w:firstLine="640"/>
        <w:rPr>
          <w:rFonts w:eastAsia="仿宋_GB2312"/>
          <w:sz w:val="32"/>
          <w:szCs w:val="32"/>
        </w:rPr>
      </w:pPr>
      <w:r>
        <w:rPr>
          <w:rFonts w:eastAsia="仿宋_GB2312"/>
          <w:sz w:val="32"/>
          <w:szCs w:val="30"/>
          <w:lang w:bidi="ar"/>
        </w:rPr>
        <w:t>YY/T 1662-2019,</w:t>
      </w:r>
      <w:r>
        <w:rPr>
          <w:rFonts w:hint="eastAsia" w:eastAsia="仿宋_GB2312"/>
          <w:sz w:val="32"/>
          <w:szCs w:val="30"/>
          <w:lang w:bidi="ar"/>
        </w:rPr>
        <w:t>生化分析仪用质控物</w:t>
      </w:r>
      <w:r>
        <w:rPr>
          <w:rFonts w:eastAsia="仿宋_GB2312"/>
          <w:sz w:val="32"/>
          <w:szCs w:val="30"/>
          <w:lang w:bidi="ar"/>
        </w:rPr>
        <w:t>[S].</w:t>
      </w:r>
    </w:p>
    <w:p w14:paraId="28DDB350">
      <w:pPr>
        <w:numPr>
          <w:ilvl w:val="0"/>
          <w:numId w:val="2"/>
        </w:numPr>
        <w:tabs>
          <w:tab w:val="left" w:pos="360"/>
          <w:tab w:val="left" w:pos="952"/>
          <w:tab w:val="left" w:pos="1078"/>
          <w:tab w:val="left" w:pos="1140"/>
        </w:tabs>
        <w:autoSpaceDE w:val="0"/>
        <w:autoSpaceDN w:val="0"/>
        <w:adjustRightInd w:val="0"/>
        <w:spacing w:line="520" w:lineRule="exact"/>
        <w:ind w:left="-10" w:firstLine="640"/>
        <w:rPr>
          <w:rFonts w:eastAsia="仿宋_GB2312"/>
          <w:sz w:val="32"/>
          <w:szCs w:val="32"/>
        </w:rPr>
      </w:pPr>
      <w:r>
        <w:rPr>
          <w:rFonts w:hint="eastAsia" w:eastAsia="仿宋_GB2312"/>
          <w:sz w:val="32"/>
          <w:szCs w:val="32"/>
          <w:lang w:bidi="ar"/>
        </w:rPr>
        <w:t>尚红</w:t>
      </w:r>
      <w:r>
        <w:rPr>
          <w:rFonts w:eastAsia="仿宋_GB2312"/>
          <w:sz w:val="32"/>
          <w:szCs w:val="32"/>
          <w:lang w:bidi="ar"/>
        </w:rPr>
        <w:t>,</w:t>
      </w:r>
      <w:r>
        <w:rPr>
          <w:rFonts w:hint="eastAsia" w:eastAsia="仿宋_GB2312"/>
          <w:sz w:val="32"/>
          <w:szCs w:val="32"/>
          <w:lang w:bidi="ar"/>
        </w:rPr>
        <w:t>王毓三</w:t>
      </w:r>
      <w:r>
        <w:rPr>
          <w:rFonts w:eastAsia="仿宋_GB2312"/>
          <w:sz w:val="32"/>
          <w:szCs w:val="32"/>
          <w:lang w:bidi="ar"/>
        </w:rPr>
        <w:t>,</w:t>
      </w:r>
      <w:r>
        <w:rPr>
          <w:rFonts w:hint="eastAsia" w:eastAsia="仿宋_GB2312"/>
          <w:sz w:val="32"/>
          <w:szCs w:val="32"/>
          <w:lang w:bidi="ar"/>
        </w:rPr>
        <w:t>申子瑜</w:t>
      </w:r>
      <w:r>
        <w:rPr>
          <w:rFonts w:eastAsia="仿宋_GB2312"/>
          <w:sz w:val="32"/>
          <w:szCs w:val="32"/>
          <w:lang w:bidi="ar"/>
        </w:rPr>
        <w:t>.</w:t>
      </w:r>
      <w:r>
        <w:rPr>
          <w:rFonts w:hint="eastAsia" w:eastAsia="仿宋_GB2312"/>
          <w:sz w:val="32"/>
          <w:szCs w:val="32"/>
          <w:lang w:bidi="ar"/>
        </w:rPr>
        <w:t>全国临床检验操作规程（第</w:t>
      </w:r>
      <w:r>
        <w:rPr>
          <w:rFonts w:eastAsia="仿宋_GB2312"/>
          <w:sz w:val="32"/>
          <w:szCs w:val="32"/>
          <w:lang w:bidi="ar"/>
        </w:rPr>
        <w:t>4</w:t>
      </w:r>
      <w:r>
        <w:rPr>
          <w:rFonts w:hint="eastAsia" w:eastAsia="仿宋_GB2312"/>
          <w:sz w:val="32"/>
          <w:szCs w:val="32"/>
          <w:lang w:bidi="ar"/>
        </w:rPr>
        <w:t>版）</w:t>
      </w:r>
      <w:r>
        <w:rPr>
          <w:rFonts w:eastAsia="仿宋_GB2312"/>
          <w:sz w:val="32"/>
          <w:szCs w:val="32"/>
          <w:lang w:bidi="ar"/>
        </w:rPr>
        <w:t>[M].</w:t>
      </w:r>
      <w:r>
        <w:rPr>
          <w:rFonts w:hint="eastAsia" w:eastAsia="仿宋_GB2312"/>
          <w:sz w:val="32"/>
          <w:szCs w:val="32"/>
          <w:lang w:bidi="ar"/>
        </w:rPr>
        <w:t>北京</w:t>
      </w:r>
      <w:r>
        <w:rPr>
          <w:rFonts w:eastAsia="仿宋_GB2312"/>
          <w:sz w:val="32"/>
          <w:szCs w:val="32"/>
          <w:lang w:bidi="ar"/>
        </w:rPr>
        <w:t>:</w:t>
      </w:r>
      <w:r>
        <w:rPr>
          <w:rFonts w:hint="eastAsia" w:eastAsia="仿宋_GB2312"/>
          <w:sz w:val="32"/>
          <w:szCs w:val="32"/>
          <w:lang w:bidi="ar"/>
        </w:rPr>
        <w:t>人民卫生出版社</w:t>
      </w:r>
      <w:r>
        <w:rPr>
          <w:rFonts w:eastAsia="仿宋_GB2312"/>
          <w:sz w:val="32"/>
          <w:szCs w:val="32"/>
          <w:lang w:bidi="ar"/>
        </w:rPr>
        <w:t>,2015.</w:t>
      </w:r>
    </w:p>
    <w:sectPr>
      <w:footerReference r:id="rId5" w:type="first"/>
      <w:footerReference r:id="rId3" w:type="default"/>
      <w:footerReference r:id="rId4" w:type="even"/>
      <w:pgSz w:w="11906" w:h="16838"/>
      <w:pgMar w:top="1701" w:right="1588" w:bottom="1701" w:left="1588" w:header="851" w:footer="1199"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ACCC781-E0DE-421D-8D8A-C5AD1D97A81B}"/>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Adobe 仿宋 Std R">
    <w:altName w:val="仿宋"/>
    <w:panose1 w:val="00000000000000000000"/>
    <w:charset w:val="86"/>
    <w:family w:val="auto"/>
    <w:pitch w:val="default"/>
    <w:sig w:usb0="00000000" w:usb1="00000000" w:usb2="00000016" w:usb3="00000000" w:csb0="00060007" w:csb1="00000000"/>
  </w:font>
  <w:font w:name="仿宋">
    <w:panose1 w:val="02010609060101010101"/>
    <w:charset w:val="86"/>
    <w:family w:val="auto"/>
    <w:pitch w:val="default"/>
    <w:sig w:usb0="800002BF" w:usb1="38CF7CFA" w:usb2="00000016" w:usb3="00000000" w:csb0="00040001" w:csb1="00000000"/>
    <w:embedRegular r:id="rId2" w:fontKey="{00A0223C-599E-487A-A9D6-08D8F3451C58}"/>
  </w:font>
  <w:font w:name="Arial Unicode MS">
    <w:panose1 w:val="020B0604020202020204"/>
    <w:charset w:val="86"/>
    <w:family w:val="roman"/>
    <w:pitch w:val="default"/>
    <w:sig w:usb0="FFFFFFFF" w:usb1="E9FFFFFF" w:usb2="0000003F" w:usb3="00000000" w:csb0="603F01FF" w:csb1="FFFF0000"/>
  </w:font>
  <w:font w:name="Baskerville">
    <w:altName w:val="宋体"/>
    <w:panose1 w:val="00000000000000000000"/>
    <w:charset w:val="00"/>
    <w:family w:val="roman"/>
    <w:pitch w:val="default"/>
    <w:sig w:usb0="00000000" w:usb1="00000000" w:usb2="00000000" w:usb3="00000000" w:csb0="00040001" w:csb1="00000000"/>
  </w:font>
  <w:font w:name="楷体">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embedRegular r:id="rId3" w:fontKey="{7E24B78A-522D-4BF4-8C92-0EACCEB3FC8C}"/>
  </w:font>
  <w:font w:name="楷体_GB2312">
    <w:panose1 w:val="02010609030101010101"/>
    <w:charset w:val="86"/>
    <w:family w:val="modern"/>
    <w:pitch w:val="default"/>
    <w:sig w:usb0="00000001" w:usb1="080E0000" w:usb2="00000000" w:usb3="00000000" w:csb0="00040000" w:csb1="00000000"/>
    <w:embedRegular r:id="rId4" w:fontKey="{A8CA7CA6-EDEA-48D1-949C-63CC2C75C1EA}"/>
  </w:font>
  <w:font w:name="仿宋_GB2312">
    <w:panose1 w:val="02010609030101010101"/>
    <w:charset w:val="86"/>
    <w:family w:val="modern"/>
    <w:pitch w:val="default"/>
    <w:sig w:usb0="00000001" w:usb1="080E0000" w:usb2="00000000" w:usb3="00000000" w:csb0="00040000" w:csb1="00000000"/>
    <w:embedRegular r:id="rId5" w:fontKey="{214BB18B-7339-476A-8770-A614AF4E1A9A}"/>
  </w:font>
  <w:font w:name="方正小标宋简体">
    <w:panose1 w:val="02010600010101010101"/>
    <w:charset w:val="86"/>
    <w:family w:val="script"/>
    <w:pitch w:val="default"/>
    <w:sig w:usb0="00000001" w:usb1="080E0000" w:usb2="00000000" w:usb3="00000000" w:csb0="00040000" w:csb1="00000000"/>
    <w:embedRegular r:id="rId6" w:fontKey="{3CACAEFD-F52D-416A-9A2A-56DADF552F4A}"/>
  </w:font>
  <w:font w:name="WPSEMBED73">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42D64F">
    <w:pPr>
      <w:pStyle w:val="8"/>
      <w:wordWrap w:val="0"/>
      <w:jc w:val="right"/>
    </w:pPr>
    <w:r>
      <mc:AlternateContent>
        <mc:Choice Requires="wps">
          <w:drawing>
            <wp:anchor distT="0" distB="0" distL="114300" distR="114300" simplePos="0" relativeHeight="251660288" behindDoc="0" locked="0" layoutInCell="1" allowOverlap="1">
              <wp:simplePos x="0" y="0"/>
              <wp:positionH relativeFrom="margin">
                <wp:align>left</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7552CCF">
                          <w:pPr>
                            <w:pStyle w:val="8"/>
                            <w:wordWrap w:val="0"/>
                            <w:jc w:val="right"/>
                          </w:pPr>
                          <w:r>
                            <w:rPr>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387</w:t>
                          </w:r>
                          <w:r>
                            <w:rPr>
                              <w:sz w:val="28"/>
                              <w:szCs w:val="28"/>
                            </w:rPr>
                            <w:fldChar w:fldCharType="end"/>
                          </w:r>
                          <w:r>
                            <w:rPr>
                              <w:sz w:val="28"/>
                              <w:szCs w:val="28"/>
                            </w:rPr>
                            <w:t xml:space="preserve"> —</w:t>
                          </w:r>
                        </w:p>
                      </w:txbxContent>
                    </wps:txbx>
                    <wps:bodyPr vert="horz" wrap="none" lIns="0" tIns="0" rIns="0" bIns="0" anchor="t" anchorCtr="0">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zql5uc8AAAAFAQAADwAAAAAAAAABACAAAAAiAAAA&#10;ZHJzL2Rvd25yZXYueG1sUEsBAhQAFAAAAAgAh07iQGqhodfXAQAAsgMAAA4AAAAAAAAAAQAgAAAA&#10;HgEAAGRycy9lMm9Eb2MueG1sUEsFBgAAAAAGAAYAWQEAAGcFAAAAAA==&#10;">
              <v:fill on="f" focussize="0,0"/>
              <v:stroke on="f"/>
              <v:imagedata o:title=""/>
              <o:lock v:ext="edit" aspectratio="f"/>
              <v:textbox inset="0mm,0mm,0mm,0mm" style="mso-fit-shape-to-text:t;">
                <w:txbxContent>
                  <w:p w14:paraId="77552CCF">
                    <w:pPr>
                      <w:pStyle w:val="8"/>
                      <w:wordWrap w:val="0"/>
                      <w:jc w:val="right"/>
                    </w:pPr>
                    <w:r>
                      <w:rPr>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387</w:t>
                    </w:r>
                    <w:r>
                      <w:rPr>
                        <w:sz w:val="28"/>
                        <w:szCs w:val="28"/>
                      </w:rPr>
                      <w:fldChar w:fldCharType="end"/>
                    </w:r>
                    <w:r>
                      <w:rPr>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FACC8A">
    <w:pPr>
      <w:pStyle w:val="8"/>
      <w:rPr>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left</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C43788C">
                          <w:pPr>
                            <w:pStyle w:val="8"/>
                          </w:pPr>
                          <w:r>
                            <w:rPr>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386</w:t>
                          </w:r>
                          <w:r>
                            <w:rPr>
                              <w:sz w:val="28"/>
                              <w:szCs w:val="28"/>
                            </w:rPr>
                            <w:fldChar w:fldCharType="end"/>
                          </w:r>
                          <w:r>
                            <w:rPr>
                              <w:sz w:val="28"/>
                              <w:szCs w:val="28"/>
                            </w:rPr>
                            <w:t xml:space="preserve"> —</w:t>
                          </w:r>
                        </w:p>
                      </w:txbxContent>
                    </wps:txbx>
                    <wps:bodyPr vert="horz" wrap="none" lIns="0" tIns="0" rIns="0" bIns="0" anchor="t" anchorCtr="0">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zql5uc8AAAAFAQAADwAAAAAAAAABACAAAAAiAAAA&#10;ZHJzL2Rvd25yZXYueG1sUEsBAhQAFAAAAAgAh07iQNXyo3vXAQAAsgMAAA4AAAAAAAAAAQAgAAAA&#10;HgEAAGRycy9lMm9Eb2MueG1sUEsFBgAAAAAGAAYAWQEAAGcFAAAAAA==&#10;">
              <v:fill on="f" focussize="0,0"/>
              <v:stroke on="f"/>
              <v:imagedata o:title=""/>
              <o:lock v:ext="edit" aspectratio="f"/>
              <v:textbox inset="0mm,0mm,0mm,0mm" style="mso-fit-shape-to-text:t;">
                <w:txbxContent>
                  <w:p w14:paraId="4C43788C">
                    <w:pPr>
                      <w:pStyle w:val="8"/>
                    </w:pPr>
                    <w:r>
                      <w:rPr>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386</w:t>
                    </w:r>
                    <w:r>
                      <w:rPr>
                        <w:sz w:val="28"/>
                        <w:szCs w:val="28"/>
                      </w:rPr>
                      <w:fldChar w:fldCharType="end"/>
                    </w:r>
                    <w:r>
                      <w:rPr>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1BB8A4">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BFE8800">
                          <w:pPr>
                            <w:pStyle w:val="8"/>
                          </w:pPr>
                          <w:r>
                            <w:t xml:space="preserve">— </w:t>
                          </w:r>
                          <w:r>
                            <w:fldChar w:fldCharType="begin"/>
                          </w:r>
                          <w:r>
                            <w:instrText xml:space="preserve"> PAGE  \* MERGEFORMAT </w:instrText>
                          </w:r>
                          <w:r>
                            <w:fldChar w:fldCharType="separate"/>
                          </w:r>
                          <w:r>
                            <w:t>1</w:t>
                          </w:r>
                          <w:r>
                            <w:fldChar w:fldCharType="end"/>
                          </w:r>
                          <w:r>
                            <w:t xml:space="preserve"> —</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14:paraId="2BFE8800">
                    <w:pPr>
                      <w:pStyle w:val="8"/>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p w14:paraId="38B471EC">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960755C"/>
    <w:multiLevelType w:val="singleLevel"/>
    <w:tmpl w:val="E960755C"/>
    <w:lvl w:ilvl="0" w:tentative="0">
      <w:start w:val="1"/>
      <w:numFmt w:val="chineseCounting"/>
      <w:pStyle w:val="33"/>
      <w:suff w:val="nothing"/>
      <w:lvlText w:val="%1、"/>
      <w:lvlJc w:val="left"/>
      <w:rPr>
        <w:rFonts w:hint="eastAsia"/>
      </w:rPr>
    </w:lvl>
  </w:abstractNum>
  <w:abstractNum w:abstractNumId="1">
    <w:nsid w:val="22804A3D"/>
    <w:multiLevelType w:val="multilevel"/>
    <w:tmpl w:val="22804A3D"/>
    <w:lvl w:ilvl="0" w:tentative="0">
      <w:start w:val="1"/>
      <w:numFmt w:val="decimal"/>
      <w:lvlText w:val="[%1]"/>
      <w:lvlJc w:val="left"/>
      <w:pPr>
        <w:ind w:left="1310" w:hanging="720"/>
      </w:pPr>
      <w:rPr>
        <w:rFonts w:hint="default" w:ascii="Times New Roman" w:hAnsi="Times New Roman" w:cs="Times New Roman"/>
        <w:sz w:val="32"/>
        <w:szCs w:val="32"/>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9"/>
  <w:embedTrueTypeFonts/>
  <w:saveSubset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evenAndOddHeaders w:val="1"/>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A3ZDQwMmNiOWFlYzZjYTcwOWJiZGQ0YTA5ODBmZGUifQ=="/>
  </w:docVars>
  <w:rsids>
    <w:rsidRoot w:val="00FA60C8"/>
    <w:rsid w:val="000012C4"/>
    <w:rsid w:val="000025D0"/>
    <w:rsid w:val="000035AA"/>
    <w:rsid w:val="00005927"/>
    <w:rsid w:val="00007EE5"/>
    <w:rsid w:val="00012BDF"/>
    <w:rsid w:val="00012D12"/>
    <w:rsid w:val="00013D36"/>
    <w:rsid w:val="00015CE4"/>
    <w:rsid w:val="00016106"/>
    <w:rsid w:val="00016D27"/>
    <w:rsid w:val="00016E93"/>
    <w:rsid w:val="00016F47"/>
    <w:rsid w:val="00020DFE"/>
    <w:rsid w:val="00020E2E"/>
    <w:rsid w:val="0002139A"/>
    <w:rsid w:val="00023DEE"/>
    <w:rsid w:val="00025594"/>
    <w:rsid w:val="0002574F"/>
    <w:rsid w:val="00027932"/>
    <w:rsid w:val="0003525C"/>
    <w:rsid w:val="00035514"/>
    <w:rsid w:val="00037F95"/>
    <w:rsid w:val="000409C2"/>
    <w:rsid w:val="00042254"/>
    <w:rsid w:val="00044A6C"/>
    <w:rsid w:val="000474D4"/>
    <w:rsid w:val="0004796F"/>
    <w:rsid w:val="000507A6"/>
    <w:rsid w:val="00050F16"/>
    <w:rsid w:val="0006313F"/>
    <w:rsid w:val="0006377A"/>
    <w:rsid w:val="00071507"/>
    <w:rsid w:val="00071CA5"/>
    <w:rsid w:val="000731EB"/>
    <w:rsid w:val="0007411D"/>
    <w:rsid w:val="0007745E"/>
    <w:rsid w:val="000939CF"/>
    <w:rsid w:val="00094731"/>
    <w:rsid w:val="000A058D"/>
    <w:rsid w:val="000A1771"/>
    <w:rsid w:val="000A2989"/>
    <w:rsid w:val="000A39AC"/>
    <w:rsid w:val="000A57D8"/>
    <w:rsid w:val="000B1917"/>
    <w:rsid w:val="000B459B"/>
    <w:rsid w:val="000B45D0"/>
    <w:rsid w:val="000B59D8"/>
    <w:rsid w:val="000C2159"/>
    <w:rsid w:val="000C5EA0"/>
    <w:rsid w:val="000D10E0"/>
    <w:rsid w:val="000D2B52"/>
    <w:rsid w:val="000D7A88"/>
    <w:rsid w:val="000E0170"/>
    <w:rsid w:val="000E09C4"/>
    <w:rsid w:val="000E0A07"/>
    <w:rsid w:val="000E2A8E"/>
    <w:rsid w:val="000F7553"/>
    <w:rsid w:val="00101F08"/>
    <w:rsid w:val="00102973"/>
    <w:rsid w:val="00110E99"/>
    <w:rsid w:val="001129ED"/>
    <w:rsid w:val="00114093"/>
    <w:rsid w:val="0011500A"/>
    <w:rsid w:val="001174B6"/>
    <w:rsid w:val="00127D58"/>
    <w:rsid w:val="001343CC"/>
    <w:rsid w:val="00135DE2"/>
    <w:rsid w:val="0013646E"/>
    <w:rsid w:val="00142500"/>
    <w:rsid w:val="001430A9"/>
    <w:rsid w:val="00146228"/>
    <w:rsid w:val="001550D7"/>
    <w:rsid w:val="00157D65"/>
    <w:rsid w:val="0017071E"/>
    <w:rsid w:val="0017080A"/>
    <w:rsid w:val="0017239B"/>
    <w:rsid w:val="00172E38"/>
    <w:rsid w:val="001733C6"/>
    <w:rsid w:val="001737E0"/>
    <w:rsid w:val="00175F5A"/>
    <w:rsid w:val="00180D9A"/>
    <w:rsid w:val="001818E7"/>
    <w:rsid w:val="001846FB"/>
    <w:rsid w:val="00184F20"/>
    <w:rsid w:val="001855E2"/>
    <w:rsid w:val="0018563F"/>
    <w:rsid w:val="00185D4C"/>
    <w:rsid w:val="00186786"/>
    <w:rsid w:val="00192599"/>
    <w:rsid w:val="00192C37"/>
    <w:rsid w:val="001936AE"/>
    <w:rsid w:val="00196494"/>
    <w:rsid w:val="00197D4E"/>
    <w:rsid w:val="001A1C20"/>
    <w:rsid w:val="001A4463"/>
    <w:rsid w:val="001A4CF2"/>
    <w:rsid w:val="001A520A"/>
    <w:rsid w:val="001B0AE4"/>
    <w:rsid w:val="001B25EA"/>
    <w:rsid w:val="001B609B"/>
    <w:rsid w:val="001C09B5"/>
    <w:rsid w:val="001C09FC"/>
    <w:rsid w:val="001C1892"/>
    <w:rsid w:val="001C492C"/>
    <w:rsid w:val="001D0A4A"/>
    <w:rsid w:val="001D4416"/>
    <w:rsid w:val="001D65EA"/>
    <w:rsid w:val="001E0E14"/>
    <w:rsid w:val="001E41C7"/>
    <w:rsid w:val="001E5FE7"/>
    <w:rsid w:val="001E610E"/>
    <w:rsid w:val="001F3FB0"/>
    <w:rsid w:val="001F6F33"/>
    <w:rsid w:val="00204B69"/>
    <w:rsid w:val="00205E9C"/>
    <w:rsid w:val="00214F56"/>
    <w:rsid w:val="00216C4E"/>
    <w:rsid w:val="00217C59"/>
    <w:rsid w:val="00221969"/>
    <w:rsid w:val="002243AA"/>
    <w:rsid w:val="0022723B"/>
    <w:rsid w:val="00227C17"/>
    <w:rsid w:val="00230BF3"/>
    <w:rsid w:val="002331AF"/>
    <w:rsid w:val="002378DE"/>
    <w:rsid w:val="00244EB1"/>
    <w:rsid w:val="002457CA"/>
    <w:rsid w:val="00247F7F"/>
    <w:rsid w:val="00247F9A"/>
    <w:rsid w:val="00250FE1"/>
    <w:rsid w:val="002543A4"/>
    <w:rsid w:val="0025450B"/>
    <w:rsid w:val="00254CE7"/>
    <w:rsid w:val="00257C9F"/>
    <w:rsid w:val="002627F0"/>
    <w:rsid w:val="002664D0"/>
    <w:rsid w:val="00271D0F"/>
    <w:rsid w:val="002745BE"/>
    <w:rsid w:val="002775C5"/>
    <w:rsid w:val="0027798F"/>
    <w:rsid w:val="00277D15"/>
    <w:rsid w:val="00282242"/>
    <w:rsid w:val="002837FF"/>
    <w:rsid w:val="00284EDF"/>
    <w:rsid w:val="002A510C"/>
    <w:rsid w:val="002A52DF"/>
    <w:rsid w:val="002A7F53"/>
    <w:rsid w:val="002B28D3"/>
    <w:rsid w:val="002B316D"/>
    <w:rsid w:val="002B4281"/>
    <w:rsid w:val="002B4F55"/>
    <w:rsid w:val="002B6FA2"/>
    <w:rsid w:val="002D2112"/>
    <w:rsid w:val="002D3704"/>
    <w:rsid w:val="002D67EE"/>
    <w:rsid w:val="002E2DAE"/>
    <w:rsid w:val="002E5A4C"/>
    <w:rsid w:val="002F2CC3"/>
    <w:rsid w:val="002F6A84"/>
    <w:rsid w:val="002F71D5"/>
    <w:rsid w:val="00304133"/>
    <w:rsid w:val="00310E46"/>
    <w:rsid w:val="0031639B"/>
    <w:rsid w:val="0031752D"/>
    <w:rsid w:val="003205EA"/>
    <w:rsid w:val="00322CB8"/>
    <w:rsid w:val="00322E6F"/>
    <w:rsid w:val="00326C7D"/>
    <w:rsid w:val="003279D6"/>
    <w:rsid w:val="0033159C"/>
    <w:rsid w:val="003330A7"/>
    <w:rsid w:val="00333FD5"/>
    <w:rsid w:val="003437FB"/>
    <w:rsid w:val="0035031B"/>
    <w:rsid w:val="00351116"/>
    <w:rsid w:val="003526F0"/>
    <w:rsid w:val="00352FFE"/>
    <w:rsid w:val="00356C00"/>
    <w:rsid w:val="00360BFA"/>
    <w:rsid w:val="0036100A"/>
    <w:rsid w:val="0036326B"/>
    <w:rsid w:val="003653AB"/>
    <w:rsid w:val="00367BB0"/>
    <w:rsid w:val="00367DC1"/>
    <w:rsid w:val="003759CB"/>
    <w:rsid w:val="00383F83"/>
    <w:rsid w:val="00384232"/>
    <w:rsid w:val="00387F1E"/>
    <w:rsid w:val="00390B68"/>
    <w:rsid w:val="00392801"/>
    <w:rsid w:val="00392B51"/>
    <w:rsid w:val="003940D2"/>
    <w:rsid w:val="003A050E"/>
    <w:rsid w:val="003A1CD8"/>
    <w:rsid w:val="003A1E95"/>
    <w:rsid w:val="003A2206"/>
    <w:rsid w:val="003A65F9"/>
    <w:rsid w:val="003B452F"/>
    <w:rsid w:val="003B64AE"/>
    <w:rsid w:val="003B76C3"/>
    <w:rsid w:val="003C2FA0"/>
    <w:rsid w:val="003C38A3"/>
    <w:rsid w:val="003C4A36"/>
    <w:rsid w:val="003C6EA1"/>
    <w:rsid w:val="003D08E2"/>
    <w:rsid w:val="003D3B12"/>
    <w:rsid w:val="003D7DF9"/>
    <w:rsid w:val="003E4459"/>
    <w:rsid w:val="003E6AE1"/>
    <w:rsid w:val="003E6EF3"/>
    <w:rsid w:val="003E7CB8"/>
    <w:rsid w:val="003F28ED"/>
    <w:rsid w:val="003F491B"/>
    <w:rsid w:val="004034FE"/>
    <w:rsid w:val="00405AE4"/>
    <w:rsid w:val="00405CEA"/>
    <w:rsid w:val="00411408"/>
    <w:rsid w:val="00412352"/>
    <w:rsid w:val="00415B53"/>
    <w:rsid w:val="00415C9A"/>
    <w:rsid w:val="0041778B"/>
    <w:rsid w:val="00417D74"/>
    <w:rsid w:val="004218DC"/>
    <w:rsid w:val="004223A1"/>
    <w:rsid w:val="004244E6"/>
    <w:rsid w:val="00430AF6"/>
    <w:rsid w:val="00431213"/>
    <w:rsid w:val="00431358"/>
    <w:rsid w:val="0043463C"/>
    <w:rsid w:val="00436AED"/>
    <w:rsid w:val="00437AC2"/>
    <w:rsid w:val="00442625"/>
    <w:rsid w:val="00451173"/>
    <w:rsid w:val="00451649"/>
    <w:rsid w:val="00453B18"/>
    <w:rsid w:val="004541DD"/>
    <w:rsid w:val="00455D67"/>
    <w:rsid w:val="00457367"/>
    <w:rsid w:val="004625FC"/>
    <w:rsid w:val="0046271B"/>
    <w:rsid w:val="004670BC"/>
    <w:rsid w:val="004705E4"/>
    <w:rsid w:val="00470930"/>
    <w:rsid w:val="0047111F"/>
    <w:rsid w:val="00476843"/>
    <w:rsid w:val="00476F08"/>
    <w:rsid w:val="0047731F"/>
    <w:rsid w:val="0048345D"/>
    <w:rsid w:val="00484F40"/>
    <w:rsid w:val="00485320"/>
    <w:rsid w:val="00487F08"/>
    <w:rsid w:val="004929D1"/>
    <w:rsid w:val="004954F6"/>
    <w:rsid w:val="004A10C5"/>
    <w:rsid w:val="004A26A5"/>
    <w:rsid w:val="004A48F4"/>
    <w:rsid w:val="004B00DB"/>
    <w:rsid w:val="004B09EB"/>
    <w:rsid w:val="004B22CA"/>
    <w:rsid w:val="004B508C"/>
    <w:rsid w:val="004B6541"/>
    <w:rsid w:val="004C0203"/>
    <w:rsid w:val="004C025B"/>
    <w:rsid w:val="004C2449"/>
    <w:rsid w:val="004C3516"/>
    <w:rsid w:val="004C4C28"/>
    <w:rsid w:val="004C587A"/>
    <w:rsid w:val="004C6F82"/>
    <w:rsid w:val="004D0962"/>
    <w:rsid w:val="004D128E"/>
    <w:rsid w:val="004D3C24"/>
    <w:rsid w:val="004D6BC5"/>
    <w:rsid w:val="004D6E4A"/>
    <w:rsid w:val="004D7576"/>
    <w:rsid w:val="004D7971"/>
    <w:rsid w:val="004E124C"/>
    <w:rsid w:val="004E296F"/>
    <w:rsid w:val="004E2F01"/>
    <w:rsid w:val="004E381F"/>
    <w:rsid w:val="004E48C4"/>
    <w:rsid w:val="004E55F0"/>
    <w:rsid w:val="004F27D3"/>
    <w:rsid w:val="004F533E"/>
    <w:rsid w:val="005003C8"/>
    <w:rsid w:val="00503B26"/>
    <w:rsid w:val="00505094"/>
    <w:rsid w:val="00510021"/>
    <w:rsid w:val="00514CBD"/>
    <w:rsid w:val="00521782"/>
    <w:rsid w:val="00521800"/>
    <w:rsid w:val="005277CD"/>
    <w:rsid w:val="005327D3"/>
    <w:rsid w:val="005410CE"/>
    <w:rsid w:val="00541D19"/>
    <w:rsid w:val="00542A2F"/>
    <w:rsid w:val="00545339"/>
    <w:rsid w:val="00546C97"/>
    <w:rsid w:val="00551188"/>
    <w:rsid w:val="005560AF"/>
    <w:rsid w:val="0055769A"/>
    <w:rsid w:val="005625C3"/>
    <w:rsid w:val="0056324D"/>
    <w:rsid w:val="00564625"/>
    <w:rsid w:val="0056661D"/>
    <w:rsid w:val="00567742"/>
    <w:rsid w:val="0057088C"/>
    <w:rsid w:val="00572394"/>
    <w:rsid w:val="00582636"/>
    <w:rsid w:val="00582EC2"/>
    <w:rsid w:val="005867BB"/>
    <w:rsid w:val="005876C3"/>
    <w:rsid w:val="0059044F"/>
    <w:rsid w:val="00593C49"/>
    <w:rsid w:val="00594CF5"/>
    <w:rsid w:val="005954CD"/>
    <w:rsid w:val="0059683F"/>
    <w:rsid w:val="005A087E"/>
    <w:rsid w:val="005B404F"/>
    <w:rsid w:val="005B5AEF"/>
    <w:rsid w:val="005B6389"/>
    <w:rsid w:val="005B7736"/>
    <w:rsid w:val="005B7919"/>
    <w:rsid w:val="005C35DE"/>
    <w:rsid w:val="005C4D88"/>
    <w:rsid w:val="005D121E"/>
    <w:rsid w:val="005D20CB"/>
    <w:rsid w:val="005D3366"/>
    <w:rsid w:val="005D5449"/>
    <w:rsid w:val="005D57CF"/>
    <w:rsid w:val="005D7D24"/>
    <w:rsid w:val="005E56D7"/>
    <w:rsid w:val="005E58DE"/>
    <w:rsid w:val="005E5EB2"/>
    <w:rsid w:val="005E7595"/>
    <w:rsid w:val="005F47CB"/>
    <w:rsid w:val="005F4ADA"/>
    <w:rsid w:val="005F4ED5"/>
    <w:rsid w:val="005F4ED9"/>
    <w:rsid w:val="005F63D8"/>
    <w:rsid w:val="00602E96"/>
    <w:rsid w:val="006042AE"/>
    <w:rsid w:val="00604AE7"/>
    <w:rsid w:val="006052CA"/>
    <w:rsid w:val="006072E3"/>
    <w:rsid w:val="00612531"/>
    <w:rsid w:val="00617D69"/>
    <w:rsid w:val="00623933"/>
    <w:rsid w:val="00623E03"/>
    <w:rsid w:val="0063019D"/>
    <w:rsid w:val="0063334F"/>
    <w:rsid w:val="006360D3"/>
    <w:rsid w:val="006428CA"/>
    <w:rsid w:val="00645415"/>
    <w:rsid w:val="00647D6C"/>
    <w:rsid w:val="00650EC5"/>
    <w:rsid w:val="00651D08"/>
    <w:rsid w:val="00653C7E"/>
    <w:rsid w:val="00654030"/>
    <w:rsid w:val="006631DA"/>
    <w:rsid w:val="0067038A"/>
    <w:rsid w:val="006727F1"/>
    <w:rsid w:val="00673EAB"/>
    <w:rsid w:val="00676B6E"/>
    <w:rsid w:val="0067798A"/>
    <w:rsid w:val="00677D28"/>
    <w:rsid w:val="0068029E"/>
    <w:rsid w:val="00681397"/>
    <w:rsid w:val="00682E28"/>
    <w:rsid w:val="00682FAA"/>
    <w:rsid w:val="00690209"/>
    <w:rsid w:val="00694497"/>
    <w:rsid w:val="00694755"/>
    <w:rsid w:val="006954EB"/>
    <w:rsid w:val="006A35E3"/>
    <w:rsid w:val="006A4E01"/>
    <w:rsid w:val="006A5992"/>
    <w:rsid w:val="006B1E3E"/>
    <w:rsid w:val="006B4DDC"/>
    <w:rsid w:val="006B56B1"/>
    <w:rsid w:val="006C134C"/>
    <w:rsid w:val="006C476A"/>
    <w:rsid w:val="006C7441"/>
    <w:rsid w:val="006D1BD3"/>
    <w:rsid w:val="006D23AB"/>
    <w:rsid w:val="006D3D5E"/>
    <w:rsid w:val="006D438F"/>
    <w:rsid w:val="006D4D0E"/>
    <w:rsid w:val="006D6A1F"/>
    <w:rsid w:val="006E0E17"/>
    <w:rsid w:val="006E12B2"/>
    <w:rsid w:val="006E1B9B"/>
    <w:rsid w:val="006F7083"/>
    <w:rsid w:val="006F7E27"/>
    <w:rsid w:val="00702370"/>
    <w:rsid w:val="00710A02"/>
    <w:rsid w:val="007140B7"/>
    <w:rsid w:val="00726208"/>
    <w:rsid w:val="00727597"/>
    <w:rsid w:val="00727A16"/>
    <w:rsid w:val="00730F1C"/>
    <w:rsid w:val="00733368"/>
    <w:rsid w:val="00735046"/>
    <w:rsid w:val="007414B7"/>
    <w:rsid w:val="00742C78"/>
    <w:rsid w:val="00745837"/>
    <w:rsid w:val="00750FDE"/>
    <w:rsid w:val="00751C56"/>
    <w:rsid w:val="00752A7E"/>
    <w:rsid w:val="00754517"/>
    <w:rsid w:val="007570BB"/>
    <w:rsid w:val="007621DE"/>
    <w:rsid w:val="00765A78"/>
    <w:rsid w:val="00766F07"/>
    <w:rsid w:val="00772D1B"/>
    <w:rsid w:val="00774288"/>
    <w:rsid w:val="00775A20"/>
    <w:rsid w:val="00780A7E"/>
    <w:rsid w:val="0078379D"/>
    <w:rsid w:val="00784A06"/>
    <w:rsid w:val="00790F90"/>
    <w:rsid w:val="00793C29"/>
    <w:rsid w:val="007A15A6"/>
    <w:rsid w:val="007A3240"/>
    <w:rsid w:val="007A491E"/>
    <w:rsid w:val="007B07C1"/>
    <w:rsid w:val="007B1FF3"/>
    <w:rsid w:val="007B2CAF"/>
    <w:rsid w:val="007B409A"/>
    <w:rsid w:val="007B6DEA"/>
    <w:rsid w:val="007B7A4E"/>
    <w:rsid w:val="007C157A"/>
    <w:rsid w:val="007C1621"/>
    <w:rsid w:val="007C231C"/>
    <w:rsid w:val="007C33A4"/>
    <w:rsid w:val="007C41AE"/>
    <w:rsid w:val="007C55EF"/>
    <w:rsid w:val="007C5725"/>
    <w:rsid w:val="007C6FBA"/>
    <w:rsid w:val="007C72C1"/>
    <w:rsid w:val="007D0386"/>
    <w:rsid w:val="007D10AE"/>
    <w:rsid w:val="007D2578"/>
    <w:rsid w:val="007D2D0C"/>
    <w:rsid w:val="007D3866"/>
    <w:rsid w:val="007D5D33"/>
    <w:rsid w:val="007E63FF"/>
    <w:rsid w:val="007F1199"/>
    <w:rsid w:val="007F1E8E"/>
    <w:rsid w:val="007F6C62"/>
    <w:rsid w:val="007F7B78"/>
    <w:rsid w:val="008006C5"/>
    <w:rsid w:val="00802754"/>
    <w:rsid w:val="008044C1"/>
    <w:rsid w:val="0080591C"/>
    <w:rsid w:val="00805FA9"/>
    <w:rsid w:val="00806092"/>
    <w:rsid w:val="008128BC"/>
    <w:rsid w:val="008226B5"/>
    <w:rsid w:val="00823CBC"/>
    <w:rsid w:val="008249B9"/>
    <w:rsid w:val="008316EA"/>
    <w:rsid w:val="008323A2"/>
    <w:rsid w:val="00837581"/>
    <w:rsid w:val="00840DEF"/>
    <w:rsid w:val="008432EE"/>
    <w:rsid w:val="00843E4A"/>
    <w:rsid w:val="00845649"/>
    <w:rsid w:val="008457F1"/>
    <w:rsid w:val="008469E9"/>
    <w:rsid w:val="00851AFD"/>
    <w:rsid w:val="00852060"/>
    <w:rsid w:val="00854799"/>
    <w:rsid w:val="00861AB6"/>
    <w:rsid w:val="00863C35"/>
    <w:rsid w:val="00871B96"/>
    <w:rsid w:val="0087462C"/>
    <w:rsid w:val="00876B44"/>
    <w:rsid w:val="00877F7F"/>
    <w:rsid w:val="00880B27"/>
    <w:rsid w:val="00881266"/>
    <w:rsid w:val="0088295A"/>
    <w:rsid w:val="008857B8"/>
    <w:rsid w:val="00893B05"/>
    <w:rsid w:val="008A5EEE"/>
    <w:rsid w:val="008A6B45"/>
    <w:rsid w:val="008B249B"/>
    <w:rsid w:val="008C39C0"/>
    <w:rsid w:val="008C461A"/>
    <w:rsid w:val="008C5ECE"/>
    <w:rsid w:val="008C74C4"/>
    <w:rsid w:val="008D1381"/>
    <w:rsid w:val="008D359C"/>
    <w:rsid w:val="008D37C7"/>
    <w:rsid w:val="008E697D"/>
    <w:rsid w:val="008F6D31"/>
    <w:rsid w:val="008F76A6"/>
    <w:rsid w:val="009028CE"/>
    <w:rsid w:val="00902F60"/>
    <w:rsid w:val="0090345A"/>
    <w:rsid w:val="009044AE"/>
    <w:rsid w:val="00906EEA"/>
    <w:rsid w:val="009114C4"/>
    <w:rsid w:val="00913031"/>
    <w:rsid w:val="00914E21"/>
    <w:rsid w:val="00915EE4"/>
    <w:rsid w:val="009160B3"/>
    <w:rsid w:val="00916314"/>
    <w:rsid w:val="00916401"/>
    <w:rsid w:val="00926229"/>
    <w:rsid w:val="00931244"/>
    <w:rsid w:val="00933E68"/>
    <w:rsid w:val="009356C5"/>
    <w:rsid w:val="00935FAF"/>
    <w:rsid w:val="00940880"/>
    <w:rsid w:val="009435B9"/>
    <w:rsid w:val="00944679"/>
    <w:rsid w:val="0095410A"/>
    <w:rsid w:val="00954778"/>
    <w:rsid w:val="00963B83"/>
    <w:rsid w:val="0096502B"/>
    <w:rsid w:val="00966824"/>
    <w:rsid w:val="00973711"/>
    <w:rsid w:val="009737F7"/>
    <w:rsid w:val="0097437D"/>
    <w:rsid w:val="0098261C"/>
    <w:rsid w:val="00982852"/>
    <w:rsid w:val="00982B11"/>
    <w:rsid w:val="009869EE"/>
    <w:rsid w:val="00991BAE"/>
    <w:rsid w:val="00991BF3"/>
    <w:rsid w:val="009940D5"/>
    <w:rsid w:val="009A1829"/>
    <w:rsid w:val="009A2263"/>
    <w:rsid w:val="009A26E3"/>
    <w:rsid w:val="009A2DB4"/>
    <w:rsid w:val="009A40F6"/>
    <w:rsid w:val="009B1456"/>
    <w:rsid w:val="009B2D60"/>
    <w:rsid w:val="009B6AF9"/>
    <w:rsid w:val="009B7698"/>
    <w:rsid w:val="009C0CD5"/>
    <w:rsid w:val="009C0F94"/>
    <w:rsid w:val="009C622E"/>
    <w:rsid w:val="009D46B4"/>
    <w:rsid w:val="009D7C65"/>
    <w:rsid w:val="009E0A2F"/>
    <w:rsid w:val="009E2D4F"/>
    <w:rsid w:val="009E4B0C"/>
    <w:rsid w:val="009E7C34"/>
    <w:rsid w:val="009F0748"/>
    <w:rsid w:val="009F4867"/>
    <w:rsid w:val="009F5557"/>
    <w:rsid w:val="00A03AD8"/>
    <w:rsid w:val="00A04A41"/>
    <w:rsid w:val="00A11040"/>
    <w:rsid w:val="00A11542"/>
    <w:rsid w:val="00A13A0E"/>
    <w:rsid w:val="00A153AC"/>
    <w:rsid w:val="00A159A7"/>
    <w:rsid w:val="00A20405"/>
    <w:rsid w:val="00A213BF"/>
    <w:rsid w:val="00A219B4"/>
    <w:rsid w:val="00A24E9C"/>
    <w:rsid w:val="00A254E3"/>
    <w:rsid w:val="00A25FEB"/>
    <w:rsid w:val="00A277E8"/>
    <w:rsid w:val="00A30998"/>
    <w:rsid w:val="00A30AB5"/>
    <w:rsid w:val="00A351E7"/>
    <w:rsid w:val="00A369D7"/>
    <w:rsid w:val="00A375D4"/>
    <w:rsid w:val="00A37BD2"/>
    <w:rsid w:val="00A40F97"/>
    <w:rsid w:val="00A50559"/>
    <w:rsid w:val="00A50B47"/>
    <w:rsid w:val="00A51AF8"/>
    <w:rsid w:val="00A547FB"/>
    <w:rsid w:val="00A557C2"/>
    <w:rsid w:val="00A62362"/>
    <w:rsid w:val="00A646C6"/>
    <w:rsid w:val="00A659BA"/>
    <w:rsid w:val="00A65BFC"/>
    <w:rsid w:val="00A66285"/>
    <w:rsid w:val="00A67E74"/>
    <w:rsid w:val="00A71D7C"/>
    <w:rsid w:val="00A775A9"/>
    <w:rsid w:val="00A77DFF"/>
    <w:rsid w:val="00A815B4"/>
    <w:rsid w:val="00A8280B"/>
    <w:rsid w:val="00A82CA2"/>
    <w:rsid w:val="00A853AF"/>
    <w:rsid w:val="00A92BF1"/>
    <w:rsid w:val="00AA1D4D"/>
    <w:rsid w:val="00AA2359"/>
    <w:rsid w:val="00AA3371"/>
    <w:rsid w:val="00AA55ED"/>
    <w:rsid w:val="00AB07A6"/>
    <w:rsid w:val="00AB37DB"/>
    <w:rsid w:val="00AB55C2"/>
    <w:rsid w:val="00AC13D9"/>
    <w:rsid w:val="00AC2D33"/>
    <w:rsid w:val="00AC3B5D"/>
    <w:rsid w:val="00AC421B"/>
    <w:rsid w:val="00AC6679"/>
    <w:rsid w:val="00AD2818"/>
    <w:rsid w:val="00AD4544"/>
    <w:rsid w:val="00AE0515"/>
    <w:rsid w:val="00AE0E1A"/>
    <w:rsid w:val="00AE5C26"/>
    <w:rsid w:val="00AE754D"/>
    <w:rsid w:val="00AF23ED"/>
    <w:rsid w:val="00AF3E36"/>
    <w:rsid w:val="00AF3F5F"/>
    <w:rsid w:val="00AF6771"/>
    <w:rsid w:val="00AF7432"/>
    <w:rsid w:val="00B03175"/>
    <w:rsid w:val="00B0651E"/>
    <w:rsid w:val="00B06CAC"/>
    <w:rsid w:val="00B10065"/>
    <w:rsid w:val="00B11072"/>
    <w:rsid w:val="00B2123D"/>
    <w:rsid w:val="00B22708"/>
    <w:rsid w:val="00B23519"/>
    <w:rsid w:val="00B25838"/>
    <w:rsid w:val="00B342AB"/>
    <w:rsid w:val="00B34636"/>
    <w:rsid w:val="00B35AC7"/>
    <w:rsid w:val="00B427E3"/>
    <w:rsid w:val="00B4597A"/>
    <w:rsid w:val="00B46971"/>
    <w:rsid w:val="00B512E1"/>
    <w:rsid w:val="00B52EEB"/>
    <w:rsid w:val="00B5764E"/>
    <w:rsid w:val="00B57E96"/>
    <w:rsid w:val="00B60176"/>
    <w:rsid w:val="00B62B72"/>
    <w:rsid w:val="00B66107"/>
    <w:rsid w:val="00B67EF1"/>
    <w:rsid w:val="00B73B8C"/>
    <w:rsid w:val="00B84EF7"/>
    <w:rsid w:val="00B86223"/>
    <w:rsid w:val="00B86BA0"/>
    <w:rsid w:val="00B91470"/>
    <w:rsid w:val="00B9183D"/>
    <w:rsid w:val="00B91F22"/>
    <w:rsid w:val="00B93E50"/>
    <w:rsid w:val="00BA00D5"/>
    <w:rsid w:val="00BA0704"/>
    <w:rsid w:val="00BA1014"/>
    <w:rsid w:val="00BA1FC7"/>
    <w:rsid w:val="00BB2FBA"/>
    <w:rsid w:val="00BC4D2C"/>
    <w:rsid w:val="00BC69AD"/>
    <w:rsid w:val="00BD544A"/>
    <w:rsid w:val="00BD6D58"/>
    <w:rsid w:val="00BE144B"/>
    <w:rsid w:val="00BE16F8"/>
    <w:rsid w:val="00BE5863"/>
    <w:rsid w:val="00BE6160"/>
    <w:rsid w:val="00BE6257"/>
    <w:rsid w:val="00BE6694"/>
    <w:rsid w:val="00BF0EBB"/>
    <w:rsid w:val="00BF4B48"/>
    <w:rsid w:val="00BF5149"/>
    <w:rsid w:val="00BF61E3"/>
    <w:rsid w:val="00C01932"/>
    <w:rsid w:val="00C04A60"/>
    <w:rsid w:val="00C04A75"/>
    <w:rsid w:val="00C06D8A"/>
    <w:rsid w:val="00C07DBE"/>
    <w:rsid w:val="00C12CDB"/>
    <w:rsid w:val="00C1570A"/>
    <w:rsid w:val="00C203D6"/>
    <w:rsid w:val="00C356EA"/>
    <w:rsid w:val="00C35F19"/>
    <w:rsid w:val="00C41702"/>
    <w:rsid w:val="00C45805"/>
    <w:rsid w:val="00C46013"/>
    <w:rsid w:val="00C465FB"/>
    <w:rsid w:val="00C54AF0"/>
    <w:rsid w:val="00C57201"/>
    <w:rsid w:val="00C578A0"/>
    <w:rsid w:val="00C6256E"/>
    <w:rsid w:val="00C71C18"/>
    <w:rsid w:val="00C75BDB"/>
    <w:rsid w:val="00C75D9E"/>
    <w:rsid w:val="00C827B3"/>
    <w:rsid w:val="00C83C49"/>
    <w:rsid w:val="00C853E1"/>
    <w:rsid w:val="00C86F7B"/>
    <w:rsid w:val="00C90B1D"/>
    <w:rsid w:val="00C918EC"/>
    <w:rsid w:val="00C919A4"/>
    <w:rsid w:val="00C927A0"/>
    <w:rsid w:val="00C92BC0"/>
    <w:rsid w:val="00C93215"/>
    <w:rsid w:val="00C935C4"/>
    <w:rsid w:val="00C939C9"/>
    <w:rsid w:val="00C9599B"/>
    <w:rsid w:val="00C963CD"/>
    <w:rsid w:val="00CA1EE8"/>
    <w:rsid w:val="00CA2B21"/>
    <w:rsid w:val="00CA5A2E"/>
    <w:rsid w:val="00CA7F77"/>
    <w:rsid w:val="00CB2CB4"/>
    <w:rsid w:val="00CB39E4"/>
    <w:rsid w:val="00CB79E2"/>
    <w:rsid w:val="00CC0025"/>
    <w:rsid w:val="00CC135A"/>
    <w:rsid w:val="00CC19E6"/>
    <w:rsid w:val="00CC28C5"/>
    <w:rsid w:val="00CC6505"/>
    <w:rsid w:val="00CC6EAF"/>
    <w:rsid w:val="00CE0C23"/>
    <w:rsid w:val="00CE5981"/>
    <w:rsid w:val="00CE7A0B"/>
    <w:rsid w:val="00CF01B1"/>
    <w:rsid w:val="00CF082B"/>
    <w:rsid w:val="00CF2BBD"/>
    <w:rsid w:val="00CF5F20"/>
    <w:rsid w:val="00CF7922"/>
    <w:rsid w:val="00D035BA"/>
    <w:rsid w:val="00D03FFD"/>
    <w:rsid w:val="00D0628A"/>
    <w:rsid w:val="00D07ECD"/>
    <w:rsid w:val="00D1086D"/>
    <w:rsid w:val="00D1236C"/>
    <w:rsid w:val="00D12769"/>
    <w:rsid w:val="00D15BC7"/>
    <w:rsid w:val="00D1768E"/>
    <w:rsid w:val="00D21694"/>
    <w:rsid w:val="00D26506"/>
    <w:rsid w:val="00D26BBD"/>
    <w:rsid w:val="00D31D26"/>
    <w:rsid w:val="00D36515"/>
    <w:rsid w:val="00D37EF8"/>
    <w:rsid w:val="00D4399B"/>
    <w:rsid w:val="00D4498A"/>
    <w:rsid w:val="00D462B9"/>
    <w:rsid w:val="00D510AA"/>
    <w:rsid w:val="00D522BF"/>
    <w:rsid w:val="00D53A64"/>
    <w:rsid w:val="00D54057"/>
    <w:rsid w:val="00D60422"/>
    <w:rsid w:val="00D60EDD"/>
    <w:rsid w:val="00D61B72"/>
    <w:rsid w:val="00D65C1F"/>
    <w:rsid w:val="00D66BFE"/>
    <w:rsid w:val="00D679ED"/>
    <w:rsid w:val="00D67ADB"/>
    <w:rsid w:val="00D74C9E"/>
    <w:rsid w:val="00D75732"/>
    <w:rsid w:val="00D75747"/>
    <w:rsid w:val="00D818AE"/>
    <w:rsid w:val="00D82CE9"/>
    <w:rsid w:val="00D855DA"/>
    <w:rsid w:val="00D9366E"/>
    <w:rsid w:val="00D95DD1"/>
    <w:rsid w:val="00D974EB"/>
    <w:rsid w:val="00D97F03"/>
    <w:rsid w:val="00DA069D"/>
    <w:rsid w:val="00DA1A1A"/>
    <w:rsid w:val="00DA5495"/>
    <w:rsid w:val="00DB080E"/>
    <w:rsid w:val="00DB12DB"/>
    <w:rsid w:val="00DB48B5"/>
    <w:rsid w:val="00DB582C"/>
    <w:rsid w:val="00DB6154"/>
    <w:rsid w:val="00DB7D5A"/>
    <w:rsid w:val="00DC0D44"/>
    <w:rsid w:val="00DC0F0C"/>
    <w:rsid w:val="00DC42BB"/>
    <w:rsid w:val="00DC7EEB"/>
    <w:rsid w:val="00DD4ACD"/>
    <w:rsid w:val="00DD4B54"/>
    <w:rsid w:val="00DD5765"/>
    <w:rsid w:val="00DD5C43"/>
    <w:rsid w:val="00DD61BD"/>
    <w:rsid w:val="00DD62A7"/>
    <w:rsid w:val="00DE2DF9"/>
    <w:rsid w:val="00DE683A"/>
    <w:rsid w:val="00DF1936"/>
    <w:rsid w:val="00DF5EEF"/>
    <w:rsid w:val="00DF67BB"/>
    <w:rsid w:val="00E05A99"/>
    <w:rsid w:val="00E0697E"/>
    <w:rsid w:val="00E06DAB"/>
    <w:rsid w:val="00E07CE8"/>
    <w:rsid w:val="00E14FB0"/>
    <w:rsid w:val="00E1589B"/>
    <w:rsid w:val="00E174B9"/>
    <w:rsid w:val="00E21658"/>
    <w:rsid w:val="00E25F00"/>
    <w:rsid w:val="00E3075F"/>
    <w:rsid w:val="00E31DC5"/>
    <w:rsid w:val="00E32012"/>
    <w:rsid w:val="00E32F28"/>
    <w:rsid w:val="00E33240"/>
    <w:rsid w:val="00E33BAE"/>
    <w:rsid w:val="00E3699E"/>
    <w:rsid w:val="00E36F53"/>
    <w:rsid w:val="00E41A1A"/>
    <w:rsid w:val="00E439AD"/>
    <w:rsid w:val="00E46192"/>
    <w:rsid w:val="00E508D2"/>
    <w:rsid w:val="00E5339A"/>
    <w:rsid w:val="00E53513"/>
    <w:rsid w:val="00E537A3"/>
    <w:rsid w:val="00E556C6"/>
    <w:rsid w:val="00E56CF4"/>
    <w:rsid w:val="00E603D8"/>
    <w:rsid w:val="00E62470"/>
    <w:rsid w:val="00E62A5B"/>
    <w:rsid w:val="00E66E87"/>
    <w:rsid w:val="00E67247"/>
    <w:rsid w:val="00E70706"/>
    <w:rsid w:val="00E714DF"/>
    <w:rsid w:val="00E72567"/>
    <w:rsid w:val="00E73776"/>
    <w:rsid w:val="00E73D23"/>
    <w:rsid w:val="00E75000"/>
    <w:rsid w:val="00E76352"/>
    <w:rsid w:val="00E83207"/>
    <w:rsid w:val="00E910E5"/>
    <w:rsid w:val="00E94579"/>
    <w:rsid w:val="00EA01A9"/>
    <w:rsid w:val="00EA4B90"/>
    <w:rsid w:val="00EA7C2A"/>
    <w:rsid w:val="00EB230B"/>
    <w:rsid w:val="00EB4246"/>
    <w:rsid w:val="00EC026B"/>
    <w:rsid w:val="00EC3373"/>
    <w:rsid w:val="00EC5580"/>
    <w:rsid w:val="00ED2031"/>
    <w:rsid w:val="00ED2FD1"/>
    <w:rsid w:val="00EE00C2"/>
    <w:rsid w:val="00EE325D"/>
    <w:rsid w:val="00EE37FE"/>
    <w:rsid w:val="00EE420C"/>
    <w:rsid w:val="00EF1768"/>
    <w:rsid w:val="00EF261D"/>
    <w:rsid w:val="00EF3849"/>
    <w:rsid w:val="00EF579F"/>
    <w:rsid w:val="00EF72DD"/>
    <w:rsid w:val="00F00263"/>
    <w:rsid w:val="00F015DA"/>
    <w:rsid w:val="00F0757C"/>
    <w:rsid w:val="00F12366"/>
    <w:rsid w:val="00F126AC"/>
    <w:rsid w:val="00F14146"/>
    <w:rsid w:val="00F168A0"/>
    <w:rsid w:val="00F22497"/>
    <w:rsid w:val="00F2267D"/>
    <w:rsid w:val="00F23C78"/>
    <w:rsid w:val="00F23DD2"/>
    <w:rsid w:val="00F244E0"/>
    <w:rsid w:val="00F26587"/>
    <w:rsid w:val="00F30A5C"/>
    <w:rsid w:val="00F30C61"/>
    <w:rsid w:val="00F32675"/>
    <w:rsid w:val="00F328A3"/>
    <w:rsid w:val="00F33350"/>
    <w:rsid w:val="00F366CD"/>
    <w:rsid w:val="00F375EB"/>
    <w:rsid w:val="00F4261C"/>
    <w:rsid w:val="00F47EA9"/>
    <w:rsid w:val="00F52633"/>
    <w:rsid w:val="00F64776"/>
    <w:rsid w:val="00F65A05"/>
    <w:rsid w:val="00F66085"/>
    <w:rsid w:val="00F6624B"/>
    <w:rsid w:val="00F80C76"/>
    <w:rsid w:val="00F81074"/>
    <w:rsid w:val="00F82307"/>
    <w:rsid w:val="00F8280F"/>
    <w:rsid w:val="00F838DC"/>
    <w:rsid w:val="00F85811"/>
    <w:rsid w:val="00F85CF2"/>
    <w:rsid w:val="00F8685B"/>
    <w:rsid w:val="00F87F4F"/>
    <w:rsid w:val="00FA2CBE"/>
    <w:rsid w:val="00FA60C8"/>
    <w:rsid w:val="00FB12D7"/>
    <w:rsid w:val="00FC7FA0"/>
    <w:rsid w:val="00FD04D6"/>
    <w:rsid w:val="00FD22E5"/>
    <w:rsid w:val="00FD410D"/>
    <w:rsid w:val="00FD443E"/>
    <w:rsid w:val="00FD4BAA"/>
    <w:rsid w:val="00FD754D"/>
    <w:rsid w:val="00FE13B2"/>
    <w:rsid w:val="00FE315D"/>
    <w:rsid w:val="00FE3CB5"/>
    <w:rsid w:val="00FE3D3C"/>
    <w:rsid w:val="00FF3574"/>
    <w:rsid w:val="00FF4149"/>
    <w:rsid w:val="00FF4BBC"/>
    <w:rsid w:val="00FF6452"/>
    <w:rsid w:val="0100390C"/>
    <w:rsid w:val="01567861"/>
    <w:rsid w:val="016145A6"/>
    <w:rsid w:val="01722EC2"/>
    <w:rsid w:val="01A61926"/>
    <w:rsid w:val="01AF0E8E"/>
    <w:rsid w:val="01C963F3"/>
    <w:rsid w:val="024D47FC"/>
    <w:rsid w:val="035C6BEC"/>
    <w:rsid w:val="03E536AB"/>
    <w:rsid w:val="03FB485E"/>
    <w:rsid w:val="04306B45"/>
    <w:rsid w:val="04E946B7"/>
    <w:rsid w:val="05087233"/>
    <w:rsid w:val="054110B9"/>
    <w:rsid w:val="056B2643"/>
    <w:rsid w:val="05900C40"/>
    <w:rsid w:val="060E6ACB"/>
    <w:rsid w:val="06585F98"/>
    <w:rsid w:val="06832478"/>
    <w:rsid w:val="068C79F0"/>
    <w:rsid w:val="06A765D7"/>
    <w:rsid w:val="07666493"/>
    <w:rsid w:val="07794418"/>
    <w:rsid w:val="077E1A2E"/>
    <w:rsid w:val="078B7CA7"/>
    <w:rsid w:val="07910B71"/>
    <w:rsid w:val="07C97654"/>
    <w:rsid w:val="07DB2DC2"/>
    <w:rsid w:val="07FB4E2D"/>
    <w:rsid w:val="08060F87"/>
    <w:rsid w:val="08097ECE"/>
    <w:rsid w:val="08484D29"/>
    <w:rsid w:val="08557D0F"/>
    <w:rsid w:val="08691E8D"/>
    <w:rsid w:val="087F635C"/>
    <w:rsid w:val="08A8189D"/>
    <w:rsid w:val="08DB07BA"/>
    <w:rsid w:val="094055DE"/>
    <w:rsid w:val="09D142E9"/>
    <w:rsid w:val="09FA7443"/>
    <w:rsid w:val="0AB85257"/>
    <w:rsid w:val="0B0A4206"/>
    <w:rsid w:val="0C1929DA"/>
    <w:rsid w:val="0C2D757F"/>
    <w:rsid w:val="0C9A2ACB"/>
    <w:rsid w:val="0D5233E2"/>
    <w:rsid w:val="0D5D5C42"/>
    <w:rsid w:val="0DA17110"/>
    <w:rsid w:val="0DD35D8B"/>
    <w:rsid w:val="0E0068A0"/>
    <w:rsid w:val="0E564E26"/>
    <w:rsid w:val="0E8B3D8C"/>
    <w:rsid w:val="0EAF7889"/>
    <w:rsid w:val="0EE57843"/>
    <w:rsid w:val="0EFE5AD4"/>
    <w:rsid w:val="0F4B48EC"/>
    <w:rsid w:val="0F5A5820"/>
    <w:rsid w:val="0F7200CA"/>
    <w:rsid w:val="1045655C"/>
    <w:rsid w:val="10E50428"/>
    <w:rsid w:val="10EE19D3"/>
    <w:rsid w:val="11186A50"/>
    <w:rsid w:val="111D2487"/>
    <w:rsid w:val="119D5A3B"/>
    <w:rsid w:val="11CD1B66"/>
    <w:rsid w:val="11F56D91"/>
    <w:rsid w:val="12681CD2"/>
    <w:rsid w:val="1283393D"/>
    <w:rsid w:val="12B409FA"/>
    <w:rsid w:val="12BE3627"/>
    <w:rsid w:val="12DA44AB"/>
    <w:rsid w:val="138C0E47"/>
    <w:rsid w:val="13B268AE"/>
    <w:rsid w:val="13D2531D"/>
    <w:rsid w:val="144B7D94"/>
    <w:rsid w:val="144F771E"/>
    <w:rsid w:val="14640F17"/>
    <w:rsid w:val="146D463D"/>
    <w:rsid w:val="14783618"/>
    <w:rsid w:val="14847F58"/>
    <w:rsid w:val="14871765"/>
    <w:rsid w:val="14D507B4"/>
    <w:rsid w:val="152A5870"/>
    <w:rsid w:val="15343000"/>
    <w:rsid w:val="153F3306"/>
    <w:rsid w:val="15593193"/>
    <w:rsid w:val="15793AE4"/>
    <w:rsid w:val="15901C74"/>
    <w:rsid w:val="15D8055B"/>
    <w:rsid w:val="16066F1C"/>
    <w:rsid w:val="16104199"/>
    <w:rsid w:val="16494B1D"/>
    <w:rsid w:val="164D65A4"/>
    <w:rsid w:val="16A62408"/>
    <w:rsid w:val="16F7669D"/>
    <w:rsid w:val="17616E05"/>
    <w:rsid w:val="177C13BA"/>
    <w:rsid w:val="17945AED"/>
    <w:rsid w:val="17D00CBC"/>
    <w:rsid w:val="17E3789C"/>
    <w:rsid w:val="186B6B95"/>
    <w:rsid w:val="18E65685"/>
    <w:rsid w:val="18E90DFC"/>
    <w:rsid w:val="1933589D"/>
    <w:rsid w:val="19335FC9"/>
    <w:rsid w:val="199F1B92"/>
    <w:rsid w:val="19AA7427"/>
    <w:rsid w:val="19AC4A5E"/>
    <w:rsid w:val="19B3336C"/>
    <w:rsid w:val="19C5529B"/>
    <w:rsid w:val="19E8365F"/>
    <w:rsid w:val="19EF056A"/>
    <w:rsid w:val="1A7476C9"/>
    <w:rsid w:val="1C033E58"/>
    <w:rsid w:val="1C277D47"/>
    <w:rsid w:val="1C647613"/>
    <w:rsid w:val="1CD808B5"/>
    <w:rsid w:val="1CFA2DA4"/>
    <w:rsid w:val="1D2F2FD0"/>
    <w:rsid w:val="1DAD574A"/>
    <w:rsid w:val="1E1F7048"/>
    <w:rsid w:val="1E740EE9"/>
    <w:rsid w:val="1E97362F"/>
    <w:rsid w:val="1F58270D"/>
    <w:rsid w:val="1FD001D7"/>
    <w:rsid w:val="20230310"/>
    <w:rsid w:val="20475648"/>
    <w:rsid w:val="20663F11"/>
    <w:rsid w:val="20A50C14"/>
    <w:rsid w:val="212D1D30"/>
    <w:rsid w:val="216306AB"/>
    <w:rsid w:val="217952E8"/>
    <w:rsid w:val="218D141D"/>
    <w:rsid w:val="227E62B2"/>
    <w:rsid w:val="232A5098"/>
    <w:rsid w:val="23496F3C"/>
    <w:rsid w:val="237E153F"/>
    <w:rsid w:val="23A90786"/>
    <w:rsid w:val="23AF6D32"/>
    <w:rsid w:val="24391F18"/>
    <w:rsid w:val="243A5492"/>
    <w:rsid w:val="24BB1774"/>
    <w:rsid w:val="25391D99"/>
    <w:rsid w:val="253B7208"/>
    <w:rsid w:val="255D5D5A"/>
    <w:rsid w:val="25A30E43"/>
    <w:rsid w:val="25CF4B83"/>
    <w:rsid w:val="25FF741E"/>
    <w:rsid w:val="264674B2"/>
    <w:rsid w:val="266F0056"/>
    <w:rsid w:val="26BF15B9"/>
    <w:rsid w:val="26F628DF"/>
    <w:rsid w:val="26F9409B"/>
    <w:rsid w:val="272159BB"/>
    <w:rsid w:val="27444C3B"/>
    <w:rsid w:val="27726D5D"/>
    <w:rsid w:val="2781094C"/>
    <w:rsid w:val="27D32C08"/>
    <w:rsid w:val="28032C63"/>
    <w:rsid w:val="28425D08"/>
    <w:rsid w:val="286C4595"/>
    <w:rsid w:val="289B42D7"/>
    <w:rsid w:val="28F74D45"/>
    <w:rsid w:val="292C49EE"/>
    <w:rsid w:val="2986113F"/>
    <w:rsid w:val="29BC1C4E"/>
    <w:rsid w:val="2AB32136"/>
    <w:rsid w:val="2AFE23BA"/>
    <w:rsid w:val="2B893791"/>
    <w:rsid w:val="2BA537A3"/>
    <w:rsid w:val="2CF46CAB"/>
    <w:rsid w:val="2D4F15F3"/>
    <w:rsid w:val="2D584D3A"/>
    <w:rsid w:val="2DB417F1"/>
    <w:rsid w:val="2E181FC2"/>
    <w:rsid w:val="2E4E1F49"/>
    <w:rsid w:val="2E536115"/>
    <w:rsid w:val="2E67149C"/>
    <w:rsid w:val="2F6A027E"/>
    <w:rsid w:val="2FAD2601"/>
    <w:rsid w:val="2FCD1DB8"/>
    <w:rsid w:val="2FF63FA8"/>
    <w:rsid w:val="30112A66"/>
    <w:rsid w:val="302C5C1C"/>
    <w:rsid w:val="30970EF9"/>
    <w:rsid w:val="316728EE"/>
    <w:rsid w:val="318F436B"/>
    <w:rsid w:val="31F25982"/>
    <w:rsid w:val="32C84C59"/>
    <w:rsid w:val="33576B0C"/>
    <w:rsid w:val="33955886"/>
    <w:rsid w:val="33F444ED"/>
    <w:rsid w:val="34047893"/>
    <w:rsid w:val="342B304A"/>
    <w:rsid w:val="344B355D"/>
    <w:rsid w:val="345F4AE7"/>
    <w:rsid w:val="35645DF0"/>
    <w:rsid w:val="3577196B"/>
    <w:rsid w:val="358B565D"/>
    <w:rsid w:val="35AE283E"/>
    <w:rsid w:val="36154A5C"/>
    <w:rsid w:val="36484E32"/>
    <w:rsid w:val="3652022B"/>
    <w:rsid w:val="36624B0F"/>
    <w:rsid w:val="36A83C60"/>
    <w:rsid w:val="36C27DF4"/>
    <w:rsid w:val="36D87C24"/>
    <w:rsid w:val="36E27034"/>
    <w:rsid w:val="36E96CF8"/>
    <w:rsid w:val="37A468BC"/>
    <w:rsid w:val="37FA104F"/>
    <w:rsid w:val="384024BF"/>
    <w:rsid w:val="38606463"/>
    <w:rsid w:val="38826E5B"/>
    <w:rsid w:val="39810D86"/>
    <w:rsid w:val="39E57690"/>
    <w:rsid w:val="3A563FC1"/>
    <w:rsid w:val="3B2D45F6"/>
    <w:rsid w:val="3B4771F9"/>
    <w:rsid w:val="3B723D3F"/>
    <w:rsid w:val="3BA42B0A"/>
    <w:rsid w:val="3BBA0580"/>
    <w:rsid w:val="3BF55114"/>
    <w:rsid w:val="3BF71417"/>
    <w:rsid w:val="3C14552C"/>
    <w:rsid w:val="3C522566"/>
    <w:rsid w:val="3C597D99"/>
    <w:rsid w:val="3C5C4EC6"/>
    <w:rsid w:val="3C8478FF"/>
    <w:rsid w:val="3D693CB4"/>
    <w:rsid w:val="3D76145F"/>
    <w:rsid w:val="3DBF0541"/>
    <w:rsid w:val="3E157A46"/>
    <w:rsid w:val="3E3C63FA"/>
    <w:rsid w:val="3E911D3D"/>
    <w:rsid w:val="3EE768AB"/>
    <w:rsid w:val="3F5C3F32"/>
    <w:rsid w:val="3F610E40"/>
    <w:rsid w:val="3F9F66C4"/>
    <w:rsid w:val="3FE81309"/>
    <w:rsid w:val="3FFE7913"/>
    <w:rsid w:val="40213EF2"/>
    <w:rsid w:val="41632323"/>
    <w:rsid w:val="41B82E6B"/>
    <w:rsid w:val="41BC4D59"/>
    <w:rsid w:val="41FB71FC"/>
    <w:rsid w:val="42347419"/>
    <w:rsid w:val="424E557E"/>
    <w:rsid w:val="429B0E50"/>
    <w:rsid w:val="42CC760E"/>
    <w:rsid w:val="436A4639"/>
    <w:rsid w:val="43CA4F48"/>
    <w:rsid w:val="43D774D6"/>
    <w:rsid w:val="443D426D"/>
    <w:rsid w:val="444C01E3"/>
    <w:rsid w:val="446474C0"/>
    <w:rsid w:val="44937D8E"/>
    <w:rsid w:val="453107DD"/>
    <w:rsid w:val="45386969"/>
    <w:rsid w:val="45492E01"/>
    <w:rsid w:val="455455A1"/>
    <w:rsid w:val="45F54222"/>
    <w:rsid w:val="46400E54"/>
    <w:rsid w:val="46A84EAC"/>
    <w:rsid w:val="46AC540A"/>
    <w:rsid w:val="46BB51AC"/>
    <w:rsid w:val="46FF5662"/>
    <w:rsid w:val="474B29D4"/>
    <w:rsid w:val="477C08BA"/>
    <w:rsid w:val="47B41E53"/>
    <w:rsid w:val="47E13C3A"/>
    <w:rsid w:val="47FC782A"/>
    <w:rsid w:val="48001F14"/>
    <w:rsid w:val="483F42E6"/>
    <w:rsid w:val="484D0C5F"/>
    <w:rsid w:val="485B09F4"/>
    <w:rsid w:val="48615377"/>
    <w:rsid w:val="492A3414"/>
    <w:rsid w:val="495A5639"/>
    <w:rsid w:val="496669E8"/>
    <w:rsid w:val="49C72912"/>
    <w:rsid w:val="4A4563A5"/>
    <w:rsid w:val="4A50682F"/>
    <w:rsid w:val="4A720F03"/>
    <w:rsid w:val="4B3A12EF"/>
    <w:rsid w:val="4B56219B"/>
    <w:rsid w:val="4C940979"/>
    <w:rsid w:val="4CCB126D"/>
    <w:rsid w:val="4CCF63D5"/>
    <w:rsid w:val="4DDF2F3E"/>
    <w:rsid w:val="4EAA5D9A"/>
    <w:rsid w:val="4F806F93"/>
    <w:rsid w:val="4FDA48F5"/>
    <w:rsid w:val="503906A3"/>
    <w:rsid w:val="504E57B3"/>
    <w:rsid w:val="50C3247B"/>
    <w:rsid w:val="50C64E79"/>
    <w:rsid w:val="510A33A9"/>
    <w:rsid w:val="512A1202"/>
    <w:rsid w:val="515F3303"/>
    <w:rsid w:val="517A4DFD"/>
    <w:rsid w:val="51E27A91"/>
    <w:rsid w:val="51FD1E54"/>
    <w:rsid w:val="52162B0A"/>
    <w:rsid w:val="527B665E"/>
    <w:rsid w:val="53410230"/>
    <w:rsid w:val="53646864"/>
    <w:rsid w:val="539417E3"/>
    <w:rsid w:val="53D357AD"/>
    <w:rsid w:val="53E130C0"/>
    <w:rsid w:val="544D15E9"/>
    <w:rsid w:val="54EF0E42"/>
    <w:rsid w:val="54F461F6"/>
    <w:rsid w:val="5586381E"/>
    <w:rsid w:val="55D96C1B"/>
    <w:rsid w:val="55DC48D3"/>
    <w:rsid w:val="55F15175"/>
    <w:rsid w:val="562A45DB"/>
    <w:rsid w:val="563523F6"/>
    <w:rsid w:val="566B30F8"/>
    <w:rsid w:val="57044CE4"/>
    <w:rsid w:val="573973D3"/>
    <w:rsid w:val="57661612"/>
    <w:rsid w:val="582F7099"/>
    <w:rsid w:val="58A40196"/>
    <w:rsid w:val="5919648E"/>
    <w:rsid w:val="59570D64"/>
    <w:rsid w:val="59BA053E"/>
    <w:rsid w:val="5B3E35D0"/>
    <w:rsid w:val="5B593923"/>
    <w:rsid w:val="5BEA2363"/>
    <w:rsid w:val="5BEC083F"/>
    <w:rsid w:val="5C621EFA"/>
    <w:rsid w:val="5CC7093E"/>
    <w:rsid w:val="5D1C654D"/>
    <w:rsid w:val="5D694A34"/>
    <w:rsid w:val="5DB669A1"/>
    <w:rsid w:val="5E3F00B0"/>
    <w:rsid w:val="5E947FC1"/>
    <w:rsid w:val="5EEB50D4"/>
    <w:rsid w:val="5EEF1F21"/>
    <w:rsid w:val="5F3173B5"/>
    <w:rsid w:val="5F4D3FCF"/>
    <w:rsid w:val="5F583B22"/>
    <w:rsid w:val="5F8C32F3"/>
    <w:rsid w:val="5FA26523"/>
    <w:rsid w:val="5FF4776B"/>
    <w:rsid w:val="61104FE4"/>
    <w:rsid w:val="61630BEE"/>
    <w:rsid w:val="619568CD"/>
    <w:rsid w:val="61AF2DC5"/>
    <w:rsid w:val="62163A9A"/>
    <w:rsid w:val="627411AA"/>
    <w:rsid w:val="63097573"/>
    <w:rsid w:val="631E55EA"/>
    <w:rsid w:val="63350368"/>
    <w:rsid w:val="63B618D9"/>
    <w:rsid w:val="63BB361B"/>
    <w:rsid w:val="63C67212"/>
    <w:rsid w:val="640824C9"/>
    <w:rsid w:val="640E2967"/>
    <w:rsid w:val="64352FBC"/>
    <w:rsid w:val="64355C74"/>
    <w:rsid w:val="64395C36"/>
    <w:rsid w:val="656C5B97"/>
    <w:rsid w:val="656E39FD"/>
    <w:rsid w:val="657447DF"/>
    <w:rsid w:val="65BB267B"/>
    <w:rsid w:val="65E16585"/>
    <w:rsid w:val="66D735DD"/>
    <w:rsid w:val="66FE26DD"/>
    <w:rsid w:val="670D726A"/>
    <w:rsid w:val="672F1572"/>
    <w:rsid w:val="675776F9"/>
    <w:rsid w:val="67696A92"/>
    <w:rsid w:val="67980EC5"/>
    <w:rsid w:val="67BE7135"/>
    <w:rsid w:val="67D87E6F"/>
    <w:rsid w:val="67E759A9"/>
    <w:rsid w:val="684218DF"/>
    <w:rsid w:val="68554A84"/>
    <w:rsid w:val="693C7F8D"/>
    <w:rsid w:val="694A4441"/>
    <w:rsid w:val="69704611"/>
    <w:rsid w:val="69C45FA2"/>
    <w:rsid w:val="69D34437"/>
    <w:rsid w:val="6A076E72"/>
    <w:rsid w:val="6A1E5620"/>
    <w:rsid w:val="6A64132A"/>
    <w:rsid w:val="6ADB1EAE"/>
    <w:rsid w:val="6AE54988"/>
    <w:rsid w:val="6B5D77D0"/>
    <w:rsid w:val="6BD66460"/>
    <w:rsid w:val="6C407A37"/>
    <w:rsid w:val="6CE96144"/>
    <w:rsid w:val="6CFD5DCC"/>
    <w:rsid w:val="6D65184A"/>
    <w:rsid w:val="6E2D4542"/>
    <w:rsid w:val="6E5420F5"/>
    <w:rsid w:val="6E6749CD"/>
    <w:rsid w:val="6EBA6E02"/>
    <w:rsid w:val="6ECE375D"/>
    <w:rsid w:val="6EF07185"/>
    <w:rsid w:val="6F247CE1"/>
    <w:rsid w:val="6F60488E"/>
    <w:rsid w:val="6FA93E9C"/>
    <w:rsid w:val="7094320D"/>
    <w:rsid w:val="71266C28"/>
    <w:rsid w:val="712B1784"/>
    <w:rsid w:val="713A123F"/>
    <w:rsid w:val="71574054"/>
    <w:rsid w:val="71C51628"/>
    <w:rsid w:val="71CF64C6"/>
    <w:rsid w:val="725F6DC8"/>
    <w:rsid w:val="72AB139A"/>
    <w:rsid w:val="72D8196B"/>
    <w:rsid w:val="731C0BFD"/>
    <w:rsid w:val="736D1A79"/>
    <w:rsid w:val="7372081D"/>
    <w:rsid w:val="739D11F2"/>
    <w:rsid w:val="73CF6A1B"/>
    <w:rsid w:val="73EE3226"/>
    <w:rsid w:val="743957DE"/>
    <w:rsid w:val="74937DF7"/>
    <w:rsid w:val="75310B19"/>
    <w:rsid w:val="754118DE"/>
    <w:rsid w:val="75526B58"/>
    <w:rsid w:val="75974387"/>
    <w:rsid w:val="75C31803"/>
    <w:rsid w:val="7601057E"/>
    <w:rsid w:val="7626217A"/>
    <w:rsid w:val="767B25F2"/>
    <w:rsid w:val="76B9374F"/>
    <w:rsid w:val="76CC0D21"/>
    <w:rsid w:val="76D637B8"/>
    <w:rsid w:val="770430E7"/>
    <w:rsid w:val="77157072"/>
    <w:rsid w:val="7783749C"/>
    <w:rsid w:val="7789082B"/>
    <w:rsid w:val="779506BA"/>
    <w:rsid w:val="77D42185"/>
    <w:rsid w:val="78354754"/>
    <w:rsid w:val="783E05AC"/>
    <w:rsid w:val="78682B85"/>
    <w:rsid w:val="78CA14F7"/>
    <w:rsid w:val="78CE3ED2"/>
    <w:rsid w:val="78E73A5B"/>
    <w:rsid w:val="78F9266D"/>
    <w:rsid w:val="7925031F"/>
    <w:rsid w:val="79951709"/>
    <w:rsid w:val="79A61AF2"/>
    <w:rsid w:val="79C93EE5"/>
    <w:rsid w:val="7A340F22"/>
    <w:rsid w:val="7A450F4C"/>
    <w:rsid w:val="7A9D6AC7"/>
    <w:rsid w:val="7AD17644"/>
    <w:rsid w:val="7B7D622B"/>
    <w:rsid w:val="7BB65191"/>
    <w:rsid w:val="7C004577"/>
    <w:rsid w:val="7CBC6FAC"/>
    <w:rsid w:val="7D272042"/>
    <w:rsid w:val="7DF432B4"/>
    <w:rsid w:val="7E4609B1"/>
    <w:rsid w:val="7E7676DA"/>
    <w:rsid w:val="7ED02DAB"/>
    <w:rsid w:val="7F125454"/>
    <w:rsid w:val="7F285EAB"/>
    <w:rsid w:val="7F441A8B"/>
    <w:rsid w:val="7F723A5A"/>
    <w:rsid w:val="7F734C64"/>
    <w:rsid w:val="7FB244DB"/>
    <w:rsid w:val="7FFA7B35"/>
    <w:rsid w:val="B15F0474"/>
    <w:rsid w:val="D9BA7ADD"/>
    <w:rsid w:val="DFE6475B"/>
    <w:rsid w:val="FFBBBA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2"/>
    <w:qFormat/>
    <w:uiPriority w:val="0"/>
    <w:pPr>
      <w:keepNext/>
      <w:keepLines/>
      <w:spacing w:before="260" w:after="260" w:line="416" w:lineRule="auto"/>
      <w:outlineLvl w:val="1"/>
    </w:pPr>
    <w:rPr>
      <w:rFonts w:ascii="等线 Light" w:hAnsi="等线 Light" w:eastAsia="等线 Light"/>
      <w:b/>
      <w:bCs/>
      <w:sz w:val="32"/>
      <w:szCs w:val="32"/>
    </w:rPr>
  </w:style>
  <w:style w:type="character" w:default="1" w:styleId="17">
    <w:name w:val="Default Paragraph Font"/>
    <w:semiHidden/>
    <w:unhideWhenUsed/>
    <w:uiPriority w:val="1"/>
  </w:style>
  <w:style w:type="table" w:default="1" w:styleId="15">
    <w:name w:val="Normal Table"/>
    <w:semiHidden/>
    <w:unhideWhenUsed/>
    <w:uiPriority w:val="99"/>
    <w:tblPr>
      <w:tblCellMar>
        <w:top w:w="0" w:type="dxa"/>
        <w:left w:w="108" w:type="dxa"/>
        <w:bottom w:w="0" w:type="dxa"/>
        <w:right w:w="108" w:type="dxa"/>
      </w:tblCellMar>
    </w:tblPr>
  </w:style>
  <w:style w:type="paragraph" w:styleId="4">
    <w:name w:val="Document Map"/>
    <w:basedOn w:val="1"/>
    <w:semiHidden/>
    <w:qFormat/>
    <w:uiPriority w:val="0"/>
    <w:pPr>
      <w:shd w:val="clear" w:color="auto" w:fill="000080"/>
    </w:pPr>
  </w:style>
  <w:style w:type="paragraph" w:styleId="5">
    <w:name w:val="annotation text"/>
    <w:basedOn w:val="1"/>
    <w:link w:val="23"/>
    <w:qFormat/>
    <w:uiPriority w:val="0"/>
    <w:pPr>
      <w:jc w:val="left"/>
    </w:pPr>
    <w:rPr>
      <w:rFonts w:eastAsia="Adobe 仿宋 Std R"/>
      <w:sz w:val="32"/>
    </w:rPr>
  </w:style>
  <w:style w:type="paragraph" w:styleId="6">
    <w:name w:val="Date"/>
    <w:basedOn w:val="1"/>
    <w:next w:val="1"/>
    <w:link w:val="24"/>
    <w:qFormat/>
    <w:uiPriority w:val="0"/>
    <w:pPr>
      <w:ind w:left="100" w:leftChars="2500"/>
    </w:pPr>
  </w:style>
  <w:style w:type="paragraph" w:styleId="7">
    <w:name w:val="Balloon Text"/>
    <w:basedOn w:val="1"/>
    <w:semiHidden/>
    <w:qFormat/>
    <w:uiPriority w:val="0"/>
    <w:rPr>
      <w:sz w:val="18"/>
      <w:szCs w:val="18"/>
    </w:rPr>
  </w:style>
  <w:style w:type="paragraph" w:styleId="8">
    <w:name w:val="footer"/>
    <w:basedOn w:val="1"/>
    <w:link w:val="25"/>
    <w:qFormat/>
    <w:uiPriority w:val="99"/>
    <w:pPr>
      <w:tabs>
        <w:tab w:val="center" w:pos="4153"/>
        <w:tab w:val="right" w:pos="8306"/>
      </w:tabs>
      <w:snapToGrid w:val="0"/>
      <w:jc w:val="left"/>
    </w:pPr>
    <w:rPr>
      <w:sz w:val="18"/>
      <w:szCs w:val="18"/>
    </w:rPr>
  </w:style>
  <w:style w:type="paragraph" w:styleId="9">
    <w:name w:val="header"/>
    <w:basedOn w:val="1"/>
    <w:link w:val="26"/>
    <w:qFormat/>
    <w:uiPriority w:val="99"/>
    <w:pPr>
      <w:pBdr>
        <w:bottom w:val="single" w:color="auto" w:sz="6" w:space="1"/>
      </w:pBdr>
      <w:tabs>
        <w:tab w:val="center" w:pos="4153"/>
        <w:tab w:val="right" w:pos="8306"/>
      </w:tabs>
      <w:snapToGrid w:val="0"/>
      <w:jc w:val="center"/>
    </w:pPr>
    <w:rPr>
      <w:sz w:val="18"/>
      <w:szCs w:val="18"/>
    </w:rPr>
  </w:style>
  <w:style w:type="paragraph" w:styleId="10">
    <w:name w:val="Subtitle"/>
    <w:next w:val="11"/>
    <w:qFormat/>
    <w:uiPriority w:val="0"/>
    <w:pPr>
      <w:jc w:val="center"/>
    </w:pPr>
    <w:rPr>
      <w:rFonts w:hint="eastAsia" w:ascii="Arial Unicode MS" w:hAnsi="Arial Unicode MS" w:eastAsia="Baskerville" w:cs="Arial Unicode MS"/>
      <w:color w:val="DC5921"/>
      <w:spacing w:val="6"/>
      <w:sz w:val="64"/>
      <w:szCs w:val="64"/>
      <w:lang w:val="en-US" w:eastAsia="zh-CN" w:bidi="ar-SA"/>
    </w:rPr>
  </w:style>
  <w:style w:type="paragraph" w:customStyle="1" w:styleId="11">
    <w:name w:val="正文 2"/>
    <w:qFormat/>
    <w:uiPriority w:val="0"/>
    <w:pPr>
      <w:spacing w:after="80" w:line="288" w:lineRule="auto"/>
    </w:pPr>
    <w:rPr>
      <w:rFonts w:ascii="Baskerville" w:hAnsi="Baskerville" w:eastAsia="Baskerville" w:cs="Baskerville"/>
      <w:color w:val="434343"/>
      <w:sz w:val="24"/>
      <w:szCs w:val="24"/>
      <w:lang w:val="en-US" w:eastAsia="zh-CN" w:bidi="ar-SA"/>
    </w:rPr>
  </w:style>
  <w:style w:type="paragraph" w:styleId="12">
    <w:name w:val="Normal (Web)"/>
    <w:basedOn w:val="1"/>
    <w:unhideWhenUsed/>
    <w:qFormat/>
    <w:uiPriority w:val="99"/>
    <w:rPr>
      <w:sz w:val="24"/>
    </w:rPr>
  </w:style>
  <w:style w:type="paragraph" w:styleId="13">
    <w:name w:val="Title"/>
    <w:basedOn w:val="1"/>
    <w:next w:val="1"/>
    <w:qFormat/>
    <w:uiPriority w:val="10"/>
    <w:pPr>
      <w:overflowPunct w:val="0"/>
      <w:spacing w:line="520" w:lineRule="exact"/>
      <w:ind w:firstLine="640" w:firstLineChars="200"/>
      <w:outlineLvl w:val="1"/>
    </w:pPr>
    <w:rPr>
      <w:rFonts w:eastAsia="楷体"/>
      <w:bCs/>
      <w:color w:val="000000"/>
      <w:sz w:val="32"/>
      <w:szCs w:val="32"/>
    </w:rPr>
  </w:style>
  <w:style w:type="paragraph" w:styleId="14">
    <w:name w:val="annotation subject"/>
    <w:basedOn w:val="5"/>
    <w:next w:val="5"/>
    <w:link w:val="27"/>
    <w:qFormat/>
    <w:uiPriority w:val="0"/>
    <w:rPr>
      <w:b/>
      <w:bCs/>
    </w:rPr>
  </w:style>
  <w:style w:type="table" w:styleId="16">
    <w:name w:val="Table Grid"/>
    <w:basedOn w:val="1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0"/>
    <w:rPr>
      <w:b/>
    </w:rPr>
  </w:style>
  <w:style w:type="character" w:styleId="19">
    <w:name w:val="page number"/>
    <w:qFormat/>
    <w:uiPriority w:val="0"/>
  </w:style>
  <w:style w:type="character" w:styleId="20">
    <w:name w:val="Hyperlink"/>
    <w:basedOn w:val="17"/>
    <w:qFormat/>
    <w:uiPriority w:val="0"/>
    <w:rPr>
      <w:color w:val="0000FF"/>
      <w:u w:val="single"/>
    </w:rPr>
  </w:style>
  <w:style w:type="character" w:styleId="21">
    <w:name w:val="annotation reference"/>
    <w:qFormat/>
    <w:uiPriority w:val="0"/>
    <w:rPr>
      <w:sz w:val="21"/>
      <w:szCs w:val="21"/>
    </w:rPr>
  </w:style>
  <w:style w:type="character" w:customStyle="1" w:styleId="22">
    <w:name w:val="标题 2 字符"/>
    <w:link w:val="3"/>
    <w:semiHidden/>
    <w:qFormat/>
    <w:uiPriority w:val="0"/>
    <w:rPr>
      <w:rFonts w:ascii="等线 Light" w:hAnsi="等线 Light" w:eastAsia="等线 Light" w:cs="Times New Roman"/>
      <w:b/>
      <w:bCs/>
      <w:kern w:val="2"/>
      <w:sz w:val="32"/>
      <w:szCs w:val="32"/>
    </w:rPr>
  </w:style>
  <w:style w:type="character" w:customStyle="1" w:styleId="23">
    <w:name w:val="批注文字 字符"/>
    <w:link w:val="5"/>
    <w:qFormat/>
    <w:uiPriority w:val="0"/>
    <w:rPr>
      <w:kern w:val="2"/>
      <w:sz w:val="21"/>
      <w:szCs w:val="24"/>
    </w:rPr>
  </w:style>
  <w:style w:type="character" w:customStyle="1" w:styleId="24">
    <w:name w:val="日期 字符"/>
    <w:link w:val="6"/>
    <w:qFormat/>
    <w:uiPriority w:val="0"/>
    <w:rPr>
      <w:kern w:val="2"/>
      <w:sz w:val="21"/>
      <w:szCs w:val="24"/>
    </w:rPr>
  </w:style>
  <w:style w:type="character" w:customStyle="1" w:styleId="25">
    <w:name w:val="页脚 字符"/>
    <w:link w:val="8"/>
    <w:qFormat/>
    <w:uiPriority w:val="99"/>
    <w:rPr>
      <w:kern w:val="2"/>
      <w:sz w:val="18"/>
      <w:szCs w:val="18"/>
    </w:rPr>
  </w:style>
  <w:style w:type="character" w:customStyle="1" w:styleId="26">
    <w:name w:val="页眉 字符"/>
    <w:link w:val="9"/>
    <w:qFormat/>
    <w:uiPriority w:val="99"/>
    <w:rPr>
      <w:kern w:val="2"/>
      <w:sz w:val="18"/>
      <w:szCs w:val="18"/>
    </w:rPr>
  </w:style>
  <w:style w:type="character" w:customStyle="1" w:styleId="27">
    <w:name w:val="批注主题 字符"/>
    <w:link w:val="14"/>
    <w:qFormat/>
    <w:uiPriority w:val="0"/>
    <w:rPr>
      <w:b/>
      <w:bCs/>
      <w:kern w:val="2"/>
      <w:sz w:val="21"/>
      <w:szCs w:val="24"/>
    </w:rPr>
  </w:style>
  <w:style w:type="paragraph" w:styleId="28">
    <w:name w:val="No Spacing"/>
    <w:qFormat/>
    <w:uiPriority w:val="0"/>
    <w:pPr>
      <w:adjustRightInd w:val="0"/>
      <w:snapToGrid w:val="0"/>
    </w:pPr>
    <w:rPr>
      <w:rFonts w:ascii="Tahoma" w:hAnsi="Tahoma" w:eastAsia="微软雅黑" w:cs="Times New Roman"/>
      <w:sz w:val="22"/>
      <w:szCs w:val="22"/>
      <w:lang w:val="en-US" w:eastAsia="zh-CN" w:bidi="ar-SA"/>
    </w:rPr>
  </w:style>
  <w:style w:type="paragraph" w:customStyle="1" w:styleId="29">
    <w:name w:val="王奕，内文"/>
    <w:basedOn w:val="12"/>
    <w:qFormat/>
    <w:uiPriority w:val="0"/>
    <w:pPr>
      <w:widowControl/>
      <w:spacing w:line="360" w:lineRule="auto"/>
    </w:pPr>
    <w:rPr>
      <w:color w:val="000000"/>
      <w:kern w:val="0"/>
    </w:rPr>
  </w:style>
  <w:style w:type="paragraph" w:customStyle="1" w:styleId="30">
    <w:name w:val="段"/>
    <w:qFormat/>
    <w:uiPriority w:val="0"/>
    <w:pPr>
      <w:autoSpaceDE w:val="0"/>
      <w:autoSpaceDN w:val="0"/>
      <w:ind w:firstLine="200" w:firstLineChars="200"/>
      <w:jc w:val="both"/>
    </w:pPr>
    <w:rPr>
      <w:rFonts w:ascii="宋体" w:hAnsi="Calibri" w:eastAsia="宋体" w:cs="Times New Roman"/>
      <w:kern w:val="2"/>
      <w:sz w:val="21"/>
      <w:szCs w:val="22"/>
      <w:lang w:val="en-US" w:eastAsia="zh-CN" w:bidi="ar-SA"/>
    </w:rPr>
  </w:style>
  <w:style w:type="paragraph" w:styleId="31">
    <w:name w:val="List Paragraph"/>
    <w:basedOn w:val="1"/>
    <w:qFormat/>
    <w:uiPriority w:val="99"/>
    <w:pPr>
      <w:ind w:firstLine="420" w:firstLineChars="200"/>
    </w:pPr>
  </w:style>
  <w:style w:type="paragraph" w:customStyle="1" w:styleId="32">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33">
    <w:name w:val="样式1"/>
    <w:basedOn w:val="1"/>
    <w:link w:val="34"/>
    <w:qFormat/>
    <w:uiPriority w:val="0"/>
    <w:pPr>
      <w:numPr>
        <w:ilvl w:val="0"/>
        <w:numId w:val="1"/>
      </w:numPr>
      <w:spacing w:line="520" w:lineRule="exact"/>
      <w:ind w:firstLine="640" w:firstLineChars="200"/>
      <w:outlineLvl w:val="0"/>
    </w:pPr>
    <w:rPr>
      <w:rFonts w:eastAsia="黑体"/>
      <w:sz w:val="32"/>
      <w:szCs w:val="32"/>
    </w:rPr>
  </w:style>
  <w:style w:type="character" w:customStyle="1" w:styleId="34">
    <w:name w:val="样式1 字符"/>
    <w:link w:val="33"/>
    <w:qFormat/>
    <w:uiPriority w:val="0"/>
    <w:rPr>
      <w:rFonts w:eastAsia="黑体"/>
      <w:kern w:val="2"/>
      <w:sz w:val="32"/>
      <w:szCs w:val="32"/>
    </w:rPr>
  </w:style>
  <w:style w:type="paragraph" w:customStyle="1" w:styleId="35">
    <w:name w:val="样式2"/>
    <w:basedOn w:val="1"/>
    <w:link w:val="36"/>
    <w:qFormat/>
    <w:uiPriority w:val="0"/>
    <w:pPr>
      <w:spacing w:line="520" w:lineRule="exact"/>
      <w:ind w:firstLine="640" w:firstLineChars="200"/>
      <w:outlineLvl w:val="0"/>
    </w:pPr>
    <w:rPr>
      <w:rFonts w:eastAsia="楷体_GB2312"/>
      <w:kern w:val="0"/>
      <w:sz w:val="32"/>
      <w:szCs w:val="32"/>
    </w:rPr>
  </w:style>
  <w:style w:type="character" w:customStyle="1" w:styleId="36">
    <w:name w:val="样式2 字符"/>
    <w:link w:val="35"/>
    <w:qFormat/>
    <w:uiPriority w:val="0"/>
    <w:rPr>
      <w:rFonts w:eastAsia="楷体_GB2312"/>
      <w:sz w:val="32"/>
      <w:szCs w:val="32"/>
    </w:rPr>
  </w:style>
  <w:style w:type="paragraph" w:customStyle="1" w:styleId="37">
    <w:name w:val="样式3"/>
    <w:basedOn w:val="1"/>
    <w:link w:val="38"/>
    <w:qFormat/>
    <w:uiPriority w:val="0"/>
    <w:pPr>
      <w:spacing w:line="520" w:lineRule="exact"/>
      <w:ind w:firstLine="640" w:firstLineChars="200"/>
    </w:pPr>
    <w:rPr>
      <w:rFonts w:eastAsia="仿宋_GB2312"/>
      <w:sz w:val="32"/>
      <w:szCs w:val="28"/>
    </w:rPr>
  </w:style>
  <w:style w:type="character" w:customStyle="1" w:styleId="38">
    <w:name w:val="样式3 字符"/>
    <w:link w:val="37"/>
    <w:qFormat/>
    <w:uiPriority w:val="0"/>
    <w:rPr>
      <w:rFonts w:eastAsia="仿宋_GB2312"/>
      <w:kern w:val="2"/>
      <w:sz w:val="32"/>
      <w:szCs w:val="28"/>
    </w:rPr>
  </w:style>
  <w:style w:type="paragraph" w:customStyle="1" w:styleId="39">
    <w:name w:val="msolistparagraph"/>
    <w:basedOn w:val="1"/>
    <w:qFormat/>
    <w:uiPriority w:val="0"/>
    <w:pPr>
      <w:ind w:firstLine="420" w:firstLineChars="200"/>
      <w:jc w:val="left"/>
    </w:pPr>
    <w:rPr>
      <w:rFonts w:eastAsia="Adobe 仿宋 Std R"/>
      <w:sz w:val="32"/>
    </w:rPr>
  </w:style>
  <w:style w:type="character" w:customStyle="1" w:styleId="40">
    <w:name w:val="font71"/>
    <w:basedOn w:val="17"/>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Xtzj.Com</Company>
  <Pages>22</Pages>
  <Words>10205</Words>
  <Characters>10578</Characters>
  <Lines>278</Lines>
  <Paragraphs>228</Paragraphs>
  <TotalTime>14</TotalTime>
  <ScaleCrop>false</ScaleCrop>
  <LinksUpToDate>false</LinksUpToDate>
  <CharactersWithSpaces>10663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2024-11-15T06:57:00Z</dcterms:created>
  <dc:creator>Xtzj.User</dc:creator>
  <cp:lastModifiedBy>Robin</cp:lastModifiedBy>
  <cp:lastPrinted>2023-09-25T02:37:00Z</cp:lastPrinted>
  <dcterms:modified xsi:type="dcterms:W3CDTF">2026-01-16T05:08:30Z</dcterms:modified>
  <dc:title>（局发文式样）</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1E28C182DFF44163A62D42E21B671DA0_13</vt:lpwstr>
  </property>
  <property fmtid="{D5CDD505-2E9C-101B-9397-08002B2CF9AE}" pid="4" name="KSOTemplateDocerSaveRecord">
    <vt:lpwstr>eyJoZGlkIjoiM2MyNzMyMzlkM2MwMzVhOGNiMjQ0OGI2OWMxMmQ2ZGMiLCJ1c2VySWQiOiIxMzc0NjQxMDc4In0=</vt:lpwstr>
  </property>
</Properties>
</file>