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7D6" w:rsidRDefault="00B32101" w:rsidP="003B5552">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人表皮生长因子受体2基因扩增检测试剂注册审查指导原则（2025年修订版</w:t>
      </w:r>
      <w:r w:rsidR="00D807D6">
        <w:rPr>
          <w:rFonts w:ascii="方正小标宋简体" w:eastAsia="方正小标宋简体" w:hint="eastAsia"/>
          <w:sz w:val="44"/>
          <w:szCs w:val="44"/>
        </w:rPr>
        <w:t>）</w:t>
      </w:r>
    </w:p>
    <w:p w:rsidR="002F619A" w:rsidRDefault="00D807D6" w:rsidP="001066F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w:t>
      </w:r>
      <w:r w:rsidR="00B32101">
        <w:rPr>
          <w:rFonts w:ascii="方正小标宋简体" w:eastAsia="方正小标宋简体" w:hint="eastAsia"/>
          <w:sz w:val="44"/>
          <w:szCs w:val="44"/>
        </w:rPr>
        <w:t>征求意见稿）</w:t>
      </w:r>
    </w:p>
    <w:p w:rsidR="002F619A" w:rsidRDefault="002F619A" w:rsidP="001066FC">
      <w:pPr>
        <w:spacing w:line="520" w:lineRule="exact"/>
        <w:jc w:val="center"/>
        <w:rPr>
          <w:rFonts w:ascii="方正小标宋简体" w:eastAsia="方正小标宋简体"/>
          <w:sz w:val="44"/>
          <w:szCs w:val="44"/>
        </w:rPr>
      </w:pP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本指导原则旨在指导申请人对</w:t>
      </w:r>
      <w:r>
        <w:rPr>
          <w:rFonts w:ascii="Times New Roman" w:eastAsia="仿宋_GB2312" w:hAnsi="Times New Roman" w:hint="eastAsia"/>
          <w:sz w:val="32"/>
          <w:szCs w:val="32"/>
        </w:rPr>
        <w:t>人表皮生长因子受体</w:t>
      </w:r>
      <w:r>
        <w:rPr>
          <w:rFonts w:ascii="Times New Roman" w:eastAsia="仿宋_GB2312" w:hAnsi="Times New Roman" w:hint="eastAsia"/>
          <w:sz w:val="32"/>
          <w:szCs w:val="32"/>
        </w:rPr>
        <w:t>2</w:t>
      </w:r>
      <w:r>
        <w:rPr>
          <w:rFonts w:ascii="Times New Roman" w:eastAsia="仿宋_GB2312" w:hAnsi="Times New Roman" w:hint="eastAsia"/>
          <w:sz w:val="32"/>
          <w:szCs w:val="32"/>
        </w:rPr>
        <w:t>基因扩增检测试剂盒（荧光原位杂交法）</w:t>
      </w:r>
      <w:r>
        <w:rPr>
          <w:rFonts w:ascii="Times New Roman" w:eastAsia="仿宋_GB2312" w:hAnsi="Times New Roman"/>
          <w:sz w:val="32"/>
          <w:szCs w:val="32"/>
        </w:rPr>
        <w:t>注册申报资料的准备及撰写，同时也为技术审评部门对注册申报资料的技术审评提供参考。</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本指导原则是对</w:t>
      </w:r>
      <w:r>
        <w:rPr>
          <w:rFonts w:ascii="Times New Roman" w:eastAsia="仿宋_GB2312" w:hAnsi="Times New Roman" w:hint="eastAsia"/>
          <w:sz w:val="32"/>
          <w:szCs w:val="32"/>
        </w:rPr>
        <w:t>人表皮生长因子受体</w:t>
      </w:r>
      <w:r>
        <w:rPr>
          <w:rFonts w:ascii="Times New Roman" w:eastAsia="仿宋_GB2312" w:hAnsi="Times New Roman" w:hint="eastAsia"/>
          <w:sz w:val="32"/>
          <w:szCs w:val="32"/>
        </w:rPr>
        <w:t>2</w:t>
      </w:r>
      <w:r>
        <w:rPr>
          <w:rFonts w:ascii="Times New Roman" w:eastAsia="仿宋_GB2312" w:hAnsi="Times New Roman" w:hint="eastAsia"/>
          <w:sz w:val="32"/>
          <w:szCs w:val="32"/>
        </w:rPr>
        <w:t>基因扩增检测试剂盒（荧光原位杂交法）</w:t>
      </w:r>
      <w:r>
        <w:rPr>
          <w:rFonts w:ascii="Times New Roman" w:eastAsia="仿宋_GB2312" w:hAnsi="Times New Roman"/>
          <w:sz w:val="32"/>
          <w:szCs w:val="32"/>
        </w:rPr>
        <w:t>的一般要求，申请人应依据产品的具体特性确定其中内容是否适用，若不适用，需具体阐述理由及相应的科学依据，并依据产品的具体特性对注册申报资料的内容进行充实和细化。</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w:t>
      </w:r>
      <w:r>
        <w:rPr>
          <w:rFonts w:ascii="Times New Roman" w:eastAsia="仿宋_GB2312" w:hAnsi="Times New Roman" w:hint="eastAsia"/>
          <w:sz w:val="32"/>
          <w:szCs w:val="32"/>
        </w:rPr>
        <w:t>供</w:t>
      </w:r>
      <w:r>
        <w:rPr>
          <w:rFonts w:ascii="Times New Roman" w:eastAsia="仿宋_GB2312" w:hAnsi="Times New Roman"/>
          <w:sz w:val="32"/>
          <w:szCs w:val="32"/>
        </w:rPr>
        <w:t>申请人和</w:t>
      </w:r>
      <w:r>
        <w:rPr>
          <w:rFonts w:ascii="Times New Roman" w:eastAsia="仿宋_GB2312" w:hAnsi="Times New Roman" w:hint="eastAsia"/>
          <w:sz w:val="32"/>
          <w:szCs w:val="32"/>
        </w:rPr>
        <w:t>技术审评</w:t>
      </w:r>
      <w:r>
        <w:rPr>
          <w:rFonts w:ascii="Times New Roman" w:eastAsia="仿宋_GB2312" w:hAnsi="Times New Roman"/>
          <w:sz w:val="32"/>
          <w:szCs w:val="32"/>
        </w:rPr>
        <w:t>人员</w:t>
      </w:r>
      <w:r>
        <w:rPr>
          <w:rFonts w:ascii="Times New Roman" w:eastAsia="仿宋_GB2312" w:hAnsi="Times New Roman" w:hint="eastAsia"/>
          <w:sz w:val="32"/>
          <w:szCs w:val="32"/>
        </w:rPr>
        <w:t>使用</w:t>
      </w:r>
      <w:r>
        <w:rPr>
          <w:rFonts w:ascii="Times New Roman" w:eastAsia="仿宋_GB2312" w:hAnsi="Times New Roman"/>
          <w:sz w:val="32"/>
          <w:szCs w:val="32"/>
        </w:rPr>
        <w:t>的指导性文件，但不包括注册审批所涉及的行政事项，也不作为法规强制执行，如有能够满足相关法规要求的其他方法，也可以采用，但需要提供详细的研究资料和验证资料，相关人员应在遵循相关法规的前提下使用本指导原则。</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本指导原则是在现行法规和标准体系以及当前认知水平下制定的，随着法规和标准的不断完善，以及科学技术的不断发展，本指导原则</w:t>
      </w:r>
      <w:r>
        <w:rPr>
          <w:rFonts w:ascii="Times New Roman" w:eastAsia="仿宋_GB2312" w:hAnsi="Times New Roman" w:hint="eastAsia"/>
          <w:sz w:val="32"/>
          <w:szCs w:val="32"/>
        </w:rPr>
        <w:t>的</w:t>
      </w:r>
      <w:r>
        <w:rPr>
          <w:rFonts w:ascii="Times New Roman" w:eastAsia="仿宋_GB2312" w:hAnsi="Times New Roman"/>
          <w:sz w:val="32"/>
          <w:szCs w:val="32"/>
        </w:rPr>
        <w:t>相关内容也将适时进行调整。</w:t>
      </w:r>
    </w:p>
    <w:p w:rsidR="002F619A" w:rsidRDefault="00B32101" w:rsidP="00B735C7">
      <w:pPr>
        <w:numPr>
          <w:ilvl w:val="0"/>
          <w:numId w:val="1"/>
        </w:numPr>
        <w:spacing w:line="520" w:lineRule="exact"/>
        <w:ind w:firstLineChars="200" w:firstLine="640"/>
        <w:rPr>
          <w:rFonts w:ascii="Times New Roman" w:eastAsia="仿宋_GB2312" w:hAnsi="Times New Roman"/>
          <w:color w:val="000000"/>
          <w:spacing w:val="-6"/>
          <w:kern w:val="0"/>
          <w:sz w:val="32"/>
          <w:szCs w:val="32"/>
        </w:rPr>
      </w:pPr>
      <w:r>
        <w:rPr>
          <w:rFonts w:ascii="Times New Roman" w:eastAsia="黑体" w:hAnsi="Times New Roman" w:cs="宋体" w:hint="eastAsia"/>
          <w:bCs/>
          <w:color w:val="000000"/>
          <w:sz w:val="32"/>
          <w:szCs w:val="32"/>
        </w:rPr>
        <w:t>适用范围</w:t>
      </w:r>
      <w:r>
        <w:rPr>
          <w:rFonts w:ascii="Times New Roman" w:eastAsia="仿宋_GB2312"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kern w:val="0"/>
          <w:sz w:val="32"/>
          <w:szCs w:val="32"/>
        </w:rPr>
        <w:t>本</w:t>
      </w:r>
      <w:r>
        <w:rPr>
          <w:rFonts w:ascii="Times New Roman" w:eastAsia="仿宋_GB2312" w:hAnsi="Times New Roman"/>
          <w:color w:val="000000"/>
          <w:spacing w:val="-6"/>
          <w:kern w:val="0"/>
          <w:sz w:val="32"/>
          <w:szCs w:val="32"/>
        </w:rPr>
        <w:t>指导原则适用于采用荧光原位杂交方法</w:t>
      </w:r>
      <w:r>
        <w:rPr>
          <w:rFonts w:ascii="Times New Roman" w:eastAsia="仿宋_GB2312" w:hAnsi="Times New Roman" w:hint="eastAsia"/>
          <w:color w:val="000000"/>
          <w:spacing w:val="-6"/>
          <w:kern w:val="0"/>
          <w:sz w:val="32"/>
          <w:szCs w:val="32"/>
        </w:rPr>
        <w:t>（</w:t>
      </w:r>
      <w:r>
        <w:rPr>
          <w:rFonts w:ascii="Times New Roman" w:eastAsia="仿宋_GB2312" w:hAnsi="Times New Roman" w:hint="eastAsia"/>
          <w:color w:val="000000"/>
          <w:spacing w:val="-6"/>
          <w:kern w:val="0"/>
          <w:sz w:val="32"/>
          <w:szCs w:val="32"/>
        </w:rPr>
        <w:t>Fluoresence in situ hybridization</w:t>
      </w:r>
      <w:r>
        <w:rPr>
          <w:rFonts w:ascii="Times New Roman" w:eastAsia="仿宋_GB2312" w:hAnsi="Times New Roman" w:hint="eastAsia"/>
          <w:color w:val="000000"/>
          <w:spacing w:val="-6"/>
          <w:kern w:val="0"/>
          <w:sz w:val="32"/>
          <w:szCs w:val="32"/>
        </w:rPr>
        <w:t>，</w:t>
      </w:r>
      <w:r>
        <w:rPr>
          <w:rFonts w:ascii="Times New Roman" w:eastAsia="仿宋_GB2312" w:hAnsi="Times New Roman" w:hint="eastAsia"/>
          <w:color w:val="000000"/>
          <w:spacing w:val="-6"/>
          <w:kern w:val="0"/>
          <w:sz w:val="32"/>
          <w:szCs w:val="32"/>
        </w:rPr>
        <w:t>FISH</w:t>
      </w:r>
      <w:r>
        <w:rPr>
          <w:rFonts w:ascii="Times New Roman" w:eastAsia="仿宋_GB2312" w:hAnsi="Times New Roman" w:hint="eastAsia"/>
          <w:color w:val="000000"/>
          <w:spacing w:val="-6"/>
          <w:kern w:val="0"/>
          <w:sz w:val="32"/>
          <w:szCs w:val="32"/>
        </w:rPr>
        <w:t>）</w:t>
      </w:r>
      <w:r>
        <w:rPr>
          <w:rFonts w:ascii="Times New Roman" w:eastAsia="仿宋_GB2312" w:hAnsi="Times New Roman"/>
          <w:color w:val="000000"/>
          <w:spacing w:val="-6"/>
          <w:kern w:val="0"/>
          <w:sz w:val="32"/>
          <w:szCs w:val="32"/>
        </w:rPr>
        <w:t>检测手术切除样本和活检样本的组织切片中的</w:t>
      </w:r>
      <w:r>
        <w:rPr>
          <w:rFonts w:ascii="Times New Roman" w:eastAsia="仿宋_GB2312" w:hAnsi="Times New Roman" w:hint="eastAsia"/>
          <w:color w:val="000000"/>
          <w:spacing w:val="-6"/>
          <w:kern w:val="0"/>
          <w:sz w:val="32"/>
          <w:szCs w:val="32"/>
        </w:rPr>
        <w:t>人表皮生长因子受体</w:t>
      </w:r>
      <w:r>
        <w:rPr>
          <w:rFonts w:ascii="Times New Roman" w:eastAsia="仿宋_GB2312" w:hAnsi="Times New Roman" w:hint="eastAsia"/>
          <w:color w:val="000000"/>
          <w:spacing w:val="-6"/>
          <w:kern w:val="0"/>
          <w:sz w:val="32"/>
          <w:szCs w:val="32"/>
        </w:rPr>
        <w:t>2</w:t>
      </w:r>
      <w:r>
        <w:rPr>
          <w:rFonts w:ascii="Times New Roman" w:eastAsia="仿宋_GB2312" w:hAnsi="Times New Roman" w:hint="eastAsia"/>
          <w:color w:val="000000"/>
          <w:spacing w:val="-6"/>
          <w:kern w:val="0"/>
          <w:sz w:val="32"/>
          <w:szCs w:val="32"/>
        </w:rPr>
        <w:t>（</w:t>
      </w:r>
      <w:r>
        <w:rPr>
          <w:rFonts w:ascii="Times New Roman" w:eastAsia="仿宋_GB2312" w:hAnsi="Times New Roman" w:cs="Times New Roman"/>
          <w:color w:val="000000"/>
          <w:kern w:val="0"/>
          <w:sz w:val="32"/>
          <w:szCs w:val="32"/>
        </w:rPr>
        <w:t>Human Epidermal growth factor Receptor 2</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pacing w:val="-6"/>
          <w:kern w:val="0"/>
          <w:sz w:val="32"/>
          <w:szCs w:val="32"/>
        </w:rPr>
        <w:t>HER2</w:t>
      </w:r>
      <w:r>
        <w:rPr>
          <w:rFonts w:ascii="Times New Roman" w:eastAsia="仿宋_GB2312" w:hAnsi="Times New Roman" w:cs="Times New Roman"/>
          <w:color w:val="000000"/>
          <w:spacing w:val="-6"/>
          <w:kern w:val="0"/>
          <w:sz w:val="32"/>
          <w:szCs w:val="32"/>
        </w:rPr>
        <w:t>）</w:t>
      </w:r>
      <w:r>
        <w:rPr>
          <w:rFonts w:ascii="Times New Roman" w:eastAsia="仿宋_GB2312" w:hAnsi="Times New Roman"/>
          <w:color w:val="000000"/>
          <w:spacing w:val="-6"/>
          <w:kern w:val="0"/>
          <w:sz w:val="32"/>
          <w:szCs w:val="32"/>
        </w:rPr>
        <w:t>基因扩增情况，包括</w:t>
      </w:r>
      <w:r>
        <w:rPr>
          <w:rFonts w:ascii="Times New Roman" w:eastAsia="仿宋_GB2312" w:hAnsi="Times New Roman"/>
          <w:color w:val="000000"/>
          <w:spacing w:val="-6"/>
          <w:kern w:val="0"/>
          <w:sz w:val="32"/>
          <w:szCs w:val="32"/>
        </w:rPr>
        <w:t>HER2</w:t>
      </w:r>
      <w:r>
        <w:rPr>
          <w:rFonts w:ascii="Times New Roman" w:eastAsia="仿宋_GB2312" w:hAnsi="Times New Roman"/>
          <w:color w:val="000000"/>
          <w:spacing w:val="-6"/>
          <w:kern w:val="0"/>
          <w:sz w:val="32"/>
          <w:szCs w:val="32"/>
        </w:rPr>
        <w:t>基因平均拷贝数（单信号）、</w:t>
      </w:r>
      <w:r>
        <w:rPr>
          <w:rFonts w:ascii="Times New Roman" w:eastAsia="仿宋_GB2312" w:hAnsi="Times New Roman"/>
          <w:color w:val="000000"/>
          <w:spacing w:val="-6"/>
          <w:kern w:val="0"/>
          <w:sz w:val="32"/>
          <w:szCs w:val="32"/>
        </w:rPr>
        <w:t>HER2</w:t>
      </w:r>
      <w:r>
        <w:rPr>
          <w:rFonts w:ascii="Times New Roman" w:eastAsia="仿宋_GB2312" w:hAnsi="Times New Roman"/>
          <w:color w:val="000000"/>
          <w:spacing w:val="-6"/>
          <w:kern w:val="0"/>
          <w:sz w:val="32"/>
          <w:szCs w:val="32"/>
        </w:rPr>
        <w:t>基因平均拷贝数和该基因所在的第</w:t>
      </w:r>
      <w:r>
        <w:rPr>
          <w:rFonts w:ascii="Times New Roman" w:eastAsia="仿宋_GB2312" w:hAnsi="Times New Roman"/>
          <w:color w:val="000000"/>
          <w:spacing w:val="-6"/>
          <w:kern w:val="0"/>
          <w:sz w:val="32"/>
          <w:szCs w:val="32"/>
        </w:rPr>
        <w:t>17</w:t>
      </w:r>
      <w:r>
        <w:rPr>
          <w:rFonts w:ascii="Times New Roman" w:eastAsia="仿宋_GB2312" w:hAnsi="Times New Roman"/>
          <w:color w:val="000000"/>
          <w:spacing w:val="-6"/>
          <w:kern w:val="0"/>
          <w:sz w:val="32"/>
          <w:szCs w:val="32"/>
        </w:rPr>
        <w:t>号染色体着</w:t>
      </w:r>
      <w:r>
        <w:rPr>
          <w:rFonts w:ascii="Times New Roman" w:eastAsia="仿宋_GB2312" w:hAnsi="Times New Roman"/>
          <w:color w:val="000000"/>
          <w:spacing w:val="-6"/>
          <w:kern w:val="0"/>
          <w:sz w:val="32"/>
          <w:szCs w:val="32"/>
        </w:rPr>
        <w:lastRenderedPageBreak/>
        <w:t>丝粒（</w:t>
      </w:r>
      <w:r>
        <w:rPr>
          <w:rFonts w:ascii="Times New Roman" w:eastAsia="仿宋_GB2312" w:hAnsi="Times New Roman"/>
          <w:color w:val="000000"/>
          <w:spacing w:val="-6"/>
          <w:kern w:val="0"/>
          <w:sz w:val="32"/>
          <w:szCs w:val="32"/>
        </w:rPr>
        <w:t>CEP17</w:t>
      </w:r>
      <w:r>
        <w:rPr>
          <w:rFonts w:ascii="Times New Roman" w:eastAsia="仿宋_GB2312" w:hAnsi="Times New Roman"/>
          <w:color w:val="000000"/>
          <w:spacing w:val="-6"/>
          <w:kern w:val="0"/>
          <w:sz w:val="32"/>
          <w:szCs w:val="32"/>
        </w:rPr>
        <w:t>）序列平均拷贝数的比值（双信号）。</w:t>
      </w:r>
    </w:p>
    <w:p w:rsidR="002F619A" w:rsidRDefault="00B32101" w:rsidP="00B735C7">
      <w:pPr>
        <w:spacing w:line="520" w:lineRule="exact"/>
        <w:ind w:firstLineChars="200" w:firstLine="616"/>
        <w:rPr>
          <w:rFonts w:ascii="Times New Roman" w:eastAsia="仿宋_GB2312" w:hAnsi="Times New Roman"/>
          <w:color w:val="000000"/>
          <w:kern w:val="0"/>
          <w:sz w:val="32"/>
          <w:szCs w:val="32"/>
        </w:rPr>
      </w:pPr>
      <w:r>
        <w:rPr>
          <w:rFonts w:ascii="Times New Roman" w:eastAsia="仿宋_GB2312" w:hAnsi="Times New Roman"/>
          <w:color w:val="000000"/>
          <w:spacing w:val="-6"/>
          <w:kern w:val="0"/>
          <w:sz w:val="32"/>
          <w:szCs w:val="32"/>
        </w:rPr>
        <w:t>对于其他应用亮视野原位杂交法检测</w:t>
      </w:r>
      <w:r>
        <w:rPr>
          <w:rFonts w:ascii="Times New Roman" w:eastAsia="仿宋_GB2312" w:hAnsi="Times New Roman"/>
          <w:color w:val="000000"/>
          <w:spacing w:val="-6"/>
          <w:kern w:val="0"/>
          <w:sz w:val="32"/>
          <w:szCs w:val="32"/>
        </w:rPr>
        <w:t>HER2</w:t>
      </w:r>
      <w:r>
        <w:rPr>
          <w:rFonts w:ascii="Times New Roman" w:eastAsia="仿宋_GB2312" w:hAnsi="Times New Roman"/>
          <w:color w:val="000000"/>
          <w:spacing w:val="-6"/>
          <w:kern w:val="0"/>
          <w:sz w:val="32"/>
          <w:szCs w:val="32"/>
        </w:rPr>
        <w:t>基因扩增水平的方法，如显色原位杂交法（</w:t>
      </w:r>
      <w:r>
        <w:rPr>
          <w:rFonts w:ascii="Times New Roman" w:eastAsia="仿宋_GB2312" w:hAnsi="Times New Roman"/>
          <w:color w:val="000000"/>
          <w:spacing w:val="-6"/>
          <w:kern w:val="0"/>
          <w:sz w:val="32"/>
          <w:szCs w:val="32"/>
        </w:rPr>
        <w:t>Chromogenic In Situ Hybridization</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CISH</w:t>
      </w:r>
      <w:r>
        <w:rPr>
          <w:rFonts w:ascii="Times New Roman" w:eastAsia="仿宋_GB2312" w:hAnsi="Times New Roman"/>
          <w:color w:val="000000"/>
          <w:spacing w:val="-6"/>
          <w:kern w:val="0"/>
          <w:sz w:val="32"/>
          <w:szCs w:val="32"/>
        </w:rPr>
        <w:t>）和银增强原位杂交法（</w:t>
      </w:r>
      <w:r>
        <w:rPr>
          <w:rFonts w:ascii="Times New Roman" w:eastAsia="仿宋_GB2312" w:hAnsi="Times New Roman"/>
          <w:color w:val="000000"/>
          <w:spacing w:val="-6"/>
          <w:kern w:val="0"/>
          <w:sz w:val="32"/>
          <w:szCs w:val="32"/>
        </w:rPr>
        <w:t>Silver</w:t>
      </w:r>
      <w:r>
        <w:rPr>
          <w:rFonts w:ascii="Times New Roman" w:eastAsia="仿宋_GB2312" w:hAnsi="Times New Roman" w:hint="eastAsia"/>
          <w:color w:val="000000"/>
          <w:spacing w:val="-6"/>
          <w:kern w:val="0"/>
          <w:sz w:val="32"/>
          <w:szCs w:val="32"/>
        </w:rPr>
        <w:t>—</w:t>
      </w:r>
      <w:r>
        <w:rPr>
          <w:rFonts w:ascii="Times New Roman" w:eastAsia="仿宋_GB2312" w:hAnsi="Times New Roman"/>
          <w:color w:val="000000"/>
          <w:spacing w:val="-6"/>
          <w:kern w:val="0"/>
          <w:sz w:val="32"/>
          <w:szCs w:val="32"/>
        </w:rPr>
        <w:t>enhanced In Situ Hybridization</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SISH</w:t>
      </w:r>
      <w:r>
        <w:rPr>
          <w:rFonts w:ascii="Times New Roman" w:eastAsia="仿宋_GB2312" w:hAnsi="Times New Roman"/>
          <w:color w:val="000000"/>
          <w:spacing w:val="-6"/>
          <w:kern w:val="0"/>
          <w:sz w:val="32"/>
          <w:szCs w:val="32"/>
        </w:rPr>
        <w:t>），</w:t>
      </w:r>
      <w:r>
        <w:rPr>
          <w:rFonts w:ascii="Times New Roman" w:eastAsia="仿宋_GB2312" w:hAnsi="Times New Roman"/>
          <w:color w:val="000000"/>
          <w:kern w:val="0"/>
          <w:sz w:val="32"/>
          <w:szCs w:val="32"/>
        </w:rPr>
        <w:t>可能部分要求不完全适用或</w:t>
      </w:r>
      <w:r>
        <w:rPr>
          <w:rFonts w:ascii="Times New Roman" w:eastAsia="仿宋_GB2312" w:hAnsi="Times New Roman" w:cs="宋体" w:hint="eastAsia"/>
          <w:color w:val="000000"/>
          <w:sz w:val="32"/>
          <w:szCs w:val="32"/>
        </w:rPr>
        <w:t>本文所述内容不够全面，申请人可参照本指导原则，根据产品特性对适用部分进行评价，并补充其他的评价资料。</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基因定位于染色体</w:t>
      </w:r>
      <w:r>
        <w:rPr>
          <w:rFonts w:ascii="Times New Roman" w:eastAsia="仿宋_GB2312" w:hAnsi="Times New Roman"/>
          <w:color w:val="000000"/>
          <w:kern w:val="0"/>
          <w:sz w:val="32"/>
          <w:szCs w:val="32"/>
        </w:rPr>
        <w:t>17q12</w:t>
      </w:r>
      <w:r>
        <w:rPr>
          <w:rFonts w:ascii="Times New Roman" w:eastAsia="仿宋_GB2312" w:hAnsi="Times New Roman"/>
          <w:color w:val="000000"/>
          <w:kern w:val="0"/>
          <w:sz w:val="32"/>
          <w:szCs w:val="32"/>
        </w:rPr>
        <w:t>，是表皮生长因子受体（</w:t>
      </w:r>
      <w:r>
        <w:rPr>
          <w:rFonts w:ascii="Times New Roman" w:eastAsia="仿宋_GB2312" w:hAnsi="Times New Roman"/>
          <w:color w:val="000000"/>
          <w:kern w:val="0"/>
          <w:sz w:val="32"/>
          <w:szCs w:val="32"/>
        </w:rPr>
        <w:t>EGFR</w:t>
      </w:r>
      <w:r>
        <w:rPr>
          <w:rFonts w:ascii="Times New Roman" w:eastAsia="仿宋_GB2312" w:hAnsi="Times New Roman"/>
          <w:color w:val="000000"/>
          <w:kern w:val="0"/>
          <w:sz w:val="32"/>
          <w:szCs w:val="32"/>
        </w:rPr>
        <w:t>）的成员之一，</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基因编码分子量为</w:t>
      </w:r>
      <w:r>
        <w:rPr>
          <w:rFonts w:ascii="Times New Roman" w:eastAsia="仿宋_GB2312" w:hAnsi="Times New Roman"/>
          <w:color w:val="000000"/>
          <w:kern w:val="0"/>
          <w:sz w:val="32"/>
          <w:szCs w:val="32"/>
        </w:rPr>
        <w:t>185kDa</w:t>
      </w:r>
      <w:r>
        <w:rPr>
          <w:rFonts w:ascii="Times New Roman" w:eastAsia="仿宋_GB2312" w:hAnsi="Times New Roman"/>
          <w:color w:val="000000"/>
          <w:kern w:val="0"/>
          <w:sz w:val="32"/>
          <w:szCs w:val="32"/>
        </w:rPr>
        <w:t>的酪氨酸激酶活性跨膜糖蛋白。</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蛋白主要通过与家族中其他成员形成异二聚体而与各自的配体结合；当异二聚体与配体结合后，激活酪氨酸激酶的活性。参与细胞的增殖、凋亡调控、血管和淋巴管新生等生物学功能。</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蛋白的过表达主要是由于</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基因的扩增，可导致肿瘤细胞内信号通路的异常活化，与肿瘤的发生发展和侵袭转移有关。</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基因的扩增和蛋白的过表达均可称为</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阳性，该情况出现于部分原发性浸润性乳腺癌、胃及胃食管交界</w:t>
      </w:r>
      <w:r>
        <w:rPr>
          <w:rFonts w:eastAsia="仿宋_GB2312" w:hint="eastAsia"/>
          <w:color w:val="000000"/>
          <w:kern w:val="0"/>
          <w:sz w:val="32"/>
          <w:szCs w:val="32"/>
        </w:rPr>
        <w:t>腺</w:t>
      </w:r>
      <w:r>
        <w:rPr>
          <w:rFonts w:ascii="Times New Roman" w:eastAsia="仿宋_GB2312" w:hAnsi="Times New Roman"/>
          <w:color w:val="000000"/>
          <w:kern w:val="0"/>
          <w:sz w:val="32"/>
          <w:szCs w:val="32"/>
        </w:rPr>
        <w:t>癌（以下统称胃癌）等患者中。</w:t>
      </w:r>
    </w:p>
    <w:p w:rsidR="002F619A" w:rsidRDefault="00B32101" w:rsidP="00B735C7">
      <w:pPr>
        <w:spacing w:line="52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color w:val="000000"/>
          <w:kern w:val="0"/>
          <w:sz w:val="32"/>
          <w:szCs w:val="32"/>
        </w:rPr>
        <w:t>对于浸润性乳腺癌适应症，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阳性是指免疫组织化学（</w:t>
      </w:r>
      <w:r>
        <w:rPr>
          <w:rFonts w:ascii="Times New Roman" w:eastAsia="仿宋_GB2312" w:hAnsi="Times New Roman"/>
          <w:color w:val="000000"/>
          <w:kern w:val="0"/>
          <w:sz w:val="32"/>
          <w:szCs w:val="32"/>
        </w:rPr>
        <w:t>Immunohistochemistry</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）检测结果为（</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），或</w:t>
      </w:r>
      <w:r>
        <w:rPr>
          <w:rFonts w:ascii="Times New Roman" w:eastAsia="仿宋_GB2312" w:hAnsi="Times New Roman" w:hint="eastAsia"/>
          <w:color w:val="000000"/>
          <w:kern w:val="0"/>
          <w:sz w:val="32"/>
          <w:szCs w:val="32"/>
        </w:rPr>
        <w:t>IH</w:t>
      </w:r>
      <w:r>
        <w:rPr>
          <w:rFonts w:ascii="Times New Roman" w:eastAsia="仿宋_GB2312" w:hAnsi="Times New Roman"/>
          <w:color w:val="000000"/>
          <w:kern w:val="0"/>
          <w:sz w:val="32"/>
          <w:szCs w:val="32"/>
        </w:rPr>
        <w:t>C</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的同时</w:t>
      </w:r>
      <w:r>
        <w:rPr>
          <w:rFonts w:ascii="Times New Roman" w:eastAsia="仿宋_GB2312" w:hAnsi="Times New Roman"/>
          <w:color w:val="000000"/>
          <w:kern w:val="0"/>
          <w:sz w:val="32"/>
          <w:szCs w:val="32"/>
        </w:rPr>
        <w:t>原位杂交方法（</w:t>
      </w:r>
      <w:r>
        <w:rPr>
          <w:rFonts w:ascii="Times New Roman" w:eastAsia="仿宋_GB2312" w:hAnsi="Times New Roman"/>
          <w:color w:val="000000"/>
          <w:kern w:val="0"/>
          <w:sz w:val="32"/>
          <w:szCs w:val="32"/>
        </w:rPr>
        <w:t>In situ Hybridization</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ISH</w:t>
      </w:r>
      <w:r>
        <w:rPr>
          <w:rFonts w:ascii="Times New Roman" w:eastAsia="仿宋_GB2312" w:hAnsi="Times New Roman"/>
          <w:color w:val="000000"/>
          <w:kern w:val="0"/>
          <w:sz w:val="32"/>
          <w:szCs w:val="32"/>
        </w:rPr>
        <w:t>）检测结果为基因扩增。</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检测结果为（</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）的病例为不确定，需进一步应用原位杂交方法进行</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扩增状态的检测。对于胃癌适应症，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阳性是指</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检测结果为（</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）的同时</w:t>
      </w:r>
      <w:r>
        <w:rPr>
          <w:rFonts w:ascii="Times New Roman" w:eastAsia="仿宋_GB2312" w:hAnsi="Times New Roman"/>
          <w:color w:val="000000"/>
          <w:kern w:val="0"/>
          <w:sz w:val="32"/>
          <w:szCs w:val="32"/>
        </w:rPr>
        <w:t>ISH</w:t>
      </w:r>
      <w:r>
        <w:rPr>
          <w:rFonts w:ascii="Times New Roman" w:eastAsia="仿宋_GB2312" w:hAnsi="Times New Roman"/>
          <w:color w:val="000000"/>
          <w:kern w:val="0"/>
          <w:sz w:val="32"/>
          <w:szCs w:val="32"/>
        </w:rPr>
        <w:t>检测结果为基因扩增，或</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检测结果为（</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w:t>
      </w:r>
    </w:p>
    <w:p w:rsidR="002F619A" w:rsidRDefault="00B32101" w:rsidP="00B735C7">
      <w:pPr>
        <w:spacing w:line="520" w:lineRule="exact"/>
        <w:ind w:firstLineChars="200" w:firstLine="640"/>
        <w:rPr>
          <w:rFonts w:ascii="Times New Roman" w:eastAsia="仿宋_GB2312" w:hAnsi="Times New Roman"/>
          <w:b/>
          <w:color w:val="000000"/>
          <w:kern w:val="0"/>
          <w:sz w:val="32"/>
          <w:szCs w:val="32"/>
          <w:highlight w:val="yellow"/>
        </w:rPr>
      </w:pPr>
      <w:r>
        <w:rPr>
          <w:rFonts w:ascii="Times New Roman" w:eastAsia="仿宋_GB2312" w:hAnsi="Times New Roman"/>
          <w:color w:val="000000"/>
          <w:kern w:val="0"/>
          <w:sz w:val="32"/>
          <w:szCs w:val="32"/>
        </w:rPr>
        <w:t>对</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阳性的乳腺癌和胃癌患者进行联合抗</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靶向治疗（如抗</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单克隆抗体、小分子酪氨酸激酶抑制剂等）使得</w:t>
      </w:r>
      <w:r>
        <w:rPr>
          <w:rFonts w:ascii="Times New Roman" w:eastAsia="仿宋_GB2312" w:hAnsi="Times New Roman"/>
          <w:color w:val="000000"/>
          <w:kern w:val="0"/>
          <w:sz w:val="32"/>
          <w:szCs w:val="32"/>
        </w:rPr>
        <w:lastRenderedPageBreak/>
        <w:t>部分患者的生存状况得到改善。准确地检测</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蛋白表达和基因扩增状态是抗</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单克隆抗体分子靶向治疗患者筛选和疗效预测的前提</w:t>
      </w:r>
      <w:r>
        <w:rPr>
          <w:rFonts w:ascii="Times New Roman" w:eastAsia="仿宋_GB2312" w:hAnsi="Times New Roman" w:hint="eastAsia"/>
          <w:color w:val="000000"/>
          <w:kern w:val="0"/>
          <w:sz w:val="32"/>
          <w:szCs w:val="32"/>
        </w:rPr>
        <w:t>。</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本指导原则适用于</w:t>
      </w:r>
      <w:r w:rsidR="00172623">
        <w:rPr>
          <w:rFonts w:ascii="Times New Roman" w:eastAsia="仿宋_GB2312" w:hAnsi="Times New Roman" w:hint="eastAsia"/>
          <w:color w:val="000000"/>
          <w:sz w:val="32"/>
          <w:szCs w:val="32"/>
        </w:rPr>
        <w:t>H</w:t>
      </w:r>
      <w:r w:rsidR="00172623">
        <w:rPr>
          <w:rFonts w:ascii="Times New Roman" w:eastAsia="仿宋_GB2312" w:hAnsi="Times New Roman"/>
          <w:color w:val="000000"/>
          <w:sz w:val="32"/>
          <w:szCs w:val="32"/>
        </w:rPr>
        <w:t>ER</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基因扩增检测试剂</w:t>
      </w:r>
      <w:r>
        <w:rPr>
          <w:rFonts w:ascii="Times New Roman" w:eastAsia="仿宋_GB2312" w:hAnsi="Times New Roman"/>
          <w:bCs/>
          <w:color w:val="000000"/>
          <w:sz w:val="32"/>
          <w:szCs w:val="32"/>
        </w:rPr>
        <w:t>注册申请和变更注册申请</w:t>
      </w:r>
      <w:r>
        <w:rPr>
          <w:rFonts w:ascii="Times New Roman" w:eastAsia="仿宋_GB2312" w:hAnsi="Times New Roman" w:cs="宋体" w:hint="eastAsia"/>
          <w:color w:val="000000"/>
          <w:sz w:val="32"/>
          <w:szCs w:val="32"/>
        </w:rPr>
        <w:t>的情形。</w:t>
      </w:r>
      <w:r>
        <w:rPr>
          <w:rFonts w:ascii="Times New Roman" w:eastAsia="仿宋_GB2312" w:hAnsi="Times New Roman"/>
          <w:color w:val="000000"/>
          <w:sz w:val="32"/>
          <w:szCs w:val="32"/>
        </w:rPr>
        <w:t>本指导原则</w:t>
      </w:r>
      <w:r>
        <w:rPr>
          <w:rFonts w:ascii="Times New Roman" w:eastAsia="仿宋_GB2312" w:hAnsi="Times New Roman" w:hint="eastAsia"/>
          <w:color w:val="000000"/>
          <w:sz w:val="32"/>
          <w:szCs w:val="32"/>
        </w:rPr>
        <w:t>仅</w:t>
      </w:r>
      <w:r>
        <w:rPr>
          <w:rFonts w:ascii="Times New Roman" w:eastAsia="仿宋_GB2312" w:hAnsi="Times New Roman"/>
          <w:color w:val="000000"/>
          <w:sz w:val="32"/>
          <w:szCs w:val="32"/>
        </w:rPr>
        <w:t>针对</w:t>
      </w:r>
      <w:r>
        <w:rPr>
          <w:rFonts w:ascii="Times New Roman" w:eastAsia="仿宋_GB2312" w:hAnsi="Times New Roman" w:hint="eastAsia"/>
          <w:color w:val="000000"/>
          <w:sz w:val="32"/>
          <w:szCs w:val="32"/>
        </w:rPr>
        <w:t>人表皮生长因子受体</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基因扩增检测试剂</w:t>
      </w:r>
      <w:r>
        <w:rPr>
          <w:rFonts w:ascii="Times New Roman" w:eastAsia="仿宋_GB2312" w:hAnsi="Times New Roman"/>
          <w:color w:val="000000"/>
          <w:sz w:val="32"/>
          <w:szCs w:val="32"/>
        </w:rPr>
        <w:t>注册申报资料中的部分内容进行撰写，其他未尽事宜应当符合《关于公布体外诊断试剂注册申报资料要求和批准证明文件格式的公告》等相关法规要求。</w:t>
      </w:r>
    </w:p>
    <w:p w:rsidR="002F619A" w:rsidRDefault="00B32101" w:rsidP="00B735C7">
      <w:pPr>
        <w:spacing w:line="520" w:lineRule="exact"/>
        <w:ind w:firstLineChars="200" w:firstLine="640"/>
        <w:rPr>
          <w:rFonts w:ascii="Times New Roman" w:eastAsia="楷体" w:hAnsi="Times New Roman"/>
          <w:color w:val="000000"/>
          <w:sz w:val="32"/>
          <w:szCs w:val="32"/>
        </w:rPr>
      </w:pPr>
      <w:r>
        <w:rPr>
          <w:rFonts w:ascii="Times New Roman" w:eastAsia="黑体" w:hAnsi="Times New Roman" w:cs="宋体" w:hint="eastAsia"/>
          <w:bCs/>
          <w:color w:val="000000"/>
          <w:sz w:val="32"/>
          <w:szCs w:val="32"/>
        </w:rPr>
        <w:t>二、注册审查要点</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sidRPr="001066FC">
        <w:rPr>
          <w:rFonts w:ascii="Times New Roman" w:eastAsia="楷体_GB2312" w:hAnsi="Times New Roman" w:cs="Times New Roman"/>
          <w:color w:val="000000"/>
          <w:sz w:val="32"/>
          <w:szCs w:val="32"/>
        </w:rPr>
        <w:t>（一）监管信息</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产品名称及分类编码</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w:t>
      </w:r>
      <w:r>
        <w:rPr>
          <w:rFonts w:ascii="Times New Roman" w:eastAsia="仿宋_GB2312" w:hAnsi="Times New Roman" w:hint="eastAsia"/>
          <w:sz w:val="32"/>
          <w:szCs w:val="32"/>
        </w:rPr>
        <w:t>人表皮生长因子受体</w:t>
      </w:r>
      <w:r>
        <w:rPr>
          <w:rFonts w:ascii="Times New Roman" w:eastAsia="仿宋_GB2312" w:hAnsi="Times New Roman" w:hint="eastAsia"/>
          <w:sz w:val="32"/>
          <w:szCs w:val="32"/>
        </w:rPr>
        <w:t>2</w:t>
      </w:r>
      <w:r>
        <w:rPr>
          <w:rFonts w:ascii="Times New Roman" w:eastAsia="仿宋_GB2312" w:hAnsi="Times New Roman" w:hint="eastAsia"/>
          <w:sz w:val="32"/>
          <w:szCs w:val="32"/>
        </w:rPr>
        <w:t>基因突变检测试剂盒（荧光原位法）或</w:t>
      </w:r>
      <w:r>
        <w:rPr>
          <w:rFonts w:ascii="Times New Roman" w:eastAsia="仿宋_GB2312" w:hAnsi="Times New Roman" w:hint="eastAsia"/>
          <w:sz w:val="32"/>
          <w:szCs w:val="32"/>
        </w:rPr>
        <w:t>H</w:t>
      </w:r>
      <w:r>
        <w:rPr>
          <w:rFonts w:ascii="Times New Roman" w:eastAsia="仿宋_GB2312" w:hAnsi="Times New Roman"/>
          <w:sz w:val="32"/>
          <w:szCs w:val="32"/>
        </w:rPr>
        <w:t>ER2</w:t>
      </w:r>
      <w:r>
        <w:rPr>
          <w:rFonts w:ascii="Times New Roman" w:eastAsia="仿宋_GB2312" w:hAnsi="Times New Roman" w:hint="eastAsia"/>
          <w:sz w:val="32"/>
          <w:szCs w:val="32"/>
        </w:rPr>
        <w:t>基因突变检测试剂盒（荧光原位杂交法）</w:t>
      </w:r>
      <w:r>
        <w:rPr>
          <w:rFonts w:ascii="Times New Roman" w:eastAsia="仿宋_GB2312" w:hAnsi="Times New Roman"/>
          <w:sz w:val="32"/>
          <w:szCs w:val="32"/>
        </w:rPr>
        <w:t>。根据</w:t>
      </w:r>
      <w:r>
        <w:rPr>
          <w:rFonts w:ascii="Times New Roman" w:eastAsia="仿宋_GB2312" w:hAnsi="Times New Roman" w:hint="eastAsia"/>
          <w:sz w:val="32"/>
          <w:szCs w:val="32"/>
        </w:rPr>
        <w:t>《体外诊断试剂分类目录》</w:t>
      </w:r>
      <w:r>
        <w:rPr>
          <w:rFonts w:ascii="Times New Roman" w:eastAsia="仿宋_GB2312" w:hAnsi="Times New Roman"/>
          <w:sz w:val="32"/>
          <w:szCs w:val="32"/>
        </w:rPr>
        <w:t>，该产品按照第三类体外诊断试剂管理，分类编码为</w:t>
      </w:r>
      <w:r>
        <w:rPr>
          <w:rFonts w:ascii="Times New Roman" w:eastAsia="仿宋_GB2312" w:hAnsi="Times New Roman"/>
          <w:sz w:val="32"/>
          <w:szCs w:val="32"/>
        </w:rPr>
        <w:t>6840</w:t>
      </w:r>
      <w:r>
        <w:rPr>
          <w:rFonts w:ascii="Times New Roman" w:eastAsia="仿宋_GB2312" w:hAnsi="Times New Roman" w:hint="eastAsia"/>
          <w:sz w:val="32"/>
          <w:szCs w:val="32"/>
        </w:rPr>
        <w:t>-06-06015</w:t>
      </w:r>
      <w:r>
        <w:rPr>
          <w:rFonts w:ascii="Times New Roman" w:eastAsia="仿宋_GB2312" w:hAnsi="Times New Roman"/>
          <w:sz w:val="32"/>
          <w:szCs w:val="32"/>
        </w:rPr>
        <w:t>。</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其他信息还包括产品列表、关联文件、申报前与监管机构的联系情况和沟通记录以及符合性声明等文件。</w:t>
      </w:r>
    </w:p>
    <w:p w:rsidR="002F619A" w:rsidRDefault="00B32101" w:rsidP="00B735C7">
      <w:pPr>
        <w:spacing w:line="520" w:lineRule="exact"/>
        <w:ind w:rightChars="-32" w:right="-67" w:firstLineChars="200" w:firstLine="640"/>
        <w:rPr>
          <w:rFonts w:eastAsia="仿宋_GB2312"/>
          <w:sz w:val="32"/>
          <w:szCs w:val="32"/>
        </w:rPr>
      </w:pPr>
      <w:r w:rsidRPr="001066FC">
        <w:rPr>
          <w:rFonts w:ascii="Times New Roman" w:eastAsia="楷体_GB2312" w:hAnsi="Times New Roman" w:cs="Times New Roman" w:hint="eastAsia"/>
          <w:color w:val="000000"/>
          <w:sz w:val="32"/>
          <w:szCs w:val="32"/>
        </w:rPr>
        <w:t>（二）综述资料</w:t>
      </w:r>
      <w:r>
        <w:rPr>
          <w:rFonts w:ascii="Times New Roman" w:eastAsia="楷体"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综述资料主要包括概述、产品描述、预期用途、申报产品上市历史及其他需说明的内容。</w:t>
      </w:r>
      <w:r>
        <w:rPr>
          <w:rFonts w:eastAsia="仿宋_GB2312"/>
          <w:sz w:val="32"/>
          <w:szCs w:val="32"/>
        </w:rPr>
        <w:t>其中，同类产品上市情况介绍部分应着重从</w:t>
      </w:r>
      <w:r>
        <w:rPr>
          <w:rFonts w:eastAsia="仿宋_GB2312" w:hint="eastAsia"/>
          <w:sz w:val="32"/>
          <w:szCs w:val="32"/>
        </w:rPr>
        <w:t>技术原理、预期用途、被测靶标、性能指标、临床应用情况</w:t>
      </w:r>
      <w:r>
        <w:rPr>
          <w:rFonts w:eastAsia="仿宋_GB2312"/>
          <w:sz w:val="32"/>
          <w:szCs w:val="32"/>
        </w:rPr>
        <w:t>等方面详细说明申报产品与目前市场上已获批准的同类产品之间的主要区别。此外，还应</w:t>
      </w:r>
      <w:r>
        <w:rPr>
          <w:rFonts w:eastAsia="仿宋_GB2312" w:hint="eastAsia"/>
          <w:sz w:val="32"/>
          <w:szCs w:val="32"/>
        </w:rPr>
        <w:t>重点</w:t>
      </w:r>
      <w:r>
        <w:rPr>
          <w:rFonts w:eastAsia="仿宋_GB2312"/>
          <w:sz w:val="32"/>
          <w:szCs w:val="32"/>
        </w:rPr>
        <w:t>说明</w:t>
      </w:r>
      <w:r>
        <w:rPr>
          <w:rFonts w:eastAsia="仿宋_GB2312"/>
          <w:color w:val="000000"/>
          <w:kern w:val="0"/>
          <w:sz w:val="32"/>
          <w:szCs w:val="32"/>
        </w:rPr>
        <w:t>目标基因的座位区域，探针的设计原则以及标记的荧光染料，细胞核复染方式，以及结果判读标准和统计方式等</w:t>
      </w:r>
      <w:r>
        <w:rPr>
          <w:rFonts w:eastAsia="仿宋_GB2312"/>
          <w:sz w:val="32"/>
          <w:szCs w:val="32"/>
        </w:rPr>
        <w:t>。</w:t>
      </w:r>
    </w:p>
    <w:p w:rsidR="002F619A" w:rsidRPr="001066FC" w:rsidRDefault="00B32101" w:rsidP="00B735C7">
      <w:pPr>
        <w:spacing w:line="520" w:lineRule="exact"/>
        <w:ind w:rightChars="-32" w:right="-67" w:firstLineChars="200" w:firstLine="640"/>
        <w:rPr>
          <w:rFonts w:ascii="Times New Roman" w:eastAsia="楷体_GB2312" w:hAnsi="Times New Roman" w:cs="Times New Roman"/>
          <w:color w:val="000000"/>
          <w:sz w:val="32"/>
          <w:szCs w:val="32"/>
        </w:rPr>
      </w:pPr>
      <w:r w:rsidRPr="001066FC">
        <w:rPr>
          <w:rFonts w:ascii="Times New Roman" w:eastAsia="楷体_GB2312" w:hAnsi="Times New Roman" w:cs="Times New Roman"/>
          <w:color w:val="000000"/>
          <w:sz w:val="32"/>
          <w:szCs w:val="32"/>
        </w:rPr>
        <w:lastRenderedPageBreak/>
        <w:t>（三）非临床资料</w:t>
      </w:r>
    </w:p>
    <w:p w:rsidR="002F619A" w:rsidRDefault="00B32101" w:rsidP="00B735C7">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color w:val="000000"/>
          <w:spacing w:val="-1"/>
          <w:sz w:val="32"/>
          <w:szCs w:val="32"/>
        </w:rPr>
        <w:t xml:space="preserve">1. </w:t>
      </w:r>
      <w:r>
        <w:rPr>
          <w:rFonts w:ascii="Times New Roman" w:eastAsia="仿宋_GB2312" w:hAnsi="Times New Roman"/>
          <w:color w:val="000000"/>
          <w:spacing w:val="-1"/>
          <w:sz w:val="32"/>
          <w:szCs w:val="32"/>
        </w:rPr>
        <w:t>产品技术要求及检验报告</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当在原材料质量和生产工艺稳定的前提下，根据产品研制、前期评价结果等，依据国家标准、行业标准及有关文献资料，结合产品特性按照《医疗器械产品技术要求编写指导原则》的要求编写。该类产品作为第三类体外诊断试剂，应当以附录形式明确主要原材料及生产工艺要求。</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第三类体外诊断试剂应当提供三个不同生产批次产品的检验报告。如有适用的国家参考品发布，技术要求中需体现国家参考品的相关要求。可提交申请人出具的自检报告或委托有资质的医疗器械检验机构出具的检验报告。</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如有适用的国家标准、行业标准，产品技术要求的相关要求应不低于相应的要求。</w:t>
      </w:r>
    </w:p>
    <w:p w:rsidR="002F619A" w:rsidRDefault="00B32101" w:rsidP="00B735C7">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分析性能研究</w:t>
      </w:r>
    </w:p>
    <w:p w:rsidR="002F619A" w:rsidRDefault="00B32101" w:rsidP="00B735C7">
      <w:pPr>
        <w:spacing w:line="520" w:lineRule="exact"/>
        <w:ind w:firstLineChars="200" w:firstLine="640"/>
        <w:rPr>
          <w:rFonts w:eastAsia="仿宋_GB2312"/>
          <w:sz w:val="32"/>
          <w:szCs w:val="32"/>
          <w:highlight w:val="yellow"/>
        </w:rPr>
      </w:pPr>
      <w:r>
        <w:rPr>
          <w:rFonts w:ascii="Times New Roman" w:eastAsia="仿宋_GB2312" w:hAnsi="Times New Roman"/>
          <w:sz w:val="32"/>
          <w:szCs w:val="32"/>
        </w:rPr>
        <w:t>申请人应采用在符合质量管理体系的环境下生产的试剂盒进行所有分析性能研究，</w:t>
      </w:r>
      <w:r>
        <w:rPr>
          <w:rFonts w:ascii="Times New Roman" w:eastAsia="仿宋_GB2312" w:hAnsi="Times New Roman" w:hint="eastAsia"/>
          <w:sz w:val="32"/>
          <w:szCs w:val="32"/>
        </w:rPr>
        <w:t>并</w:t>
      </w:r>
      <w:r>
        <w:rPr>
          <w:rFonts w:eastAsia="仿宋_GB2312"/>
          <w:sz w:val="32"/>
          <w:szCs w:val="32"/>
        </w:rPr>
        <w:t>提交详细的</w:t>
      </w:r>
      <w:r>
        <w:rPr>
          <w:rFonts w:eastAsia="仿宋_GB2312" w:hint="eastAsia"/>
          <w:sz w:val="32"/>
          <w:szCs w:val="32"/>
        </w:rPr>
        <w:t>性能</w:t>
      </w:r>
      <w:r>
        <w:rPr>
          <w:rFonts w:eastAsia="仿宋_GB2312"/>
          <w:sz w:val="32"/>
          <w:szCs w:val="32"/>
        </w:rPr>
        <w:t>评估资料，包括试验方</w:t>
      </w:r>
      <w:r>
        <w:rPr>
          <w:rFonts w:eastAsia="仿宋_GB2312" w:hint="eastAsia"/>
          <w:sz w:val="32"/>
          <w:szCs w:val="32"/>
        </w:rPr>
        <w:t>案</w:t>
      </w:r>
      <w:r>
        <w:rPr>
          <w:rFonts w:eastAsia="仿宋_GB2312"/>
          <w:sz w:val="32"/>
          <w:szCs w:val="32"/>
        </w:rPr>
        <w:t>、</w:t>
      </w:r>
      <w:r>
        <w:rPr>
          <w:rFonts w:eastAsia="仿宋_GB2312" w:hint="eastAsia"/>
          <w:sz w:val="32"/>
          <w:szCs w:val="32"/>
        </w:rPr>
        <w:t>验收标准、</w:t>
      </w:r>
      <w:r>
        <w:rPr>
          <w:rFonts w:eastAsia="仿宋_GB2312"/>
          <w:sz w:val="32"/>
          <w:szCs w:val="32"/>
        </w:rPr>
        <w:t>试验数据</w:t>
      </w:r>
      <w:r>
        <w:rPr>
          <w:rFonts w:eastAsia="仿宋_GB2312" w:hint="eastAsia"/>
          <w:sz w:val="32"/>
          <w:szCs w:val="32"/>
        </w:rPr>
        <w:t>（包括代表性彩色图片）、统计分析结果</w:t>
      </w:r>
      <w:r>
        <w:rPr>
          <w:rFonts w:eastAsia="仿宋_GB2312"/>
          <w:sz w:val="32"/>
          <w:szCs w:val="32"/>
        </w:rPr>
        <w:t>及结论等</w:t>
      </w:r>
      <w:r>
        <w:rPr>
          <w:rFonts w:eastAsia="仿宋_GB2312" w:hint="eastAsia"/>
          <w:sz w:val="32"/>
          <w:szCs w:val="32"/>
        </w:rPr>
        <w:t>详细资料</w:t>
      </w:r>
      <w:r>
        <w:rPr>
          <w:rFonts w:eastAsia="仿宋_GB2312"/>
          <w:sz w:val="32"/>
          <w:szCs w:val="32"/>
        </w:rPr>
        <w:t>。有关</w:t>
      </w:r>
      <w:r>
        <w:rPr>
          <w:rFonts w:eastAsia="仿宋_GB2312" w:hint="eastAsia"/>
          <w:sz w:val="32"/>
          <w:szCs w:val="32"/>
        </w:rPr>
        <w:t>分析性能研究的</w:t>
      </w:r>
      <w:r>
        <w:rPr>
          <w:rFonts w:eastAsia="仿宋_GB2312"/>
          <w:sz w:val="32"/>
          <w:szCs w:val="32"/>
        </w:rPr>
        <w:t>背景信息也应在资料中有所体现，包括实验地点、适用仪器、试剂规格、批号等。</w:t>
      </w:r>
      <w:r>
        <w:rPr>
          <w:rFonts w:eastAsia="仿宋_GB2312" w:hint="eastAsia"/>
          <w:sz w:val="32"/>
          <w:szCs w:val="32"/>
        </w:rPr>
        <w:t>分析性能评估的试验方法可参考国际或国内有关体外诊断试剂性能评估指导原则进行，</w:t>
      </w:r>
      <w:r>
        <w:rPr>
          <w:rFonts w:eastAsia="仿宋_GB2312"/>
          <w:sz w:val="32"/>
          <w:szCs w:val="32"/>
        </w:rPr>
        <w:t>每项性能评估应采用与适用</w:t>
      </w:r>
      <w:r>
        <w:rPr>
          <w:rFonts w:eastAsia="仿宋_GB2312" w:hint="eastAsia"/>
          <w:sz w:val="32"/>
          <w:szCs w:val="32"/>
        </w:rPr>
        <w:t>样本类型一致的临床样本。对于本类产品建议着重从以下分析性能进行研究。</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样本稳定性</w:t>
      </w:r>
    </w:p>
    <w:p w:rsidR="002F619A" w:rsidRDefault="00B32101" w:rsidP="00B735C7">
      <w:pPr>
        <w:spacing w:line="520" w:lineRule="exact"/>
        <w:ind w:firstLineChars="200" w:firstLine="640"/>
        <w:rPr>
          <w:rFonts w:eastAsia="仿宋_GB2312"/>
          <w:color w:val="000000"/>
          <w:kern w:val="0"/>
          <w:sz w:val="32"/>
          <w:szCs w:val="32"/>
        </w:rPr>
      </w:pPr>
      <w:r>
        <w:rPr>
          <w:rFonts w:eastAsia="仿宋_GB2312"/>
          <w:color w:val="000000"/>
          <w:kern w:val="0"/>
          <w:sz w:val="32"/>
          <w:szCs w:val="32"/>
        </w:rPr>
        <w:t>样本中核酸的完整性对于结果的正确判读也十分关键。申请人应充分考虑临床样本采集、处理、运输、储存与切片制备等各个阶段的条件，如温度、湿度对样本质量的影响，全面评价临床</w:t>
      </w:r>
      <w:r>
        <w:rPr>
          <w:rFonts w:eastAsia="仿宋_GB2312"/>
          <w:color w:val="000000"/>
          <w:kern w:val="0"/>
          <w:sz w:val="32"/>
          <w:szCs w:val="32"/>
        </w:rPr>
        <w:lastRenderedPageBreak/>
        <w:t>样本、质控品和企业参考品的稳定性。应</w:t>
      </w:r>
      <w:r>
        <w:rPr>
          <w:rFonts w:eastAsia="仿宋_GB2312" w:hint="eastAsia"/>
          <w:color w:val="000000"/>
          <w:kern w:val="0"/>
          <w:sz w:val="32"/>
          <w:szCs w:val="32"/>
        </w:rPr>
        <w:t>对适用的组织切片样本中的靶核酸进行充分的</w:t>
      </w:r>
      <w:r>
        <w:rPr>
          <w:rFonts w:eastAsia="仿宋_GB2312"/>
          <w:color w:val="000000"/>
          <w:kern w:val="0"/>
          <w:sz w:val="32"/>
          <w:szCs w:val="32"/>
        </w:rPr>
        <w:t>稳定性</w:t>
      </w:r>
      <w:r>
        <w:rPr>
          <w:rFonts w:eastAsia="仿宋_GB2312" w:hint="eastAsia"/>
          <w:color w:val="000000"/>
          <w:kern w:val="0"/>
          <w:sz w:val="32"/>
          <w:szCs w:val="32"/>
        </w:rPr>
        <w:t>研究</w:t>
      </w:r>
      <w:r>
        <w:rPr>
          <w:rFonts w:eastAsia="仿宋_GB2312"/>
          <w:color w:val="000000"/>
          <w:kern w:val="0"/>
          <w:sz w:val="32"/>
          <w:szCs w:val="32"/>
        </w:rPr>
        <w:t>，评价指标应至少包括储存温度及时间。</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适于冷冻保存的样本还应对冻融次数进行评价。如声称多种适用样本类型，申请人应针对不同样本类型分别进行样本稳定性研究。</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样本稳定性研究应涵盖预期适用的不同癌种的组织切片样本。</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适用的样本类型</w:t>
      </w:r>
    </w:p>
    <w:p w:rsidR="002F619A" w:rsidRDefault="00B32101" w:rsidP="00B735C7">
      <w:pPr>
        <w:spacing w:line="52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color w:val="000000"/>
          <w:sz w:val="32"/>
          <w:szCs w:val="32"/>
        </w:rPr>
        <w:t>列明产品适用的样本类型。</w:t>
      </w:r>
      <w:r>
        <w:rPr>
          <w:rFonts w:ascii="Times New Roman" w:eastAsia="仿宋_GB2312" w:hAnsi="Times New Roman" w:hint="eastAsia"/>
          <w:color w:val="000000"/>
          <w:sz w:val="32"/>
          <w:szCs w:val="32"/>
        </w:rPr>
        <w:t>应采用合理方法对每种样本类型进行适用性研究确认，应明确固定液类型、切片厚度等信息。</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2.3</w:t>
      </w:r>
      <w:r>
        <w:rPr>
          <w:rFonts w:ascii="Times New Roman" w:eastAsia="仿宋_GB2312" w:hAnsi="Times New Roman"/>
          <w:color w:val="000000"/>
          <w:kern w:val="0"/>
          <w:sz w:val="32"/>
          <w:szCs w:val="32"/>
        </w:rPr>
        <w:t>灵敏度</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主要反映产品检测时探针与目标基因位点的结合效率，也称为杂交效率。由于组织固定时蛋白质和核酸产生的分子间交联等对靶核酸具有屏蔽作用，探针穿透细胞的能力不同，导致产品对于不同类型样本的杂交效率存在性能差异；应使用临床应用环境中所有可能的样本类型中</w:t>
      </w:r>
      <w:r>
        <w:rPr>
          <w:rFonts w:ascii="Times New Roman" w:eastAsia="仿宋_GB2312" w:hAnsi="Times New Roman" w:hint="eastAsia"/>
          <w:color w:val="000000"/>
          <w:kern w:val="0"/>
          <w:sz w:val="32"/>
          <w:szCs w:val="32"/>
        </w:rPr>
        <w:t>具有代表性的类型进行评估</w:t>
      </w:r>
      <w:r>
        <w:rPr>
          <w:rFonts w:ascii="Times New Roman" w:eastAsia="仿宋_GB2312" w:hAnsi="Times New Roman"/>
          <w:color w:val="000000"/>
          <w:kern w:val="0"/>
          <w:sz w:val="32"/>
          <w:szCs w:val="32"/>
        </w:rPr>
        <w:t>。方法可选择</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个乳腺浸润癌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胃癌病例的组织样本，以及</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个癌旁正常组织或者良性疾病组织样本；对同样数量的细胞随机进行分析计数。每例组织样本应至少检测</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个细胞，分析统计</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基因荧光信号数量，或者同时显示</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基因位点标记和第</w:t>
      </w:r>
      <w:r>
        <w:rPr>
          <w:rFonts w:ascii="Times New Roman" w:eastAsia="仿宋_GB2312" w:hAnsi="Times New Roman"/>
          <w:color w:val="000000"/>
          <w:kern w:val="0"/>
          <w:sz w:val="32"/>
          <w:szCs w:val="32"/>
        </w:rPr>
        <w:t>17</w:t>
      </w:r>
      <w:r>
        <w:rPr>
          <w:rFonts w:ascii="Times New Roman" w:eastAsia="仿宋_GB2312" w:hAnsi="Times New Roman"/>
          <w:color w:val="000000"/>
          <w:kern w:val="0"/>
          <w:sz w:val="32"/>
          <w:szCs w:val="32"/>
        </w:rPr>
        <w:t>号染色体着丝粒（</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）位点标记的荧光信号的细胞占全部细胞的比例。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2.4</w:t>
      </w:r>
      <w:r>
        <w:rPr>
          <w:rFonts w:ascii="Times New Roman" w:eastAsia="仿宋_GB2312" w:hAnsi="Times New Roman"/>
          <w:color w:val="000000"/>
          <w:kern w:val="0"/>
          <w:sz w:val="32"/>
          <w:szCs w:val="32"/>
        </w:rPr>
        <w:t>特异性</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主要反映</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探针对目标序列识别的特异性。建议使用中期分裂相的外周血淋巴细胞进行涂片分析。选择</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lastRenderedPageBreak/>
        <w:t>份以上正常人的外周血培养细胞涂片样本，每例样本应至少检测</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个染色体分散良好的中期分裂相细胞，对至少</w:t>
      </w:r>
      <w:r>
        <w:rPr>
          <w:rFonts w:ascii="Times New Roman" w:eastAsia="仿宋_GB2312" w:hAnsi="Times New Roman"/>
          <w:color w:val="000000"/>
          <w:kern w:val="0"/>
          <w:sz w:val="32"/>
          <w:szCs w:val="32"/>
        </w:rPr>
        <w:t>200</w:t>
      </w:r>
      <w:r>
        <w:rPr>
          <w:rFonts w:ascii="Times New Roman" w:eastAsia="仿宋_GB2312" w:hAnsi="Times New Roman"/>
          <w:color w:val="000000"/>
          <w:kern w:val="0"/>
          <w:sz w:val="32"/>
          <w:szCs w:val="32"/>
        </w:rPr>
        <w:t>个靶位点进行分析计数；结合</w:t>
      </w:r>
      <w:r>
        <w:rPr>
          <w:rFonts w:ascii="Times New Roman" w:eastAsia="仿宋_GB2312" w:hAnsi="Times New Roman" w:hint="eastAsia"/>
          <w:color w:val="000000"/>
          <w:kern w:val="0"/>
          <w:sz w:val="32"/>
          <w:szCs w:val="32"/>
        </w:rPr>
        <w:t>染色体</w:t>
      </w:r>
      <w:r>
        <w:rPr>
          <w:rFonts w:ascii="Times New Roman" w:eastAsia="仿宋_GB2312" w:hAnsi="Times New Roman"/>
          <w:color w:val="000000"/>
          <w:kern w:val="0"/>
          <w:sz w:val="32"/>
          <w:szCs w:val="32"/>
        </w:rPr>
        <w:t>G</w:t>
      </w:r>
      <w:r>
        <w:rPr>
          <w:rFonts w:ascii="Times New Roman" w:eastAsia="仿宋_GB2312" w:hAnsi="Times New Roman" w:hint="eastAsia"/>
          <w:color w:val="000000"/>
          <w:kern w:val="0"/>
          <w:sz w:val="32"/>
          <w:szCs w:val="32"/>
        </w:rPr>
        <w:t>显带分析或其他方式（如观察染色体形态）</w:t>
      </w:r>
      <w:r>
        <w:rPr>
          <w:rFonts w:ascii="Times New Roman" w:eastAsia="仿宋_GB2312" w:hAnsi="Times New Roman"/>
          <w:color w:val="000000"/>
          <w:kern w:val="0"/>
          <w:sz w:val="32"/>
          <w:szCs w:val="32"/>
        </w:rPr>
        <w:t>，统计细胞核染色体上正确位点的杂交信号占全部杂交信号的比例。应使用标准的细胞遗传学技术识别信号位点，例如染色体形态学分析、染色体区段染色、反向</w:t>
      </w:r>
      <w:r>
        <w:rPr>
          <w:rFonts w:ascii="Times New Roman" w:eastAsia="仿宋_GB2312" w:hAnsi="Times New Roman"/>
          <w:color w:val="000000"/>
          <w:kern w:val="0"/>
          <w:sz w:val="32"/>
          <w:szCs w:val="32"/>
        </w:rPr>
        <w:t>DAPI</w:t>
      </w:r>
      <w:r>
        <w:rPr>
          <w:rFonts w:ascii="Times New Roman" w:eastAsia="仿宋_GB2312" w:hAnsi="Times New Roman"/>
          <w:color w:val="000000"/>
          <w:kern w:val="0"/>
          <w:sz w:val="32"/>
          <w:szCs w:val="32"/>
        </w:rPr>
        <w:t>条带等技术；考察在</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基因位点（</w:t>
      </w:r>
      <w:r>
        <w:rPr>
          <w:rFonts w:ascii="Times New Roman" w:eastAsia="仿宋_GB2312" w:hAnsi="Times New Roman"/>
          <w:color w:val="000000"/>
          <w:kern w:val="0"/>
          <w:sz w:val="32"/>
          <w:szCs w:val="32"/>
        </w:rPr>
        <w:t>17q11.2-q12</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或第</w:t>
      </w:r>
      <w:r>
        <w:rPr>
          <w:rFonts w:ascii="Times New Roman" w:eastAsia="仿宋_GB2312" w:hAnsi="Times New Roman"/>
          <w:color w:val="000000"/>
          <w:kern w:val="0"/>
          <w:sz w:val="32"/>
          <w:szCs w:val="32"/>
        </w:rPr>
        <w:t>17</w:t>
      </w:r>
      <w:r>
        <w:rPr>
          <w:rFonts w:ascii="Times New Roman" w:eastAsia="仿宋_GB2312" w:hAnsi="Times New Roman"/>
          <w:color w:val="000000"/>
          <w:kern w:val="0"/>
          <w:sz w:val="32"/>
          <w:szCs w:val="32"/>
        </w:rPr>
        <w:t>号染色体着丝粒位点（</w:t>
      </w:r>
      <w:r>
        <w:rPr>
          <w:rFonts w:ascii="Times New Roman" w:eastAsia="仿宋_GB2312" w:hAnsi="Times New Roman"/>
          <w:color w:val="000000"/>
          <w:kern w:val="0"/>
          <w:sz w:val="32"/>
          <w:szCs w:val="32"/>
        </w:rPr>
        <w:t>17q11.2-q11.1</w:t>
      </w:r>
      <w:r>
        <w:rPr>
          <w:rFonts w:ascii="Times New Roman" w:eastAsia="仿宋_GB2312" w:hAnsi="Times New Roman"/>
          <w:color w:val="000000"/>
          <w:kern w:val="0"/>
          <w:sz w:val="32"/>
          <w:szCs w:val="32"/>
        </w:rPr>
        <w:t>）的特定荧光信号占全部荧光信号的比例。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2.5</w:t>
      </w:r>
      <w:r>
        <w:rPr>
          <w:rFonts w:ascii="Times New Roman" w:eastAsia="仿宋_GB2312" w:hAnsi="Times New Roman"/>
          <w:color w:val="000000"/>
          <w:kern w:val="0"/>
          <w:sz w:val="32"/>
          <w:szCs w:val="32"/>
        </w:rPr>
        <w:t>阴、阳性符合率</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主要反映产品对不同类型样本中</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基因的检出能力和准确性。应使用临床应用环境中所有可能的样本类型中具有代表性的组织类型进行评价，并提供样本来源、唯一可溯源编号、病理组织类型，以及明确的</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基因扩增状态。对于适应症为乳腺癌的情况，用于评价的样本类型应包括乳腺浸润性癌非特殊类型、乳腺浸润性小叶癌、小管癌、粘液癌，良性疾病（如腺病及纤维腺瘤）以及</w:t>
      </w:r>
      <w:r>
        <w:rPr>
          <w:rFonts w:ascii="Times New Roman" w:eastAsia="仿宋_GB2312" w:hAnsi="Times New Roman" w:hint="eastAsia"/>
          <w:color w:val="000000"/>
          <w:kern w:val="0"/>
          <w:sz w:val="32"/>
          <w:szCs w:val="32"/>
        </w:rPr>
        <w:t>相对正常的癌旁组织</w:t>
      </w:r>
      <w:r>
        <w:rPr>
          <w:rFonts w:ascii="Times New Roman" w:eastAsia="仿宋_GB2312" w:hAnsi="Times New Roman"/>
          <w:color w:val="000000"/>
          <w:kern w:val="0"/>
          <w:sz w:val="32"/>
          <w:szCs w:val="32"/>
        </w:rPr>
        <w:t>等。对于适应症为胃癌的情况，用于评价的样本类型应包括肠型、弥漫型、混合型（</w:t>
      </w:r>
      <w:r>
        <w:rPr>
          <w:rFonts w:ascii="Times New Roman" w:eastAsia="仿宋_GB2312" w:hAnsi="Times New Roman"/>
          <w:color w:val="000000"/>
          <w:kern w:val="0"/>
          <w:sz w:val="32"/>
          <w:szCs w:val="32"/>
        </w:rPr>
        <w:t>Lauren</w:t>
      </w:r>
      <w:r>
        <w:rPr>
          <w:rFonts w:ascii="Times New Roman" w:eastAsia="仿宋_GB2312" w:hAnsi="Times New Roman"/>
          <w:color w:val="000000"/>
          <w:kern w:val="0"/>
          <w:sz w:val="32"/>
          <w:szCs w:val="32"/>
        </w:rPr>
        <w:t>分型）胃癌，良性疾病（如胃粘膜慢性炎症）以及</w:t>
      </w:r>
      <w:r>
        <w:rPr>
          <w:rFonts w:ascii="Times New Roman" w:eastAsia="仿宋_GB2312" w:hAnsi="Times New Roman" w:hint="eastAsia"/>
          <w:color w:val="000000"/>
          <w:kern w:val="0"/>
          <w:sz w:val="32"/>
          <w:szCs w:val="32"/>
        </w:rPr>
        <w:t>相对正常的癌旁组织</w:t>
      </w:r>
      <w:r>
        <w:rPr>
          <w:rFonts w:ascii="Times New Roman" w:eastAsia="仿宋_GB2312" w:hAnsi="Times New Roman"/>
          <w:color w:val="000000"/>
          <w:kern w:val="0"/>
          <w:sz w:val="32"/>
          <w:szCs w:val="32"/>
        </w:rPr>
        <w:t>等。每种组织类型设置</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至</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例样本进行评价。建议着重评价申报产品对</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检测结果为</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）样本的</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基因扩增状态的检测能力。</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2.6</w:t>
      </w:r>
      <w:r>
        <w:rPr>
          <w:rFonts w:ascii="Times New Roman" w:eastAsia="仿宋_GB2312" w:hAnsi="Times New Roman"/>
          <w:color w:val="000000"/>
          <w:kern w:val="0"/>
          <w:sz w:val="32"/>
          <w:szCs w:val="32"/>
        </w:rPr>
        <w:t>精密度</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申请人应充分考虑到配套检测系统以及使用环境的因素：包括荧光显微镜的特征、激发光源及过滤器的性能参数、物镜放大倍数等，以及不同时间、地点、操作人员、检测次数对结果判读的影响；对可能导致检测之间差异的主要变量进行验证。用于精</w:t>
      </w:r>
      <w:r>
        <w:rPr>
          <w:rFonts w:ascii="Times New Roman" w:eastAsia="仿宋_GB2312" w:hAnsi="Times New Roman"/>
          <w:color w:val="000000"/>
          <w:kern w:val="0"/>
          <w:sz w:val="32"/>
          <w:szCs w:val="32"/>
        </w:rPr>
        <w:lastRenderedPageBreak/>
        <w:t>密度评价的参考品应选择</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扩增、</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无扩增以及临界值的连续切片组织样本。其中临界值样本和成簇扩增的样本应分别设置验收标准（标准差以及变异系数的范围）。建议参考下述方法进行各个指标的评价：</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2.6.1</w:t>
      </w:r>
      <w:r>
        <w:rPr>
          <w:rFonts w:ascii="Times New Roman" w:eastAsia="仿宋_GB2312" w:hAnsi="Times New Roman"/>
          <w:color w:val="000000"/>
          <w:kern w:val="0"/>
          <w:sz w:val="32"/>
          <w:szCs w:val="32"/>
        </w:rPr>
        <w:t>批内精密度：由同一操作人员使用同一批次产品进行检测，每例样本重复检测多次，对结果判读的一致性进行统计分析。</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2.6.2</w:t>
      </w:r>
      <w:r>
        <w:rPr>
          <w:rFonts w:ascii="Times New Roman" w:eastAsia="仿宋_GB2312" w:hAnsi="Times New Roman"/>
          <w:color w:val="000000"/>
          <w:kern w:val="0"/>
          <w:sz w:val="32"/>
          <w:szCs w:val="32"/>
        </w:rPr>
        <w:t>批间精密度：由同一操作人员使用多个批次产品进行检测，每例样本重复检测多次，对结果判读的一致性进行分析统计。</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2.6.3</w:t>
      </w:r>
      <w:r>
        <w:rPr>
          <w:rFonts w:ascii="Times New Roman" w:eastAsia="仿宋_GB2312" w:hAnsi="Times New Roman"/>
          <w:color w:val="000000"/>
          <w:kern w:val="0"/>
          <w:sz w:val="32"/>
          <w:szCs w:val="32"/>
        </w:rPr>
        <w:t>日间精密度：在多个不同日期，由同一操作人员使用同一批次产品进行检测，对结果判读的一致性进行统计分析。</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2.6.4</w:t>
      </w:r>
      <w:r>
        <w:rPr>
          <w:rFonts w:ascii="Times New Roman" w:eastAsia="仿宋_GB2312" w:hAnsi="Times New Roman"/>
          <w:color w:val="000000"/>
          <w:kern w:val="0"/>
          <w:sz w:val="32"/>
          <w:szCs w:val="32"/>
        </w:rPr>
        <w:t>人员间精密度：由数位操作人员使用同一批次产品进行检测，每份样本由数位阅片人员进行独立结果判读。对不同操作人员</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阅片人员对同一例组织样本检验方法以及结果判读的一致性进行分析统计。</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kern w:val="0"/>
          <w:sz w:val="32"/>
          <w:szCs w:val="32"/>
        </w:rPr>
        <w:t>2.6.5</w:t>
      </w:r>
      <w:r>
        <w:rPr>
          <w:rFonts w:ascii="Times New Roman" w:eastAsia="仿宋_GB2312" w:hAnsi="Times New Roman" w:hint="eastAsia"/>
          <w:color w:val="000000"/>
          <w:kern w:val="0"/>
          <w:sz w:val="32"/>
          <w:szCs w:val="32"/>
        </w:rPr>
        <w:t>实验</w:t>
      </w:r>
      <w:r>
        <w:rPr>
          <w:rFonts w:ascii="Times New Roman" w:eastAsia="仿宋_GB2312" w:hAnsi="Times New Roman"/>
          <w:color w:val="000000"/>
          <w:kern w:val="0"/>
          <w:sz w:val="32"/>
          <w:szCs w:val="32"/>
        </w:rPr>
        <w:t>室间精密度：建议申请人选择不同的实验室进行检测间一致性的评价。</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反应体系</w:t>
      </w:r>
    </w:p>
    <w:p w:rsidR="002F619A" w:rsidRDefault="00B32101" w:rsidP="00B735C7">
      <w:pPr>
        <w:spacing w:line="52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color w:val="000000"/>
          <w:kern w:val="0"/>
          <w:sz w:val="32"/>
          <w:szCs w:val="32"/>
        </w:rPr>
        <w:t>申请人应建立适当的反应体系，以平衡最佳检测信号和背景强度的关系。反应过程包括样本预处理和杂交检测两个步骤，其中</w:t>
      </w:r>
      <w:r>
        <w:rPr>
          <w:rFonts w:ascii="Times New Roman" w:eastAsia="仿宋_GB2312" w:hAnsi="Times New Roman" w:hint="eastAsia"/>
          <w:color w:val="000000"/>
          <w:kern w:val="0"/>
          <w:sz w:val="32"/>
          <w:szCs w:val="32"/>
        </w:rPr>
        <w:t>样本预处理</w:t>
      </w:r>
      <w:r>
        <w:rPr>
          <w:rFonts w:ascii="Times New Roman" w:eastAsia="仿宋_GB2312" w:hAnsi="Times New Roman"/>
          <w:color w:val="000000"/>
          <w:kern w:val="0"/>
          <w:sz w:val="32"/>
          <w:szCs w:val="32"/>
        </w:rPr>
        <w:t>过程一般包括样本脱蜡、</w:t>
      </w:r>
      <w:r>
        <w:rPr>
          <w:rFonts w:ascii="Times New Roman" w:eastAsia="仿宋_GB2312" w:hAnsi="Times New Roman" w:hint="eastAsia"/>
          <w:color w:val="000000"/>
          <w:kern w:val="0"/>
          <w:sz w:val="32"/>
          <w:szCs w:val="32"/>
        </w:rPr>
        <w:t>煮片</w:t>
      </w:r>
      <w:r>
        <w:rPr>
          <w:rFonts w:ascii="Times New Roman" w:eastAsia="仿宋_GB2312" w:hAnsi="Times New Roman"/>
          <w:color w:val="000000"/>
          <w:kern w:val="0"/>
          <w:sz w:val="32"/>
          <w:szCs w:val="32"/>
        </w:rPr>
        <w:t>、蛋白酶处理三个环节，杂交检测过程一般包括变性、杂交、杂交后洗涤、</w:t>
      </w:r>
      <w:r>
        <w:rPr>
          <w:rFonts w:ascii="Times New Roman" w:eastAsia="仿宋_GB2312" w:hAnsi="Times New Roman"/>
          <w:color w:val="000000"/>
          <w:kern w:val="0"/>
          <w:sz w:val="32"/>
          <w:szCs w:val="32"/>
        </w:rPr>
        <w:t>DAPI</w:t>
      </w:r>
      <w:r>
        <w:rPr>
          <w:rFonts w:ascii="Times New Roman" w:eastAsia="仿宋_GB2312" w:hAnsi="Times New Roman"/>
          <w:color w:val="000000"/>
          <w:kern w:val="0"/>
          <w:sz w:val="32"/>
          <w:szCs w:val="32"/>
        </w:rPr>
        <w:t>复染四个环节。另外，应合理控制样本的质量并明确要求。</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2.7.1</w:t>
      </w:r>
      <w:r>
        <w:rPr>
          <w:rFonts w:ascii="Times New Roman" w:eastAsia="仿宋_GB2312" w:hAnsi="Times New Roman"/>
          <w:color w:val="000000"/>
          <w:kern w:val="0"/>
          <w:sz w:val="32"/>
          <w:szCs w:val="32"/>
        </w:rPr>
        <w:t>样本的采集、固定、制片、保存和运输：应对采样部位及方法、样本中肿瘤组织的含量、</w:t>
      </w:r>
      <w:r>
        <w:rPr>
          <w:rFonts w:ascii="Times New Roman" w:eastAsia="仿宋_GB2312" w:hAnsi="Times New Roman" w:hint="eastAsia"/>
          <w:color w:val="000000"/>
          <w:kern w:val="0"/>
          <w:sz w:val="32"/>
          <w:szCs w:val="32"/>
        </w:rPr>
        <w:t>离体到固定的温度及时间、</w:t>
      </w:r>
      <w:r>
        <w:rPr>
          <w:rFonts w:ascii="Times New Roman" w:eastAsia="仿宋_GB2312" w:hAnsi="Times New Roman" w:hint="eastAsia"/>
          <w:color w:val="000000"/>
          <w:kern w:val="0"/>
          <w:sz w:val="32"/>
          <w:szCs w:val="32"/>
        </w:rPr>
        <w:lastRenderedPageBreak/>
        <w:t>固定温度及时间、</w:t>
      </w:r>
      <w:r>
        <w:rPr>
          <w:rFonts w:ascii="Times New Roman" w:eastAsia="仿宋_GB2312" w:hAnsi="Times New Roman"/>
          <w:color w:val="000000"/>
          <w:kern w:val="0"/>
          <w:sz w:val="32"/>
          <w:szCs w:val="32"/>
        </w:rPr>
        <w:t>保存和运输的条件和时间进行研究或者验证，结合组织形态及病理学特征，保证样本的准确性以及其中</w:t>
      </w:r>
      <w:r>
        <w:rPr>
          <w:rFonts w:ascii="Times New Roman" w:eastAsia="仿宋_GB2312" w:hAnsi="Times New Roman"/>
          <w:color w:val="000000"/>
          <w:kern w:val="0"/>
          <w:sz w:val="32"/>
          <w:szCs w:val="32"/>
        </w:rPr>
        <w:t>DNA</w:t>
      </w:r>
      <w:r>
        <w:rPr>
          <w:rFonts w:ascii="Times New Roman" w:eastAsia="仿宋_GB2312" w:hAnsi="Times New Roman"/>
          <w:color w:val="000000"/>
          <w:kern w:val="0"/>
          <w:sz w:val="32"/>
          <w:szCs w:val="32"/>
        </w:rPr>
        <w:t>的完整性。另外，切片质量对检测结果的判读十分重要，应对切片厚度进行研究或者验证，要求计数区域的细胞胞核边界完整、</w:t>
      </w:r>
      <w:r>
        <w:rPr>
          <w:rFonts w:ascii="Times New Roman" w:eastAsia="仿宋_GB2312" w:hAnsi="Times New Roman"/>
          <w:color w:val="000000"/>
          <w:kern w:val="0"/>
          <w:sz w:val="32"/>
          <w:szCs w:val="32"/>
        </w:rPr>
        <w:t>DAPI</w:t>
      </w:r>
      <w:r>
        <w:rPr>
          <w:rFonts w:ascii="Times New Roman" w:eastAsia="仿宋_GB2312" w:hAnsi="Times New Roman"/>
          <w:color w:val="000000"/>
          <w:kern w:val="0"/>
          <w:sz w:val="32"/>
          <w:szCs w:val="32"/>
        </w:rPr>
        <w:t>染色均一、细胞核无重叠、荧光信号清晰。不同类型的样本应分别验证。具体可参考国际或国内相关标准操作规程；如与标准操作规程有差异，应进行充分研究。</w:t>
      </w:r>
    </w:p>
    <w:p w:rsidR="002F619A" w:rsidRDefault="00B32101" w:rsidP="00B735C7">
      <w:pPr>
        <w:spacing w:line="52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hint="eastAsia"/>
          <w:color w:val="000000"/>
          <w:kern w:val="0"/>
          <w:sz w:val="32"/>
          <w:szCs w:val="32"/>
        </w:rPr>
        <w:t>2.7.2</w:t>
      </w:r>
      <w:r>
        <w:rPr>
          <w:rFonts w:ascii="Times New Roman" w:eastAsia="仿宋_GB2312" w:hAnsi="Times New Roman"/>
          <w:color w:val="000000"/>
          <w:kern w:val="0"/>
          <w:sz w:val="32"/>
          <w:szCs w:val="32"/>
        </w:rPr>
        <w:t>样本预处理：应对脱蜡条件、预处理温度及时间、特定盐溶液的离子强度、蛋白酶的消化条件进行充分研究，以避免处理过程中组织和</w:t>
      </w:r>
      <w:r>
        <w:rPr>
          <w:rFonts w:ascii="Times New Roman" w:eastAsia="仿宋_GB2312" w:hAnsi="Times New Roman"/>
          <w:color w:val="000000"/>
          <w:kern w:val="0"/>
          <w:sz w:val="32"/>
          <w:szCs w:val="32"/>
        </w:rPr>
        <w:t>DNA</w:t>
      </w:r>
      <w:r>
        <w:rPr>
          <w:rFonts w:ascii="Times New Roman" w:eastAsia="仿宋_GB2312" w:hAnsi="Times New Roman"/>
          <w:color w:val="000000"/>
          <w:kern w:val="0"/>
          <w:sz w:val="32"/>
          <w:szCs w:val="32"/>
        </w:rPr>
        <w:t>的损失造成检测结果出现假阴性。如其中预处理过程可选择多个温度</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时间的组合，蛋白酶消化过程可选择多个持续时间进行研究。温度</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时间的组合是指首先在同一时期的几个不同温度下进行，然后在优化温度条件下的几个不同持续时间进行。</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2.7.3</w:t>
      </w:r>
      <w:r>
        <w:rPr>
          <w:rFonts w:ascii="Times New Roman" w:eastAsia="仿宋_GB2312" w:hAnsi="Times New Roman"/>
          <w:color w:val="000000"/>
          <w:kern w:val="0"/>
          <w:sz w:val="32"/>
          <w:szCs w:val="32"/>
        </w:rPr>
        <w:t>样本变性条件：应对样本变性处理的温度、持续时间的组合进行充分研究，以保证样本中</w:t>
      </w:r>
      <w:r>
        <w:rPr>
          <w:rFonts w:ascii="Times New Roman" w:eastAsia="仿宋_GB2312" w:hAnsi="Times New Roman"/>
          <w:color w:val="000000"/>
          <w:kern w:val="0"/>
          <w:sz w:val="32"/>
          <w:szCs w:val="32"/>
        </w:rPr>
        <w:t>DNA</w:t>
      </w:r>
      <w:r>
        <w:rPr>
          <w:rFonts w:ascii="Times New Roman" w:eastAsia="仿宋_GB2312" w:hAnsi="Times New Roman"/>
          <w:color w:val="000000"/>
          <w:kern w:val="0"/>
          <w:sz w:val="32"/>
          <w:szCs w:val="32"/>
        </w:rPr>
        <w:t>双链的充分解链，有利于后续探针和样本的结合，提高杂交效率以及保证杂交的特异性。如选择多个温度</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时间的组合进行研究。</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2.7.4</w:t>
      </w:r>
      <w:r>
        <w:rPr>
          <w:rFonts w:ascii="Times New Roman" w:eastAsia="仿宋_GB2312" w:hAnsi="Times New Roman"/>
          <w:color w:val="000000"/>
          <w:kern w:val="0"/>
          <w:sz w:val="32"/>
          <w:szCs w:val="32"/>
        </w:rPr>
        <w:t>样本杂交条件：应对样本杂交步骤的温度、持续时间的组合进行充分研究，以达到探针和样本的最佳结合效率。如选择多个温度</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时间的组合进行研究。</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2.7.5</w:t>
      </w:r>
      <w:r>
        <w:rPr>
          <w:rFonts w:ascii="Times New Roman" w:eastAsia="仿宋_GB2312" w:hAnsi="Times New Roman"/>
          <w:color w:val="000000"/>
          <w:kern w:val="0"/>
          <w:sz w:val="32"/>
          <w:szCs w:val="32"/>
        </w:rPr>
        <w:t>杂交后洗涤条件：应对缓冲液的盐浓度和去垢剂成分，以及清洗温度、时间、次数的组合进行充分研究，以达到最佳的杂交严格度。要求尽可能去除样本中的核蛋白等干扰物质，避免非特异性杂交，降低背景干扰，并且增加目标信号的强度。如选择多个缓冲液浓度以及多个清洗条件的组合进行研究。</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 xml:space="preserve">3. </w:t>
      </w:r>
      <w:r>
        <w:rPr>
          <w:rFonts w:ascii="Times New Roman" w:eastAsia="仿宋_GB2312" w:hAnsi="Times New Roman"/>
          <w:color w:val="000000"/>
          <w:sz w:val="32"/>
          <w:szCs w:val="32"/>
        </w:rPr>
        <w:t>稳定性研究</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eastAsia="仿宋_GB2312"/>
          <w:color w:val="000000"/>
          <w:kern w:val="0"/>
          <w:sz w:val="32"/>
          <w:szCs w:val="32"/>
        </w:rPr>
        <w:t>根据本产品特性，申请人应分别从实时稳定性、运输稳定性、开瓶</w:t>
      </w:r>
      <w:r>
        <w:rPr>
          <w:rFonts w:eastAsia="仿宋_GB2312"/>
          <w:color w:val="000000"/>
          <w:kern w:val="0"/>
          <w:sz w:val="32"/>
          <w:szCs w:val="32"/>
        </w:rPr>
        <w:t>/</w:t>
      </w:r>
      <w:r>
        <w:rPr>
          <w:rFonts w:eastAsia="仿宋_GB2312"/>
          <w:color w:val="000000"/>
          <w:kern w:val="0"/>
          <w:sz w:val="32"/>
          <w:szCs w:val="32"/>
        </w:rPr>
        <w:t>冻融稳定性，以及使用过程中的杂交后信号稳定性、探针的光照稳定性等方面对产品的稳定性进行研究，充分考虑在实际的运输、保存和使用条件下对产品性能的影响。其中使用过程稳定性应评价在实际使用的实验室环境条件下，不同的光照条件对荧光标记探针以及杂交后样本荧光信号强度的影响，注意应覆盖检测的全过程。评价指标应至少包括灵敏度、特异性以及荧光信号强度。</w:t>
      </w:r>
      <w:r>
        <w:rPr>
          <w:rFonts w:ascii="Times New Roman" w:eastAsia="仿宋_GB2312" w:hAnsi="Times New Roman" w:cs="宋体" w:hint="eastAsia"/>
          <w:color w:val="000000"/>
          <w:sz w:val="32"/>
          <w:szCs w:val="32"/>
        </w:rPr>
        <w:t>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 xml:space="preserve">4. </w:t>
      </w:r>
      <w:r>
        <w:rPr>
          <w:rFonts w:ascii="Times New Roman" w:eastAsia="仿宋_GB2312" w:hAnsi="Times New Roman" w:hint="eastAsia"/>
          <w:sz w:val="32"/>
          <w:szCs w:val="32"/>
        </w:rPr>
        <w:t>阳性判断值研究</w:t>
      </w:r>
    </w:p>
    <w:p w:rsidR="002F619A" w:rsidRDefault="00B32101" w:rsidP="00B735C7">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检测结果的判读标准不断进行着更新，申请人应参考最新版临床指南性文件建立阳性判断值。应提交申报产品判读规则以及预设阳性判断值所依据的文献资料，并采用具有统计学意义数量的样本对判读规则以及预设阳性判断值进行验证。应包含</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扩增、</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无扩增以及一定数量的临界值（阳性判断值附近）组织样本，包括</w:t>
      </w:r>
      <w:r>
        <w:rPr>
          <w:rFonts w:ascii="Times New Roman" w:eastAsia="仿宋_GB2312" w:hAnsi="Times New Roman"/>
          <w:color w:val="000000"/>
          <w:kern w:val="0"/>
          <w:sz w:val="32"/>
          <w:szCs w:val="32"/>
        </w:rPr>
        <w:t>HER2/CEP17</w:t>
      </w:r>
      <w:r>
        <w:rPr>
          <w:rFonts w:ascii="Times New Roman" w:eastAsia="仿宋_GB2312" w:hAnsi="Times New Roman"/>
          <w:color w:val="000000"/>
          <w:kern w:val="0"/>
          <w:sz w:val="32"/>
          <w:szCs w:val="32"/>
        </w:rPr>
        <w:t>荧光信号总数比值在</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附近（</w:t>
      </w:r>
      <w:r>
        <w:rPr>
          <w:rFonts w:ascii="Times New Roman" w:eastAsia="仿宋_GB2312" w:hAnsi="Times New Roman"/>
          <w:color w:val="000000"/>
          <w:kern w:val="0"/>
          <w:sz w:val="32"/>
          <w:szCs w:val="32"/>
        </w:rPr>
        <w:t>1.8</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2.2</w:t>
      </w:r>
      <w:r>
        <w:rPr>
          <w:rFonts w:ascii="Times New Roman" w:eastAsia="仿宋_GB2312" w:hAnsi="Times New Roman"/>
          <w:color w:val="000000"/>
          <w:kern w:val="0"/>
          <w:sz w:val="32"/>
          <w:szCs w:val="32"/>
        </w:rPr>
        <w:t>），或者每个细胞的平均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拷贝数在</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附近的样本。</w:t>
      </w:r>
    </w:p>
    <w:p w:rsidR="002F619A" w:rsidRDefault="00B32101" w:rsidP="00B735C7">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首先设定检测结果重复性较好的目标，即</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平均拷贝数或者</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平均拷贝数</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平均拷贝数的标准差</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变异系数范围验收标准，确定初始统计细胞区域和数量，并在结果不确定时纳入更多区域或数量进行统计。</w:t>
      </w:r>
    </w:p>
    <w:p w:rsidR="002F619A" w:rsidRDefault="00B32101" w:rsidP="00B735C7">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然后建议参照组织病理学特征或者</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结果确定可能存在</w:t>
      </w:r>
      <w:r>
        <w:rPr>
          <w:rFonts w:ascii="Times New Roman" w:eastAsia="仿宋_GB2312" w:hAnsi="Times New Roman"/>
          <w:color w:val="000000"/>
          <w:kern w:val="0"/>
          <w:sz w:val="32"/>
          <w:szCs w:val="32"/>
        </w:rPr>
        <w:lastRenderedPageBreak/>
        <w:t>扩增的浸润性乳腺癌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胃癌</w:t>
      </w:r>
      <w:r>
        <w:rPr>
          <w:rFonts w:ascii="Times New Roman" w:eastAsia="仿宋_GB2312" w:hAnsi="Times New Roman" w:hint="eastAsia"/>
          <w:color w:val="000000"/>
          <w:kern w:val="0"/>
          <w:sz w:val="32"/>
          <w:szCs w:val="32"/>
        </w:rPr>
        <w:t>等</w:t>
      </w:r>
      <w:r>
        <w:rPr>
          <w:rFonts w:ascii="Times New Roman" w:eastAsia="仿宋_GB2312" w:hAnsi="Times New Roman"/>
          <w:color w:val="000000"/>
          <w:kern w:val="0"/>
          <w:sz w:val="32"/>
          <w:szCs w:val="32"/>
        </w:rPr>
        <w:t>区域，选择细胞核大小一致、胞核边界完整、</w:t>
      </w:r>
      <w:r>
        <w:rPr>
          <w:rFonts w:ascii="Times New Roman" w:eastAsia="仿宋_GB2312" w:hAnsi="Times New Roman"/>
          <w:color w:val="000000"/>
          <w:kern w:val="0"/>
          <w:sz w:val="32"/>
          <w:szCs w:val="32"/>
        </w:rPr>
        <w:t>DAPI</w:t>
      </w:r>
      <w:r>
        <w:rPr>
          <w:rFonts w:ascii="Times New Roman" w:eastAsia="仿宋_GB2312" w:hAnsi="Times New Roman"/>
          <w:color w:val="000000"/>
          <w:kern w:val="0"/>
          <w:sz w:val="32"/>
          <w:szCs w:val="32"/>
        </w:rPr>
        <w:t>染色均一、细胞核无重叠、荧光信号清晰的细胞，随机计数</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个区域中的至少</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个细胞，并对结果进行统计分析。</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其他资料</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5.1</w:t>
      </w:r>
      <w:r>
        <w:rPr>
          <w:rFonts w:ascii="Times New Roman" w:eastAsia="仿宋_GB2312" w:hAnsi="Times New Roman" w:hint="eastAsia"/>
          <w:sz w:val="32"/>
          <w:szCs w:val="32"/>
        </w:rPr>
        <w:t>主要原材料研究资料</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该</w:t>
      </w:r>
      <w:r>
        <w:rPr>
          <w:rFonts w:ascii="Times New Roman" w:eastAsia="仿宋_GB2312" w:hAnsi="Times New Roman"/>
          <w:sz w:val="32"/>
          <w:szCs w:val="32"/>
        </w:rPr>
        <w:t>类产品的主要原材料包括</w:t>
      </w:r>
      <w:r>
        <w:rPr>
          <w:rFonts w:ascii="Times New Roman" w:eastAsia="仿宋_GB2312" w:hAnsi="Times New Roman" w:hint="eastAsia"/>
          <w:sz w:val="32"/>
          <w:szCs w:val="32"/>
        </w:rPr>
        <w:t>探针、人</w:t>
      </w:r>
      <w:r>
        <w:rPr>
          <w:rFonts w:ascii="Times New Roman" w:eastAsia="仿宋_GB2312" w:hAnsi="Times New Roman" w:hint="eastAsia"/>
          <w:sz w:val="32"/>
          <w:szCs w:val="32"/>
        </w:rPr>
        <w:t>Cot-1 DNA</w:t>
      </w:r>
      <w:r>
        <w:rPr>
          <w:rFonts w:ascii="Times New Roman" w:eastAsia="仿宋_GB2312" w:hAnsi="Times New Roman" w:hint="eastAsia"/>
          <w:sz w:val="32"/>
          <w:szCs w:val="32"/>
        </w:rPr>
        <w:t>、质控片（如适用）和企业参考品等</w:t>
      </w:r>
      <w:r>
        <w:rPr>
          <w:rFonts w:ascii="Times New Roman" w:eastAsia="仿宋_GB2312" w:hAnsi="Times New Roman"/>
          <w:sz w:val="32"/>
          <w:szCs w:val="32"/>
        </w:rPr>
        <w:t>。应提供主要原材料的选择与来源、制备过程、质量控制标准等相关研究资料。如主要原材料为企业自制，应提供其详细制备过程；如主要原材料源于外购，应提供资料包括：选择该原材料的依据及对比筛选试验资料、</w:t>
      </w:r>
      <w:r>
        <w:rPr>
          <w:rFonts w:ascii="Times New Roman" w:eastAsia="仿宋_GB2312" w:hAnsi="Times New Roman" w:hint="eastAsia"/>
          <w:sz w:val="32"/>
          <w:szCs w:val="32"/>
        </w:rPr>
        <w:t>生产商</w:t>
      </w:r>
      <w:r>
        <w:rPr>
          <w:rFonts w:ascii="Times New Roman" w:eastAsia="仿宋_GB2312" w:hAnsi="Times New Roman"/>
          <w:sz w:val="32"/>
          <w:szCs w:val="32"/>
        </w:rPr>
        <w:t>提供的质量标准、出厂检验报告，以及该原材料到货后的质量检验资料。</w:t>
      </w:r>
    </w:p>
    <w:p w:rsidR="002F619A" w:rsidRDefault="00B32101" w:rsidP="00B735C7">
      <w:pPr>
        <w:spacing w:line="52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sz w:val="32"/>
          <w:szCs w:val="32"/>
        </w:rPr>
        <w:t>5.1.1</w:t>
      </w:r>
      <w:r>
        <w:rPr>
          <w:rFonts w:ascii="Times New Roman" w:eastAsia="仿宋_GB2312" w:hAnsi="Times New Roman"/>
          <w:color w:val="000000"/>
          <w:kern w:val="0"/>
          <w:sz w:val="32"/>
          <w:szCs w:val="32"/>
        </w:rPr>
        <w:t>探针：根据不同用途，分为基因特异性探针（</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）和着丝粒探针（</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）两种类型。探针可选择细菌人工染色体（</w:t>
      </w:r>
      <w:r>
        <w:rPr>
          <w:rFonts w:ascii="Times New Roman" w:eastAsia="仿宋_GB2312" w:hAnsi="Times New Roman"/>
          <w:color w:val="000000"/>
          <w:kern w:val="0"/>
          <w:sz w:val="32"/>
          <w:szCs w:val="32"/>
        </w:rPr>
        <w:t>BAC</w:t>
      </w:r>
      <w:r>
        <w:rPr>
          <w:rFonts w:ascii="Times New Roman" w:eastAsia="仿宋_GB2312" w:hAnsi="Times New Roman"/>
          <w:color w:val="000000"/>
          <w:kern w:val="0"/>
          <w:sz w:val="32"/>
          <w:szCs w:val="32"/>
        </w:rPr>
        <w:t>）克隆或者聚合酶链反应（</w:t>
      </w:r>
      <w:r>
        <w:rPr>
          <w:rFonts w:ascii="Times New Roman" w:eastAsia="仿宋_GB2312" w:hAnsi="Times New Roman"/>
          <w:color w:val="000000"/>
          <w:kern w:val="0"/>
          <w:sz w:val="32"/>
          <w:szCs w:val="32"/>
        </w:rPr>
        <w:t>Polymerase Chain Reaction</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PCR</w:t>
      </w:r>
      <w:r>
        <w:rPr>
          <w:rFonts w:ascii="Times New Roman" w:eastAsia="仿宋_GB2312" w:hAnsi="Times New Roman"/>
          <w:color w:val="000000"/>
          <w:kern w:val="0"/>
          <w:sz w:val="32"/>
          <w:szCs w:val="32"/>
        </w:rPr>
        <w:t>）等方法进行制备。下述内容是对于探针制备通用要求的举例，如有其他替代方法，应详细阐述其科学合理性。</w:t>
      </w:r>
    </w:p>
    <w:p w:rsidR="002F619A" w:rsidRDefault="00B32101" w:rsidP="00B735C7">
      <w:pPr>
        <w:spacing w:line="520" w:lineRule="exact"/>
        <w:ind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5.1.</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基因特异性探针</w:t>
      </w:r>
    </w:p>
    <w:p w:rsidR="002F619A" w:rsidRDefault="00B32101" w:rsidP="00B735C7">
      <w:pPr>
        <w:spacing w:line="520" w:lineRule="exact"/>
        <w:ind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探针序列的确定：包括探针所在基因的位置区域，人类基因组文库的筛选、比对和特征确认过程。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人类基因组文库克隆的鉴定：一般检测与基因区域相关的序列标记位点（</w:t>
      </w:r>
      <w:r>
        <w:rPr>
          <w:rFonts w:ascii="Times New Roman" w:eastAsia="仿宋_GB2312" w:hAnsi="Times New Roman"/>
          <w:color w:val="000000"/>
          <w:kern w:val="0"/>
          <w:sz w:val="32"/>
          <w:szCs w:val="32"/>
        </w:rPr>
        <w:t>STS</w:t>
      </w:r>
      <w:r>
        <w:rPr>
          <w:rFonts w:ascii="Times New Roman" w:eastAsia="仿宋_GB2312" w:hAnsi="Times New Roman"/>
          <w:color w:val="000000"/>
          <w:kern w:val="0"/>
          <w:sz w:val="32"/>
          <w:szCs w:val="32"/>
        </w:rPr>
        <w:t>）的存在情况，包括引物的设计，</w:t>
      </w:r>
      <w:r>
        <w:rPr>
          <w:rFonts w:ascii="Times New Roman" w:eastAsia="仿宋_GB2312" w:hAnsi="Times New Roman"/>
          <w:color w:val="000000"/>
          <w:kern w:val="0"/>
          <w:sz w:val="32"/>
          <w:szCs w:val="32"/>
        </w:rPr>
        <w:t>PCR</w:t>
      </w:r>
      <w:r>
        <w:rPr>
          <w:rFonts w:ascii="Times New Roman" w:eastAsia="仿宋_GB2312" w:hAnsi="Times New Roman"/>
          <w:color w:val="000000"/>
          <w:kern w:val="0"/>
          <w:sz w:val="32"/>
          <w:szCs w:val="32"/>
        </w:rPr>
        <w:t>过程和产物的电泳图谱。</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探针的标记：一般为酶促反应或者化学合成方法，应详述标记方式的选择、反应体系和过程、产物的纯化方式等。</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5.1.</w:t>
      </w:r>
      <w:r>
        <w:rPr>
          <w:rFonts w:ascii="Times New Roman" w:eastAsia="仿宋_GB2312" w:hAnsi="Times New Roman"/>
          <w:color w:val="000000"/>
          <w:kern w:val="0"/>
          <w:sz w:val="32"/>
          <w:szCs w:val="32"/>
        </w:rPr>
        <w:t>1.2</w:t>
      </w:r>
      <w:r>
        <w:rPr>
          <w:rFonts w:ascii="Times New Roman" w:eastAsia="仿宋_GB2312" w:hAnsi="Times New Roman"/>
          <w:color w:val="000000"/>
          <w:kern w:val="0"/>
          <w:sz w:val="32"/>
          <w:szCs w:val="32"/>
        </w:rPr>
        <w:t>着丝粒探针：包括微卫星重复单元的序列，</w:t>
      </w:r>
      <w:r>
        <w:rPr>
          <w:rFonts w:ascii="Times New Roman" w:eastAsia="仿宋_GB2312" w:hAnsi="Times New Roman"/>
          <w:color w:val="000000"/>
          <w:kern w:val="0"/>
          <w:sz w:val="32"/>
          <w:szCs w:val="32"/>
        </w:rPr>
        <w:t>PCR</w:t>
      </w:r>
      <w:r>
        <w:rPr>
          <w:rFonts w:ascii="Times New Roman" w:eastAsia="仿宋_GB2312" w:hAnsi="Times New Roman"/>
          <w:color w:val="000000"/>
          <w:kern w:val="0"/>
          <w:sz w:val="32"/>
          <w:szCs w:val="32"/>
        </w:rPr>
        <w:t>引</w:t>
      </w:r>
      <w:r>
        <w:rPr>
          <w:rFonts w:ascii="Times New Roman" w:eastAsia="仿宋_GB2312" w:hAnsi="Times New Roman"/>
          <w:color w:val="000000"/>
          <w:kern w:val="0"/>
          <w:sz w:val="32"/>
          <w:szCs w:val="32"/>
        </w:rPr>
        <w:lastRenderedPageBreak/>
        <w:t>物的设计和选择，荧光染料标记的反应体系、过程和产物的纯化方式等。</w:t>
      </w:r>
    </w:p>
    <w:p w:rsidR="002F619A" w:rsidRDefault="00B32101" w:rsidP="00B735C7">
      <w:pPr>
        <w:spacing w:line="520" w:lineRule="exact"/>
        <w:ind w:firstLineChars="200" w:firstLine="640"/>
        <w:rPr>
          <w:rFonts w:eastAsia="仿宋_GB2312"/>
          <w:sz w:val="32"/>
          <w:szCs w:val="32"/>
        </w:rPr>
      </w:pPr>
      <w:r>
        <w:rPr>
          <w:rFonts w:ascii="Times New Roman" w:eastAsia="仿宋_GB2312" w:hAnsi="Times New Roman"/>
          <w:color w:val="000000"/>
          <w:kern w:val="0"/>
          <w:sz w:val="32"/>
          <w:szCs w:val="32"/>
        </w:rPr>
        <w:t>探针的质量控制：性能指标一般包括浓度、纯度、</w:t>
      </w:r>
      <w:r>
        <w:rPr>
          <w:rFonts w:ascii="Times New Roman" w:eastAsia="仿宋_GB2312" w:hAnsi="Times New Roman"/>
          <w:color w:val="000000"/>
          <w:kern w:val="0"/>
          <w:sz w:val="32"/>
          <w:szCs w:val="32"/>
        </w:rPr>
        <w:t>Tm</w:t>
      </w:r>
      <w:r>
        <w:rPr>
          <w:rFonts w:ascii="Times New Roman" w:eastAsia="仿宋_GB2312" w:hAnsi="Times New Roman"/>
          <w:color w:val="000000"/>
          <w:kern w:val="0"/>
          <w:sz w:val="32"/>
          <w:szCs w:val="32"/>
        </w:rPr>
        <w:t>值（如适用）、杂交效率、特异性等，可使用测定</w:t>
      </w:r>
      <w:r>
        <w:rPr>
          <w:rFonts w:ascii="Times New Roman" w:eastAsia="仿宋_GB2312" w:hAnsi="Times New Roman"/>
          <w:color w:val="000000"/>
          <w:kern w:val="0"/>
          <w:sz w:val="32"/>
          <w:szCs w:val="32"/>
        </w:rPr>
        <w:t>260nm</w:t>
      </w:r>
      <w:r>
        <w:rPr>
          <w:rFonts w:ascii="Times New Roman" w:eastAsia="仿宋_GB2312" w:hAnsi="Times New Roman"/>
          <w:color w:val="000000"/>
          <w:kern w:val="0"/>
          <w:sz w:val="32"/>
          <w:szCs w:val="32"/>
        </w:rPr>
        <w:t>处紫外吸收峰值、测定</w:t>
      </w:r>
      <w:r>
        <w:rPr>
          <w:rFonts w:ascii="Times New Roman" w:eastAsia="仿宋_GB2312" w:hAnsi="Times New Roman"/>
          <w:color w:val="000000"/>
          <w:kern w:val="0"/>
          <w:sz w:val="32"/>
          <w:szCs w:val="32"/>
        </w:rPr>
        <w:t>260nm</w:t>
      </w:r>
      <w:r>
        <w:rPr>
          <w:rFonts w:ascii="Times New Roman" w:eastAsia="仿宋_GB2312" w:hAnsi="Times New Roman"/>
          <w:color w:val="000000"/>
          <w:kern w:val="0"/>
          <w:sz w:val="32"/>
          <w:szCs w:val="32"/>
        </w:rPr>
        <w:t>与</w:t>
      </w:r>
      <w:r>
        <w:rPr>
          <w:rFonts w:ascii="Times New Roman" w:eastAsia="仿宋_GB2312" w:hAnsi="Times New Roman"/>
          <w:color w:val="000000"/>
          <w:kern w:val="0"/>
          <w:sz w:val="32"/>
          <w:szCs w:val="32"/>
        </w:rPr>
        <w:t>280nm</w:t>
      </w:r>
      <w:r>
        <w:rPr>
          <w:rFonts w:ascii="Times New Roman" w:eastAsia="仿宋_GB2312" w:hAnsi="Times New Roman"/>
          <w:color w:val="000000"/>
          <w:kern w:val="0"/>
          <w:sz w:val="32"/>
          <w:szCs w:val="32"/>
        </w:rPr>
        <w:t>处紫外吸收峰值的比值、琼脂糖凝胶电泳、染色体分散良好的中期相分裂细胞杂交验证等方式。</w:t>
      </w:r>
    </w:p>
    <w:p w:rsidR="002F619A" w:rsidRDefault="00B32101" w:rsidP="00B735C7">
      <w:pPr>
        <w:spacing w:line="520" w:lineRule="exact"/>
        <w:ind w:firstLineChars="200" w:firstLine="640"/>
        <w:rPr>
          <w:rFonts w:eastAsia="仿宋_GB2312"/>
          <w:sz w:val="32"/>
          <w:szCs w:val="32"/>
        </w:rPr>
      </w:pPr>
      <w:r>
        <w:rPr>
          <w:rFonts w:ascii="Times New Roman" w:eastAsia="仿宋_GB2312" w:hAnsi="Times New Roman" w:hint="eastAsia"/>
          <w:sz w:val="32"/>
          <w:szCs w:val="32"/>
        </w:rPr>
        <w:t>5.1.</w:t>
      </w:r>
      <w:r>
        <w:rPr>
          <w:rFonts w:ascii="Times New Roman" w:eastAsia="仿宋_GB2312" w:hAnsi="Times New Roman"/>
          <w:sz w:val="32"/>
          <w:szCs w:val="32"/>
        </w:rPr>
        <w:t>2</w:t>
      </w:r>
      <w:r>
        <w:rPr>
          <w:rFonts w:ascii="Times New Roman" w:eastAsia="仿宋_GB2312" w:hAnsi="Times New Roman"/>
          <w:color w:val="000000"/>
          <w:kern w:val="0"/>
          <w:sz w:val="32"/>
          <w:szCs w:val="32"/>
        </w:rPr>
        <w:t>人</w:t>
      </w:r>
      <w:r>
        <w:rPr>
          <w:rFonts w:ascii="Times New Roman" w:eastAsia="仿宋_GB2312" w:hAnsi="Times New Roman"/>
          <w:color w:val="000000"/>
          <w:kern w:val="0"/>
          <w:sz w:val="32"/>
          <w:szCs w:val="32"/>
        </w:rPr>
        <w:t>Cot-1 DNA</w:t>
      </w:r>
      <w:r>
        <w:rPr>
          <w:rFonts w:ascii="Times New Roman" w:eastAsia="仿宋_GB2312" w:hAnsi="Times New Roman"/>
          <w:color w:val="000000"/>
          <w:kern w:val="0"/>
          <w:sz w:val="32"/>
          <w:szCs w:val="32"/>
        </w:rPr>
        <w:t>（如适用）：是由大量人类基因组重复序列组成的高浓度</w:t>
      </w:r>
      <w:r>
        <w:rPr>
          <w:rFonts w:ascii="Times New Roman" w:eastAsia="仿宋_GB2312" w:hAnsi="Times New Roman"/>
          <w:color w:val="000000"/>
          <w:kern w:val="0"/>
          <w:sz w:val="32"/>
          <w:szCs w:val="32"/>
        </w:rPr>
        <w:t>DNA</w:t>
      </w:r>
      <w:r>
        <w:rPr>
          <w:rFonts w:ascii="Times New Roman" w:eastAsia="仿宋_GB2312" w:hAnsi="Times New Roman"/>
          <w:color w:val="000000"/>
          <w:kern w:val="0"/>
          <w:sz w:val="32"/>
          <w:szCs w:val="32"/>
        </w:rPr>
        <w:t>，能封闭样品中的</w:t>
      </w:r>
      <w:r>
        <w:rPr>
          <w:rFonts w:ascii="Times New Roman" w:eastAsia="仿宋_GB2312" w:hAnsi="Times New Roman"/>
          <w:color w:val="000000"/>
          <w:kern w:val="0"/>
          <w:sz w:val="32"/>
          <w:szCs w:val="32"/>
        </w:rPr>
        <w:t>DNA</w:t>
      </w:r>
      <w:r>
        <w:rPr>
          <w:rFonts w:ascii="Times New Roman" w:eastAsia="仿宋_GB2312" w:hAnsi="Times New Roman"/>
          <w:color w:val="000000"/>
          <w:kern w:val="0"/>
          <w:sz w:val="32"/>
          <w:szCs w:val="32"/>
        </w:rPr>
        <w:t>重复序列，降低检测背景。要求能有效封闭背景信号，避免由于非特异性杂交而影响检测结果的判读。应评价人</w:t>
      </w:r>
      <w:r>
        <w:rPr>
          <w:rFonts w:ascii="Times New Roman" w:eastAsia="仿宋_GB2312" w:hAnsi="Times New Roman"/>
          <w:color w:val="000000"/>
          <w:kern w:val="0"/>
          <w:sz w:val="32"/>
          <w:szCs w:val="32"/>
        </w:rPr>
        <w:t>Cot-1 DNA</w:t>
      </w:r>
      <w:r>
        <w:rPr>
          <w:rFonts w:ascii="Times New Roman" w:eastAsia="仿宋_GB2312" w:hAnsi="Times New Roman"/>
          <w:color w:val="000000"/>
          <w:kern w:val="0"/>
          <w:sz w:val="32"/>
          <w:szCs w:val="32"/>
        </w:rPr>
        <w:t>对样本检测背景信号的封闭效果，方法可选择通过观察背景强度以及非特异杂交的强度而确定人</w:t>
      </w:r>
      <w:r>
        <w:rPr>
          <w:rFonts w:ascii="Times New Roman" w:eastAsia="仿宋_GB2312" w:hAnsi="Times New Roman"/>
          <w:color w:val="000000"/>
          <w:kern w:val="0"/>
          <w:sz w:val="32"/>
          <w:szCs w:val="32"/>
        </w:rPr>
        <w:t xml:space="preserve"> Cot-1 DNA</w:t>
      </w:r>
      <w:r>
        <w:rPr>
          <w:rFonts w:ascii="Times New Roman" w:eastAsia="仿宋_GB2312" w:hAnsi="Times New Roman"/>
          <w:color w:val="000000"/>
          <w:kern w:val="0"/>
          <w:sz w:val="32"/>
          <w:szCs w:val="32"/>
        </w:rPr>
        <w:t>的用量。如有其他清除背景信号的方法，应充分说明其科学合理性。</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hint="eastAsia"/>
          <w:sz w:val="32"/>
          <w:szCs w:val="32"/>
        </w:rPr>
        <w:t>其他原料</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除上述原料外，产品中还包含其他原料，如荧光染料、杂交缓冲液、二脒基苯基吲哚（</w:t>
      </w:r>
      <w:r>
        <w:rPr>
          <w:rFonts w:ascii="Times New Roman" w:eastAsia="仿宋_GB2312" w:hAnsi="Times New Roman" w:hint="eastAsia"/>
          <w:sz w:val="32"/>
          <w:szCs w:val="32"/>
        </w:rPr>
        <w:t>DAPI</w:t>
      </w:r>
      <w:r>
        <w:rPr>
          <w:rFonts w:ascii="Times New Roman" w:eastAsia="仿宋_GB2312" w:hAnsi="Times New Roman" w:hint="eastAsia"/>
          <w:sz w:val="32"/>
          <w:szCs w:val="32"/>
        </w:rPr>
        <w:t>）复染剂等，均应进行验证，并提交相关资料，明确供应商和质量控制标准。</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3</w:t>
      </w:r>
      <w:r>
        <w:rPr>
          <w:rFonts w:ascii="Times New Roman" w:eastAsia="仿宋_GB2312" w:hAnsi="Times New Roman"/>
          <w:sz w:val="32"/>
          <w:szCs w:val="32"/>
        </w:rPr>
        <w:t>质控</w:t>
      </w:r>
      <w:r>
        <w:rPr>
          <w:rFonts w:ascii="Times New Roman" w:eastAsia="仿宋_GB2312" w:hAnsi="Times New Roman" w:hint="eastAsia"/>
          <w:sz w:val="32"/>
          <w:szCs w:val="32"/>
        </w:rPr>
        <w:t>片（如适用）</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可作为试剂盒的组分或者单独配置，包含阴性质控片、临界值质控片和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或阳性质控片。可选择临床组织样本或者</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扩增状态确定的细胞株。</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5.</w:t>
      </w:r>
      <w:r>
        <w:rPr>
          <w:rFonts w:ascii="Times New Roman" w:eastAsia="仿宋_GB2312" w:hAnsi="Times New Roman" w:cs="宋体" w:hint="eastAsia"/>
          <w:color w:val="000000"/>
          <w:sz w:val="32"/>
          <w:szCs w:val="32"/>
        </w:rPr>
        <w:t>4</w:t>
      </w:r>
      <w:r>
        <w:rPr>
          <w:rFonts w:ascii="Times New Roman" w:eastAsia="仿宋_GB2312" w:hAnsi="Times New Roman"/>
          <w:sz w:val="32"/>
          <w:szCs w:val="32"/>
        </w:rPr>
        <w:t>企业参考品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pacing w:val="-4"/>
          <w:kern w:val="0"/>
          <w:sz w:val="32"/>
          <w:szCs w:val="32"/>
        </w:rPr>
        <w:t>应包含阴性参考品、阳性参考品和特异性参考品，并详细说明参考品的来源、组成、制备和保存情况。阳性参考品可选择经已上市产品确认</w:t>
      </w:r>
      <w:r>
        <w:rPr>
          <w:rFonts w:ascii="Times New Roman" w:eastAsia="仿宋_GB2312" w:hAnsi="Times New Roman"/>
          <w:color w:val="000000"/>
          <w:spacing w:val="-4"/>
          <w:kern w:val="0"/>
          <w:sz w:val="32"/>
          <w:szCs w:val="32"/>
        </w:rPr>
        <w:t>HER2</w:t>
      </w:r>
      <w:r>
        <w:rPr>
          <w:rFonts w:ascii="Times New Roman" w:eastAsia="仿宋_GB2312" w:hAnsi="Times New Roman"/>
          <w:color w:val="000000"/>
          <w:spacing w:val="-4"/>
          <w:kern w:val="0"/>
          <w:sz w:val="32"/>
          <w:szCs w:val="32"/>
        </w:rPr>
        <w:t>基因扩增的乳腺浸润癌</w:t>
      </w:r>
      <w:r>
        <w:rPr>
          <w:rFonts w:ascii="Times New Roman" w:eastAsia="仿宋_GB2312" w:hAnsi="Times New Roman"/>
          <w:color w:val="000000"/>
          <w:spacing w:val="-4"/>
          <w:kern w:val="0"/>
          <w:sz w:val="32"/>
          <w:szCs w:val="32"/>
        </w:rPr>
        <w:t>/</w:t>
      </w:r>
      <w:r>
        <w:rPr>
          <w:rFonts w:ascii="Times New Roman" w:eastAsia="仿宋_GB2312" w:hAnsi="Times New Roman"/>
          <w:color w:val="000000"/>
          <w:spacing w:val="-4"/>
          <w:kern w:val="0"/>
          <w:sz w:val="32"/>
          <w:szCs w:val="32"/>
        </w:rPr>
        <w:t>胃癌</w:t>
      </w:r>
      <w:r>
        <w:rPr>
          <w:rFonts w:ascii="Times New Roman" w:eastAsia="仿宋_GB2312" w:hAnsi="Times New Roman" w:hint="eastAsia"/>
          <w:color w:val="000000"/>
          <w:spacing w:val="-4"/>
          <w:kern w:val="0"/>
          <w:sz w:val="32"/>
          <w:szCs w:val="32"/>
        </w:rPr>
        <w:t>等</w:t>
      </w:r>
      <w:r>
        <w:rPr>
          <w:rFonts w:ascii="Times New Roman" w:eastAsia="仿宋_GB2312" w:hAnsi="Times New Roman"/>
          <w:color w:val="000000"/>
          <w:spacing w:val="-4"/>
          <w:kern w:val="0"/>
          <w:sz w:val="32"/>
          <w:szCs w:val="32"/>
        </w:rPr>
        <w:t>组织，或者人乳腺癌</w:t>
      </w:r>
      <w:r>
        <w:rPr>
          <w:rFonts w:ascii="Times New Roman" w:eastAsia="仿宋_GB2312" w:hAnsi="Times New Roman"/>
          <w:color w:val="000000"/>
          <w:spacing w:val="-4"/>
          <w:kern w:val="0"/>
          <w:sz w:val="32"/>
          <w:szCs w:val="32"/>
        </w:rPr>
        <w:t>/</w:t>
      </w:r>
      <w:r>
        <w:rPr>
          <w:rFonts w:ascii="Times New Roman" w:eastAsia="仿宋_GB2312" w:hAnsi="Times New Roman"/>
          <w:color w:val="000000"/>
          <w:spacing w:val="-4"/>
          <w:kern w:val="0"/>
          <w:sz w:val="32"/>
          <w:szCs w:val="32"/>
        </w:rPr>
        <w:t>胃癌</w:t>
      </w:r>
      <w:r>
        <w:rPr>
          <w:rFonts w:ascii="Times New Roman" w:eastAsia="仿宋_GB2312" w:hAnsi="Times New Roman" w:hint="eastAsia"/>
          <w:color w:val="000000"/>
          <w:spacing w:val="-4"/>
          <w:kern w:val="0"/>
          <w:sz w:val="32"/>
          <w:szCs w:val="32"/>
        </w:rPr>
        <w:t>等</w:t>
      </w:r>
      <w:r>
        <w:rPr>
          <w:rFonts w:ascii="Times New Roman" w:eastAsia="仿宋_GB2312" w:hAnsi="Times New Roman"/>
          <w:color w:val="000000"/>
          <w:spacing w:val="-4"/>
          <w:kern w:val="0"/>
          <w:sz w:val="32"/>
          <w:szCs w:val="32"/>
        </w:rPr>
        <w:t>细胞株。阴性参考品可选择经已上市产品确认</w:t>
      </w:r>
      <w:r>
        <w:rPr>
          <w:rFonts w:ascii="Times New Roman" w:eastAsia="仿宋_GB2312" w:hAnsi="Times New Roman"/>
          <w:color w:val="000000"/>
          <w:spacing w:val="-4"/>
          <w:kern w:val="0"/>
          <w:sz w:val="32"/>
          <w:szCs w:val="32"/>
        </w:rPr>
        <w:lastRenderedPageBreak/>
        <w:t>HER2</w:t>
      </w:r>
      <w:r>
        <w:rPr>
          <w:rFonts w:ascii="Times New Roman" w:eastAsia="仿宋_GB2312" w:hAnsi="Times New Roman"/>
          <w:color w:val="000000"/>
          <w:spacing w:val="-4"/>
          <w:kern w:val="0"/>
          <w:sz w:val="32"/>
          <w:szCs w:val="32"/>
        </w:rPr>
        <w:t>基因无扩增的肿瘤组织，或者肿瘤</w:t>
      </w:r>
      <w:r>
        <w:rPr>
          <w:rFonts w:ascii="Times New Roman" w:eastAsia="仿宋_GB2312" w:hAnsi="Times New Roman" w:hint="eastAsia"/>
          <w:color w:val="000000"/>
          <w:spacing w:val="-4"/>
          <w:kern w:val="0"/>
          <w:sz w:val="32"/>
          <w:szCs w:val="32"/>
        </w:rPr>
        <w:t>细胞株</w:t>
      </w:r>
      <w:r>
        <w:rPr>
          <w:rFonts w:ascii="Times New Roman" w:eastAsia="仿宋_GB2312" w:hAnsi="Times New Roman"/>
          <w:color w:val="000000"/>
          <w:spacing w:val="-4"/>
          <w:kern w:val="0"/>
          <w:sz w:val="32"/>
          <w:szCs w:val="32"/>
        </w:rPr>
        <w:t>。特异性参考品可选择健康人外周血培养细胞，应含有较多染色体分散良好的中期分裂相淋巴细胞。</w:t>
      </w:r>
    </w:p>
    <w:p w:rsidR="002F619A" w:rsidRDefault="00B32101" w:rsidP="00B735C7">
      <w:pPr>
        <w:spacing w:line="520" w:lineRule="exact"/>
        <w:ind w:firstLineChars="200" w:firstLine="640"/>
        <w:rPr>
          <w:rFonts w:eastAsia="仿宋_GB2312"/>
          <w:sz w:val="32"/>
          <w:szCs w:val="32"/>
        </w:rPr>
      </w:pPr>
      <w:r>
        <w:rPr>
          <w:rFonts w:eastAsia="仿宋_GB2312"/>
          <w:sz w:val="32"/>
          <w:szCs w:val="32"/>
        </w:rPr>
        <w:t>申请人应提交有关企业参考品原料选择、制备方法、基因</w:t>
      </w:r>
      <w:r>
        <w:rPr>
          <w:rFonts w:eastAsia="仿宋_GB2312" w:hint="eastAsia"/>
          <w:sz w:val="32"/>
          <w:szCs w:val="32"/>
        </w:rPr>
        <w:t>扩增状态</w:t>
      </w:r>
      <w:r>
        <w:rPr>
          <w:rFonts w:eastAsia="仿宋_GB2312"/>
          <w:sz w:val="32"/>
          <w:szCs w:val="32"/>
        </w:rPr>
        <w:t>确认及检验标准的研究资料</w:t>
      </w:r>
      <w:r>
        <w:rPr>
          <w:rFonts w:eastAsia="仿宋_GB2312" w:hint="eastAsia"/>
          <w:sz w:val="32"/>
          <w:szCs w:val="32"/>
        </w:rPr>
        <w:t>等。</w:t>
      </w:r>
      <w:r>
        <w:rPr>
          <w:rFonts w:ascii="Times New Roman" w:eastAsia="仿宋_GB2312" w:hAnsi="Times New Roman"/>
          <w:sz w:val="32"/>
          <w:szCs w:val="32"/>
        </w:rPr>
        <w:t xml:space="preserve"> </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w:t>
      </w:r>
      <w:r>
        <w:rPr>
          <w:rFonts w:ascii="Times New Roman" w:eastAsia="仿宋_GB2312" w:hAnsi="Times New Roman" w:hint="eastAsia"/>
          <w:sz w:val="32"/>
          <w:szCs w:val="32"/>
        </w:rPr>
        <w:t>人表皮生长因子受体</w:t>
      </w:r>
      <w:r>
        <w:rPr>
          <w:rFonts w:ascii="Times New Roman" w:eastAsia="仿宋_GB2312" w:hAnsi="Times New Roman" w:hint="eastAsia"/>
          <w:sz w:val="32"/>
          <w:szCs w:val="32"/>
        </w:rPr>
        <w:t>2</w:t>
      </w:r>
      <w:r>
        <w:rPr>
          <w:rFonts w:ascii="Times New Roman" w:eastAsia="仿宋_GB2312" w:hAnsi="Times New Roman" w:hint="eastAsia"/>
          <w:sz w:val="32"/>
          <w:szCs w:val="32"/>
        </w:rPr>
        <w:t>基因扩增</w:t>
      </w:r>
      <w:r>
        <w:rPr>
          <w:rFonts w:ascii="Times New Roman" w:eastAsia="仿宋_GB2312" w:hAnsi="Times New Roman"/>
          <w:sz w:val="32"/>
          <w:szCs w:val="32"/>
        </w:rPr>
        <w:t>检测试剂</w:t>
      </w:r>
      <w:r>
        <w:rPr>
          <w:rFonts w:ascii="Times New Roman" w:eastAsia="仿宋_GB2312" w:hAnsi="Times New Roman" w:hint="eastAsia"/>
          <w:sz w:val="32"/>
          <w:szCs w:val="32"/>
        </w:rPr>
        <w:t>（荧光原位杂交法）</w:t>
      </w:r>
      <w:r>
        <w:rPr>
          <w:rFonts w:ascii="Times New Roman" w:eastAsia="仿宋_GB2312" w:hAnsi="Times New Roman"/>
          <w:sz w:val="32"/>
          <w:szCs w:val="32"/>
        </w:rPr>
        <w:t>已有国家参考品</w:t>
      </w:r>
      <w:r>
        <w:rPr>
          <w:rFonts w:ascii="Times New Roman" w:eastAsia="仿宋_GB2312" w:hAnsi="Times New Roman" w:hint="eastAsia"/>
          <w:sz w:val="32"/>
          <w:szCs w:val="32"/>
        </w:rPr>
        <w:t>发布</w:t>
      </w:r>
      <w:r>
        <w:rPr>
          <w:rFonts w:ascii="Times New Roman" w:eastAsia="仿宋_GB2312" w:hAnsi="Times New Roman"/>
          <w:sz w:val="32"/>
          <w:szCs w:val="32"/>
        </w:rPr>
        <w:t>，企业参考品的要求应不低于国家参考品要求。</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生产工艺研究资料</w:t>
      </w:r>
    </w:p>
    <w:p w:rsidR="002F619A" w:rsidRDefault="00B32101" w:rsidP="00B735C7">
      <w:pPr>
        <w:spacing w:line="520" w:lineRule="exact"/>
        <w:ind w:firstLineChars="200" w:firstLine="640"/>
        <w:rPr>
          <w:rFonts w:ascii="Times New Roman" w:eastAsia="仿宋_GB2312" w:hAnsi="Times New Roman"/>
          <w:sz w:val="32"/>
          <w:szCs w:val="32"/>
        </w:rPr>
      </w:pPr>
      <w:r>
        <w:rPr>
          <w:rFonts w:eastAsia="仿宋_GB2312"/>
          <w:sz w:val="32"/>
          <w:szCs w:val="32"/>
        </w:rPr>
        <w:t>生产工艺研究资料包括工作液配制（探针浓度、</w:t>
      </w:r>
      <w:r>
        <w:rPr>
          <w:rFonts w:eastAsia="仿宋_GB2312" w:hint="eastAsia"/>
          <w:sz w:val="32"/>
          <w:szCs w:val="32"/>
        </w:rPr>
        <w:t>荧光染料浓度、复染剂浓度、</w:t>
      </w:r>
      <w:r>
        <w:rPr>
          <w:rFonts w:ascii="Times New Roman" w:eastAsia="仿宋_GB2312" w:hAnsi="Times New Roman"/>
          <w:sz w:val="32"/>
          <w:szCs w:val="32"/>
        </w:rPr>
        <w:t>缓冲液离子浓度等）、分装和冻干（如有）、荧光标记等工艺过程</w:t>
      </w:r>
      <w:r>
        <w:rPr>
          <w:rFonts w:eastAsia="仿宋_GB2312"/>
          <w:sz w:val="32"/>
          <w:szCs w:val="32"/>
        </w:rPr>
        <w:t>的描述及确定依据。生产过程应对关键参数进行有效控制，可采用流程图方式描述生产工艺，标明关键工艺质控步骤，并详细说明该步骤的质控方法及质控标准。</w:t>
      </w:r>
    </w:p>
    <w:p w:rsidR="002F619A" w:rsidRPr="001066FC" w:rsidRDefault="00B32101" w:rsidP="00B735C7">
      <w:pPr>
        <w:spacing w:line="520" w:lineRule="exact"/>
        <w:ind w:rightChars="-32" w:right="-67" w:firstLineChars="200" w:firstLine="640"/>
        <w:rPr>
          <w:rFonts w:ascii="Times New Roman" w:eastAsia="楷体_GB2312" w:hAnsi="Times New Roman" w:cs="Times New Roman"/>
          <w:color w:val="000000"/>
          <w:sz w:val="32"/>
          <w:szCs w:val="32"/>
        </w:rPr>
      </w:pPr>
      <w:r w:rsidRPr="001066FC">
        <w:rPr>
          <w:rFonts w:ascii="Times New Roman" w:eastAsia="楷体_GB2312" w:hAnsi="Times New Roman" w:cs="Times New Roman"/>
          <w:color w:val="000000"/>
          <w:sz w:val="32"/>
          <w:szCs w:val="32"/>
        </w:rPr>
        <w:t>（四）临床评价资料</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eastAsia="仿宋_GB2312"/>
          <w:color w:val="000000"/>
          <w:kern w:val="0"/>
          <w:sz w:val="32"/>
          <w:szCs w:val="32"/>
        </w:rPr>
        <w:t>临床试验总体要求及临床试验资料的内容应符合</w:t>
      </w:r>
      <w:r>
        <w:rPr>
          <w:rFonts w:eastAsia="仿宋_GB2312" w:hint="eastAsia"/>
          <w:color w:val="000000"/>
          <w:kern w:val="0"/>
          <w:sz w:val="32"/>
          <w:szCs w:val="32"/>
        </w:rPr>
        <w:t>相关法规及</w:t>
      </w:r>
      <w:r>
        <w:rPr>
          <w:rFonts w:eastAsia="仿宋_GB2312"/>
          <w:color w:val="000000"/>
          <w:kern w:val="0"/>
          <w:sz w:val="32"/>
          <w:szCs w:val="32"/>
        </w:rPr>
        <w:t>《体外诊断试剂临床试验技术指导原则》的</w:t>
      </w:r>
      <w:r>
        <w:rPr>
          <w:rFonts w:eastAsia="仿宋_GB2312" w:hint="eastAsia"/>
          <w:color w:val="000000"/>
          <w:kern w:val="0"/>
          <w:sz w:val="32"/>
          <w:szCs w:val="32"/>
        </w:rPr>
        <w:t>要求</w:t>
      </w:r>
      <w:r>
        <w:rPr>
          <w:rFonts w:eastAsia="仿宋_GB2312"/>
          <w:color w:val="000000"/>
          <w:kern w:val="0"/>
          <w:sz w:val="32"/>
          <w:szCs w:val="32"/>
        </w:rPr>
        <w:t>，以下仅结合人表皮生长因子</w:t>
      </w:r>
      <w:r>
        <w:rPr>
          <w:rFonts w:ascii="Times New Roman" w:eastAsia="仿宋_GB2312" w:hAnsi="Times New Roman"/>
          <w:color w:val="000000"/>
          <w:kern w:val="0"/>
          <w:sz w:val="32"/>
          <w:szCs w:val="32"/>
        </w:rPr>
        <w:t>受体</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基因扩增检测试剂盒（荧光原位杂交法）的具体特点对其临床试验中应重点关注的内容进行阐述。</w:t>
      </w:r>
      <w:r w:rsidR="00172623">
        <w:rPr>
          <w:rFonts w:ascii="Times New Roman" w:eastAsia="仿宋_GB2312" w:hAnsi="Times New Roman" w:hint="eastAsia"/>
          <w:color w:val="000000"/>
          <w:kern w:val="0"/>
          <w:sz w:val="32"/>
          <w:szCs w:val="32"/>
        </w:rPr>
        <w:t>临床评价以分子靶向药物曲妥珠单抗为例，其他药物可参考。</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1.</w:t>
      </w:r>
      <w:r>
        <w:rPr>
          <w:rFonts w:ascii="Times New Roman" w:eastAsia="仿宋_GB2312" w:hAnsi="Times New Roman"/>
          <w:color w:val="000000"/>
          <w:kern w:val="0"/>
          <w:sz w:val="32"/>
          <w:szCs w:val="32"/>
        </w:rPr>
        <w:t>临床试验机构及人员的要求</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申请人应当选定不少于</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家（含</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家）已备案的医疗器械临床试验机构，按照有关规定开展临床试验。</w:t>
      </w:r>
      <w:r>
        <w:rPr>
          <w:rFonts w:ascii="Times New Roman" w:eastAsia="仿宋_GB2312" w:hAnsi="Times New Roman" w:hint="eastAsia"/>
          <w:color w:val="000000"/>
          <w:kern w:val="0"/>
          <w:sz w:val="32"/>
          <w:szCs w:val="32"/>
        </w:rPr>
        <w:t>临床试验机构应能够常规开展相关肿瘤分子病理检测，具有免疫组织化学、荧光原位杂交技术和病理诊断等检测的优势，</w:t>
      </w:r>
      <w:r>
        <w:rPr>
          <w:rFonts w:ascii="Times New Roman" w:eastAsia="仿宋_GB2312" w:hAnsi="Times New Roman"/>
          <w:color w:val="000000"/>
          <w:kern w:val="0"/>
          <w:sz w:val="32"/>
          <w:szCs w:val="32"/>
        </w:rPr>
        <w:t>临床试验主要研究者应具有设计并实施相关临床试验的能力、具有试验体外诊断试剂临床试</w:t>
      </w:r>
      <w:r>
        <w:rPr>
          <w:rFonts w:ascii="Times New Roman" w:eastAsia="仿宋_GB2312" w:hAnsi="Times New Roman"/>
          <w:color w:val="000000"/>
          <w:kern w:val="0"/>
          <w:sz w:val="32"/>
          <w:szCs w:val="32"/>
        </w:rPr>
        <w:lastRenderedPageBreak/>
        <w:t>验所要求的专业知识和经验，应熟悉相关的临床试验法规要求。参与临床试验的人员经培训后应熟悉相关检测技术的原理、适用范围、操作方法等，并能够对检测结果进行正确判读。临床试验整个过程均应处于有效的质量控制下，最大限度保证试验数据的准确性及可重复性</w:t>
      </w:r>
      <w:r>
        <w:rPr>
          <w:rFonts w:ascii="Times New Roman" w:eastAsia="仿宋_GB2312" w:hAnsi="Times New Roman" w:hint="eastAsia"/>
          <w:color w:val="000000"/>
          <w:kern w:val="0"/>
          <w:sz w:val="32"/>
          <w:szCs w:val="32"/>
        </w:rPr>
        <w:t>。</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对比方法的选择</w:t>
      </w:r>
    </w:p>
    <w:p w:rsidR="002F619A" w:rsidRDefault="00B32101" w:rsidP="00B735C7">
      <w:pPr>
        <w:autoSpaceDE w:val="0"/>
        <w:autoSpaceDN w:val="0"/>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应选用申报产品所声称伴随的抗肿瘤药物的原研伴随诊断试剂作为对比试剂。</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申报产品用于指导用药的灵敏度应与原研伴随诊断试剂相当，根据原研伴随诊断试剂的灵敏度水平设置相应的阳性判断值，以保证两者具有较好的一致性。</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临床试验适用人群和样本类型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对于适应</w:t>
      </w:r>
      <w:r>
        <w:rPr>
          <w:rFonts w:ascii="Times New Roman" w:eastAsia="仿宋_GB2312" w:hAnsi="Times New Roman" w:hint="eastAsia"/>
          <w:color w:val="000000"/>
          <w:kern w:val="0"/>
          <w:sz w:val="32"/>
          <w:szCs w:val="32"/>
        </w:rPr>
        <w:t>证</w:t>
      </w:r>
      <w:r>
        <w:rPr>
          <w:rFonts w:ascii="Times New Roman" w:eastAsia="仿宋_GB2312" w:hAnsi="Times New Roman"/>
          <w:color w:val="000000"/>
          <w:kern w:val="0"/>
          <w:sz w:val="32"/>
          <w:szCs w:val="32"/>
        </w:rPr>
        <w:t>为浸润性乳腺癌的情况，</w:t>
      </w:r>
      <w:r>
        <w:rPr>
          <w:rFonts w:ascii="Times New Roman" w:eastAsia="仿宋_GB2312" w:hAnsi="Times New Roman" w:hint="eastAsia"/>
          <w:color w:val="000000"/>
          <w:kern w:val="0"/>
          <w:sz w:val="32"/>
          <w:szCs w:val="32"/>
        </w:rPr>
        <w:t>适用人群为经病理诊断为浸润性乳腺癌的人群，应注意纳入乳腺癌不同分期的病例，同时</w:t>
      </w:r>
      <w:r>
        <w:rPr>
          <w:rFonts w:ascii="Times New Roman" w:eastAsia="仿宋_GB2312" w:hAnsi="Times New Roman"/>
          <w:color w:val="000000"/>
          <w:kern w:val="0"/>
          <w:sz w:val="32"/>
          <w:szCs w:val="32"/>
        </w:rPr>
        <w:t>应</w:t>
      </w:r>
      <w:r>
        <w:rPr>
          <w:rFonts w:ascii="Times New Roman" w:eastAsia="仿宋_GB2312" w:hAnsi="Times New Roman" w:hint="eastAsia"/>
          <w:color w:val="000000"/>
          <w:kern w:val="0"/>
          <w:sz w:val="32"/>
          <w:szCs w:val="32"/>
        </w:rPr>
        <w:t>纳入</w:t>
      </w:r>
      <w:r>
        <w:rPr>
          <w:rFonts w:ascii="Times New Roman" w:eastAsia="仿宋_GB2312" w:hAnsi="Times New Roman"/>
          <w:color w:val="000000"/>
          <w:kern w:val="0"/>
          <w:sz w:val="32"/>
          <w:szCs w:val="32"/>
        </w:rPr>
        <w:t>各种浸润性乳腺癌病理组织类型，如乳腺浸润性癌非特殊类型、乳腺浸润性小叶癌、小管癌、粘液癌。</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对于适应</w:t>
      </w:r>
      <w:r>
        <w:rPr>
          <w:rFonts w:ascii="Times New Roman" w:eastAsia="仿宋_GB2312" w:hAnsi="Times New Roman" w:hint="eastAsia"/>
          <w:color w:val="000000"/>
          <w:kern w:val="0"/>
          <w:sz w:val="32"/>
          <w:szCs w:val="32"/>
        </w:rPr>
        <w:t>证</w:t>
      </w:r>
      <w:r>
        <w:rPr>
          <w:rFonts w:ascii="Times New Roman" w:eastAsia="仿宋_GB2312" w:hAnsi="Times New Roman"/>
          <w:color w:val="000000"/>
          <w:kern w:val="0"/>
          <w:sz w:val="32"/>
          <w:szCs w:val="32"/>
        </w:rPr>
        <w:t>为胃癌的情况，适用人群</w:t>
      </w:r>
      <w:r>
        <w:rPr>
          <w:rFonts w:ascii="Times New Roman" w:eastAsia="仿宋_GB2312" w:hAnsi="Times New Roman" w:hint="eastAsia"/>
          <w:color w:val="000000"/>
          <w:kern w:val="0"/>
          <w:sz w:val="32"/>
          <w:szCs w:val="32"/>
        </w:rPr>
        <w:t>为经病理诊断为胃癌的人群，应注意纳入胃癌不同分期的病例，同时应纳入</w:t>
      </w:r>
      <w:r>
        <w:rPr>
          <w:rFonts w:ascii="Times New Roman" w:eastAsia="仿宋_GB2312" w:hAnsi="Times New Roman"/>
          <w:color w:val="000000"/>
          <w:kern w:val="0"/>
          <w:sz w:val="32"/>
          <w:szCs w:val="32"/>
        </w:rPr>
        <w:t>临床常见的各种腺癌病理组织类型，如肠型、弥漫型、混合型（</w:t>
      </w:r>
      <w:r>
        <w:rPr>
          <w:rFonts w:ascii="Times New Roman" w:eastAsia="仿宋_GB2312" w:hAnsi="Times New Roman"/>
          <w:color w:val="000000"/>
          <w:kern w:val="0"/>
          <w:sz w:val="32"/>
          <w:szCs w:val="32"/>
        </w:rPr>
        <w:t>Lauren</w:t>
      </w:r>
      <w:r>
        <w:rPr>
          <w:rFonts w:ascii="Times New Roman" w:eastAsia="仿宋_GB2312" w:hAnsi="Times New Roman"/>
          <w:color w:val="000000"/>
          <w:kern w:val="0"/>
          <w:sz w:val="32"/>
          <w:szCs w:val="32"/>
        </w:rPr>
        <w:t>分型）。</w:t>
      </w:r>
      <w:r>
        <w:rPr>
          <w:rFonts w:ascii="Times New Roman" w:eastAsia="仿宋_GB2312" w:hAnsi="Times New Roman" w:hint="eastAsia"/>
          <w:color w:val="000000"/>
          <w:kern w:val="0"/>
          <w:sz w:val="32"/>
          <w:szCs w:val="32"/>
        </w:rPr>
        <w:t>针对曲妥珠单抗药物适应证人群应有一定例数。</w:t>
      </w:r>
    </w:p>
    <w:p w:rsidR="002F619A" w:rsidRDefault="00B32101" w:rsidP="00B735C7">
      <w:pPr>
        <w:spacing w:line="52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color w:val="000000"/>
          <w:kern w:val="0"/>
          <w:sz w:val="32"/>
          <w:szCs w:val="32"/>
        </w:rPr>
        <w:t>临床试验应选择</w:t>
      </w:r>
      <w:r>
        <w:rPr>
          <w:rFonts w:ascii="Times New Roman" w:eastAsia="仿宋_GB2312" w:hAnsi="Times New Roman" w:hint="eastAsia"/>
          <w:color w:val="000000"/>
          <w:kern w:val="0"/>
          <w:sz w:val="32"/>
          <w:szCs w:val="32"/>
        </w:rPr>
        <w:t>经</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中性缓冲福尔马林固定的石蜡包埋组织样本</w:t>
      </w:r>
      <w:r w:rsidR="002D6A3E">
        <w:rPr>
          <w:rFonts w:ascii="Times New Roman" w:eastAsia="仿宋_GB2312" w:hAnsi="Times New Roman" w:hint="eastAsia"/>
          <w:color w:val="000000"/>
          <w:kern w:val="0"/>
          <w:sz w:val="32"/>
          <w:szCs w:val="32"/>
        </w:rPr>
        <w:t>或组织芯片</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如对于手术标本或活检标本均适用，则临床试验中对于两种标本均应纳入。</w:t>
      </w:r>
      <w:r>
        <w:rPr>
          <w:rFonts w:ascii="Times New Roman" w:eastAsia="仿宋_GB2312" w:hAnsi="Times New Roman"/>
          <w:color w:val="000000"/>
          <w:kern w:val="0"/>
          <w:sz w:val="32"/>
          <w:szCs w:val="32"/>
        </w:rPr>
        <w:t>临床样本的处理、保存和核酸提取等应分别满足申报产品说明书及对比试剂说明书的相关要求。</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最低样本量</w:t>
      </w:r>
    </w:p>
    <w:p w:rsidR="002F619A" w:rsidRDefault="00B32101" w:rsidP="00B735C7">
      <w:pPr>
        <w:spacing w:line="520" w:lineRule="exact"/>
        <w:ind w:firstLineChars="200" w:firstLine="640"/>
        <w:rPr>
          <w:rFonts w:ascii="Times New Roman" w:eastAsia="仿宋_GB2312" w:hAnsi="Times New Roman"/>
          <w:strike/>
          <w:sz w:val="32"/>
          <w:szCs w:val="32"/>
        </w:rPr>
      </w:pPr>
      <w:r>
        <w:rPr>
          <w:rFonts w:ascii="Times New Roman" w:eastAsia="仿宋_GB2312" w:hAnsi="Times New Roman"/>
          <w:sz w:val="32"/>
          <w:szCs w:val="32"/>
        </w:rPr>
        <w:lastRenderedPageBreak/>
        <w:t>临床试验样本量应采用适当的统计学方法进行估算，并详细描述所使用统计方法及各参数的确定依据。此部分临床试验目的为评估两种检测方法之间的一致性，因此建议采用单组目标值法</w:t>
      </w:r>
      <w:r>
        <w:rPr>
          <w:rFonts w:ascii="Times New Roman" w:eastAsia="仿宋_GB2312" w:hAnsi="Times New Roman" w:hint="eastAsia"/>
          <w:sz w:val="32"/>
          <w:szCs w:val="32"/>
        </w:rPr>
        <w:t>进行最低样本量估算，</w:t>
      </w:r>
      <w:r>
        <w:rPr>
          <w:rFonts w:ascii="Times New Roman" w:eastAsia="仿宋_GB2312" w:hAnsi="Times New Roman"/>
          <w:sz w:val="32"/>
          <w:szCs w:val="32"/>
        </w:rPr>
        <w:t>通过阳性符合率和阴性符合率来分别计算所需阳性样本和阴性样本的例数</w:t>
      </w:r>
      <w:r>
        <w:rPr>
          <w:rFonts w:ascii="Times New Roman" w:eastAsia="仿宋_GB2312" w:hAnsi="Times New Roman" w:hint="eastAsia"/>
          <w:sz w:val="32"/>
          <w:szCs w:val="32"/>
        </w:rPr>
        <w:t>。应</w:t>
      </w:r>
      <w:r>
        <w:rPr>
          <w:rFonts w:ascii="Times New Roman" w:eastAsia="仿宋_GB2312" w:hAnsi="Times New Roman"/>
          <w:sz w:val="32"/>
          <w:szCs w:val="32"/>
        </w:rPr>
        <w:t>以</w:t>
      </w:r>
      <w:r>
        <w:rPr>
          <w:rFonts w:ascii="Times New Roman" w:eastAsia="仿宋_GB2312" w:hAnsi="Times New Roman" w:hint="eastAsia"/>
          <w:sz w:val="32"/>
          <w:szCs w:val="32"/>
        </w:rPr>
        <w:t>IH</w:t>
      </w:r>
      <w:r>
        <w:rPr>
          <w:rFonts w:ascii="Times New Roman" w:eastAsia="仿宋_GB2312" w:hAnsi="Times New Roman"/>
          <w:sz w:val="32"/>
          <w:szCs w:val="32"/>
        </w:rPr>
        <w:t>C</w:t>
      </w:r>
      <w:r>
        <w:rPr>
          <w:rFonts w:ascii="Times New Roman" w:eastAsia="仿宋_GB2312" w:hAnsi="Times New Roman" w:hint="eastAsia"/>
          <w:sz w:val="32"/>
          <w:szCs w:val="32"/>
        </w:rPr>
        <w:t>检测结果</w:t>
      </w:r>
      <w:r>
        <w:rPr>
          <w:rFonts w:ascii="Times New Roman" w:eastAsia="仿宋_GB2312" w:hAnsi="Times New Roman"/>
          <w:sz w:val="32"/>
          <w:szCs w:val="32"/>
        </w:rPr>
        <w:t>为</w:t>
      </w:r>
      <w:r>
        <w:rPr>
          <w:rFonts w:ascii="Times New Roman" w:eastAsia="仿宋_GB2312" w:hAnsi="Times New Roman" w:hint="eastAsia"/>
          <w:sz w:val="32"/>
          <w:szCs w:val="32"/>
        </w:rPr>
        <w:t>HER2</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）的</w:t>
      </w:r>
      <w:r>
        <w:rPr>
          <w:rFonts w:ascii="Times New Roman" w:eastAsia="仿宋_GB2312" w:hAnsi="Times New Roman"/>
          <w:sz w:val="32"/>
          <w:szCs w:val="32"/>
        </w:rPr>
        <w:t>样本</w:t>
      </w:r>
      <w:r>
        <w:rPr>
          <w:rFonts w:ascii="Times New Roman" w:eastAsia="仿宋_GB2312" w:hAnsi="Times New Roman" w:hint="eastAsia"/>
          <w:sz w:val="32"/>
          <w:szCs w:val="32"/>
        </w:rPr>
        <w:t>为</w:t>
      </w:r>
      <w:r>
        <w:rPr>
          <w:rFonts w:ascii="Times New Roman" w:eastAsia="仿宋_GB2312" w:hAnsi="Times New Roman"/>
          <w:sz w:val="32"/>
          <w:szCs w:val="32"/>
        </w:rPr>
        <w:t>主</w:t>
      </w:r>
      <w:r>
        <w:rPr>
          <w:rFonts w:ascii="Times New Roman" w:eastAsia="仿宋_GB2312" w:hAnsi="Times New Roman" w:hint="eastAsia"/>
          <w:sz w:val="32"/>
          <w:szCs w:val="32"/>
        </w:rPr>
        <w:t>（建议不少于</w:t>
      </w:r>
      <w:r>
        <w:rPr>
          <w:rFonts w:ascii="Times New Roman" w:eastAsia="仿宋_GB2312" w:hAnsi="Times New Roman" w:hint="eastAsia"/>
          <w:sz w:val="32"/>
          <w:szCs w:val="32"/>
        </w:rPr>
        <w:t>400</w:t>
      </w:r>
      <w:r>
        <w:rPr>
          <w:rFonts w:ascii="Times New Roman" w:eastAsia="仿宋_GB2312" w:hAnsi="Times New Roman" w:hint="eastAsia"/>
          <w:sz w:val="32"/>
          <w:szCs w:val="32"/>
        </w:rPr>
        <w:t>例）</w:t>
      </w:r>
      <w:r>
        <w:rPr>
          <w:rFonts w:ascii="Times New Roman" w:eastAsia="仿宋_GB2312" w:hAnsi="Times New Roman"/>
          <w:sz w:val="32"/>
          <w:szCs w:val="32"/>
        </w:rPr>
        <w:t>，阴、阳性符合率的临床可接受标准（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）建议不低于</w:t>
      </w:r>
      <w:r>
        <w:rPr>
          <w:rFonts w:ascii="Times New Roman" w:eastAsia="仿宋_GB2312" w:hAnsi="Times New Roman"/>
          <w:sz w:val="32"/>
          <w:szCs w:val="32"/>
        </w:rPr>
        <w:t>90%</w:t>
      </w:r>
      <w:r>
        <w:rPr>
          <w:rFonts w:ascii="Times New Roman" w:eastAsia="仿宋_GB2312" w:hAnsi="Times New Roman"/>
          <w:sz w:val="32"/>
          <w:szCs w:val="32"/>
        </w:rPr>
        <w:t>。</w:t>
      </w:r>
    </w:p>
    <w:p w:rsidR="002F619A" w:rsidRDefault="00B32101" w:rsidP="00B735C7">
      <w:pPr>
        <w:spacing w:line="520" w:lineRule="exact"/>
        <w:ind w:firstLineChars="200" w:firstLine="420"/>
        <w:jc w:val="right"/>
        <w:rPr>
          <w:rFonts w:ascii="Times New Roman" w:eastAsia="仿宋_GB2312" w:hAnsi="Times New Roman"/>
          <w:sz w:val="32"/>
          <w:szCs w:val="32"/>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1133475</wp:posOffset>
            </wp:positionH>
            <wp:positionV relativeFrom="paragraph">
              <wp:posOffset>136525</wp:posOffset>
            </wp:positionV>
            <wp:extent cx="3486150" cy="790575"/>
            <wp:effectExtent l="0" t="0" r="3810" b="0"/>
            <wp:wrapSquare wrapText="bothSides"/>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8"/>
                    <a:stretch>
                      <a:fillRect/>
                    </a:stretch>
                  </pic:blipFill>
                  <pic:spPr>
                    <a:xfrm>
                      <a:off x="0" y="0"/>
                      <a:ext cx="3486150" cy="790575"/>
                    </a:xfrm>
                    <a:prstGeom prst="rect">
                      <a:avLst/>
                    </a:prstGeom>
                    <a:noFill/>
                    <a:ln>
                      <a:noFill/>
                    </a:ln>
                  </pic:spPr>
                </pic:pic>
              </a:graphicData>
            </a:graphic>
          </wp:anchor>
        </w:drawing>
      </w:r>
    </w:p>
    <w:p w:rsidR="002F619A" w:rsidRDefault="002F619A" w:rsidP="00B735C7">
      <w:pPr>
        <w:spacing w:line="520" w:lineRule="exact"/>
        <w:ind w:right="640"/>
        <w:rPr>
          <w:rFonts w:ascii="Times New Roman" w:eastAsia="仿宋_GB2312" w:hAnsi="Times New Roman"/>
          <w:sz w:val="32"/>
          <w:szCs w:val="32"/>
        </w:rPr>
      </w:pPr>
    </w:p>
    <w:p w:rsidR="002F619A" w:rsidRDefault="002F619A" w:rsidP="00B735C7">
      <w:pPr>
        <w:spacing w:line="520" w:lineRule="exact"/>
        <w:ind w:firstLineChars="200" w:firstLine="640"/>
        <w:rPr>
          <w:rFonts w:ascii="Times New Roman" w:eastAsia="仿宋_GB2312" w:hAnsi="Times New Roman"/>
          <w:sz w:val="32"/>
          <w:szCs w:val="32"/>
        </w:rPr>
      </w:pP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公式中，</w:t>
      </w:r>
      <w:r>
        <w:rPr>
          <w:rFonts w:ascii="Times New Roman" w:eastAsia="仿宋_GB2312" w:hAnsi="Times New Roman"/>
          <w:sz w:val="32"/>
          <w:szCs w:val="32"/>
        </w:rPr>
        <w:t>n</w:t>
      </w:r>
      <w:r>
        <w:rPr>
          <w:rFonts w:ascii="Times New Roman" w:eastAsia="仿宋_GB2312" w:hAnsi="Times New Roman"/>
          <w:sz w:val="32"/>
          <w:szCs w:val="32"/>
        </w:rPr>
        <w:t>为样本量；</w:t>
      </w:r>
      <w:r>
        <w:rPr>
          <w:rFonts w:ascii="Times New Roman" w:eastAsia="仿宋_GB2312" w:hAnsi="Times New Roman"/>
          <w:sz w:val="32"/>
          <w:szCs w:val="32"/>
        </w:rPr>
        <w:t>Z</w:t>
      </w:r>
      <w:r>
        <w:rPr>
          <w:rFonts w:ascii="Times New Roman" w:eastAsia="仿宋_GB2312" w:hAnsi="Times New Roman"/>
          <w:sz w:val="32"/>
          <w:szCs w:val="32"/>
          <w:vertAlign w:val="subscript"/>
        </w:rPr>
        <w:t>1-α/2</w:t>
      </w:r>
      <w:r>
        <w:rPr>
          <w:rFonts w:ascii="Times New Roman" w:eastAsia="仿宋_GB2312" w:hAnsi="Times New Roman"/>
          <w:sz w:val="32"/>
          <w:szCs w:val="32"/>
        </w:rPr>
        <w:t>、</w:t>
      </w:r>
      <w:r>
        <w:rPr>
          <w:rFonts w:ascii="Times New Roman" w:eastAsia="仿宋_GB2312" w:hAnsi="Times New Roman"/>
          <w:sz w:val="32"/>
          <w:szCs w:val="32"/>
        </w:rPr>
        <w:t>Z</w:t>
      </w:r>
      <w:r>
        <w:rPr>
          <w:rFonts w:ascii="Times New Roman" w:eastAsia="仿宋_GB2312" w:hAnsi="Times New Roman"/>
          <w:sz w:val="32"/>
          <w:szCs w:val="32"/>
          <w:vertAlign w:val="subscript"/>
        </w:rPr>
        <w:t>1-β</w:t>
      </w:r>
      <w:r>
        <w:rPr>
          <w:rFonts w:ascii="Times New Roman" w:eastAsia="仿宋_GB2312" w:hAnsi="Times New Roman"/>
          <w:sz w:val="32"/>
          <w:szCs w:val="32"/>
        </w:rPr>
        <w:t>为显著性水平和把握度的标准正态分布的分数位，</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为评价指标的临床可接受标准，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T</w:t>
      </w:r>
      <w:r>
        <w:rPr>
          <w:rFonts w:ascii="Times New Roman" w:eastAsia="仿宋_GB2312" w:hAnsi="Times New Roman"/>
          <w:sz w:val="32"/>
          <w:szCs w:val="32"/>
        </w:rPr>
        <w:t>为申报产品评价指标预期值。</w:t>
      </w:r>
      <w:r>
        <w:rPr>
          <w:rFonts w:ascii="Times New Roman" w:eastAsia="仿宋_GB2312" w:hAnsi="Times New Roman" w:hint="eastAsia"/>
          <w:sz w:val="32"/>
          <w:szCs w:val="32"/>
        </w:rPr>
        <w:t>样本量估算过程中需要考虑临床试验中样本的剔除率，临床试验样本量除需满足上述统计学估算的最低样本量要求外，还应保证入组病例覆盖受试者的各种特征。如临床试验研究有更合理的样本量估算方式，在说明其合理性后亦可采用。</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如申报试剂声称可以用于检测两种或两种以上肿瘤类型，</w:t>
      </w:r>
      <w:r>
        <w:rPr>
          <w:rFonts w:ascii="Times New Roman" w:eastAsia="仿宋_GB2312" w:hAnsi="Times New Roman"/>
          <w:sz w:val="32"/>
          <w:szCs w:val="32"/>
        </w:rPr>
        <w:t>则需分别进行临床试验设计，包括分别进行相应的样本量估算。</w:t>
      </w:r>
      <w:r>
        <w:rPr>
          <w:rFonts w:ascii="Times New Roman" w:eastAsia="仿宋_GB2312" w:hAnsi="Times New Roman"/>
          <w:color w:val="000000"/>
          <w:kern w:val="0"/>
          <w:sz w:val="32"/>
          <w:szCs w:val="32"/>
        </w:rPr>
        <w:t>样本的选择应包含临床预期使用人群，注意包含临床相关的各种病理组织类型。</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kern w:val="0"/>
          <w:sz w:val="32"/>
          <w:szCs w:val="32"/>
        </w:rPr>
        <w:t>5.</w:t>
      </w:r>
      <w:r>
        <w:rPr>
          <w:rFonts w:ascii="Times New Roman" w:eastAsia="仿宋_GB2312" w:hAnsi="Times New Roman"/>
          <w:sz w:val="32"/>
          <w:szCs w:val="32"/>
        </w:rPr>
        <w:t>统计分析</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首先应</w:t>
      </w:r>
      <w:r>
        <w:rPr>
          <w:rFonts w:ascii="Times New Roman" w:eastAsia="仿宋_GB2312" w:hAnsi="Times New Roman"/>
          <w:color w:val="000000"/>
          <w:kern w:val="0"/>
          <w:sz w:val="32"/>
          <w:szCs w:val="32"/>
        </w:rPr>
        <w:t>对临床试验中人群基本特征进行分析，包括：年龄、性别、病理组织类型、癌症分期情况、免疫组织化学检测结果</w:t>
      </w:r>
      <w:r>
        <w:rPr>
          <w:rFonts w:ascii="Times New Roman" w:eastAsia="仿宋_GB2312" w:hAnsi="Times New Roman" w:hint="eastAsia"/>
          <w:color w:val="000000"/>
          <w:kern w:val="0"/>
          <w:sz w:val="32"/>
          <w:szCs w:val="32"/>
        </w:rPr>
        <w:t>、样本类型（穿刺标本或手术标本）、肿瘤细胞含量</w:t>
      </w:r>
      <w:r>
        <w:rPr>
          <w:rFonts w:ascii="Times New Roman" w:eastAsia="仿宋_GB2312" w:hAnsi="Times New Roman"/>
          <w:color w:val="000000"/>
          <w:kern w:val="0"/>
          <w:sz w:val="32"/>
          <w:szCs w:val="32"/>
        </w:rPr>
        <w:t>等（见表</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p>
    <w:p w:rsidR="00DE349C" w:rsidRPr="00DE349C" w:rsidRDefault="00DE349C" w:rsidP="00B735C7">
      <w:pPr>
        <w:spacing w:line="520" w:lineRule="exact"/>
        <w:ind w:firstLineChars="200" w:firstLine="640"/>
        <w:rPr>
          <w:rFonts w:ascii="Times New Roman" w:eastAsia="仿宋_GB2312" w:hAnsi="Times New Roman" w:hint="eastAsia"/>
          <w:color w:val="000000"/>
          <w:kern w:val="0"/>
          <w:sz w:val="32"/>
          <w:szCs w:val="32"/>
        </w:rPr>
      </w:pPr>
    </w:p>
    <w:p w:rsidR="002D6A3E" w:rsidRPr="0027125F" w:rsidRDefault="002D6A3E" w:rsidP="002D6A3E">
      <w:pPr>
        <w:spacing w:line="520" w:lineRule="exact"/>
        <w:contextualSpacing/>
        <w:jc w:val="center"/>
        <w:rPr>
          <w:rFonts w:ascii="黑体" w:eastAsia="黑体" w:hAnsi="黑体"/>
          <w:color w:val="000000"/>
          <w:kern w:val="0"/>
          <w:sz w:val="28"/>
          <w:szCs w:val="28"/>
        </w:rPr>
      </w:pPr>
      <w:r w:rsidRPr="0027125F">
        <w:rPr>
          <w:rFonts w:ascii="黑体" w:eastAsia="黑体" w:hAnsi="黑体" w:hint="eastAsia"/>
          <w:color w:val="000000"/>
          <w:kern w:val="0"/>
          <w:sz w:val="28"/>
          <w:szCs w:val="28"/>
        </w:rPr>
        <w:lastRenderedPageBreak/>
        <w:t>表</w:t>
      </w:r>
      <w:r w:rsidRPr="0027125F">
        <w:rPr>
          <w:rFonts w:ascii="黑体" w:eastAsia="黑体" w:hAnsi="黑体"/>
          <w:color w:val="000000"/>
          <w:kern w:val="0"/>
          <w:sz w:val="28"/>
          <w:szCs w:val="28"/>
        </w:rPr>
        <w:t xml:space="preserve">1 </w:t>
      </w:r>
      <w:r w:rsidRPr="0027125F">
        <w:rPr>
          <w:rFonts w:ascii="黑体" w:eastAsia="黑体" w:hAnsi="黑体" w:hint="eastAsia"/>
          <w:color w:val="000000"/>
          <w:kern w:val="0"/>
          <w:sz w:val="28"/>
          <w:szCs w:val="28"/>
        </w:rPr>
        <w:t>人群基本特征统计表</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754"/>
        <w:gridCol w:w="1215"/>
        <w:gridCol w:w="1559"/>
        <w:gridCol w:w="1559"/>
      </w:tblGrid>
      <w:tr w:rsidR="002D6A3E" w:rsidRPr="00125685" w:rsidTr="004008A8">
        <w:trPr>
          <w:jc w:val="center"/>
        </w:trPr>
        <w:tc>
          <w:tcPr>
            <w:tcW w:w="1526" w:type="dxa"/>
            <w:vAlign w:val="center"/>
          </w:tcPr>
          <w:p w:rsidR="002D6A3E" w:rsidRPr="00E95B03" w:rsidRDefault="002D6A3E" w:rsidP="004008A8">
            <w:pPr>
              <w:spacing w:line="400" w:lineRule="exact"/>
              <w:contextualSpacing/>
              <w:jc w:val="center"/>
              <w:rPr>
                <w:rFonts w:ascii="黑体" w:eastAsia="黑体" w:hAnsi="黑体"/>
                <w:color w:val="000000"/>
                <w:kern w:val="0"/>
                <w:sz w:val="28"/>
                <w:szCs w:val="28"/>
              </w:rPr>
            </w:pPr>
            <w:r w:rsidRPr="00E95B03">
              <w:rPr>
                <w:rFonts w:ascii="黑体" w:eastAsia="黑体" w:hAnsi="黑体" w:hint="eastAsia"/>
                <w:color w:val="000000"/>
                <w:kern w:val="0"/>
                <w:sz w:val="28"/>
                <w:szCs w:val="28"/>
              </w:rPr>
              <w:t>因素</w:t>
            </w:r>
          </w:p>
        </w:tc>
        <w:tc>
          <w:tcPr>
            <w:tcW w:w="2754" w:type="dxa"/>
            <w:vAlign w:val="center"/>
          </w:tcPr>
          <w:p w:rsidR="002D6A3E" w:rsidRPr="00E95B03" w:rsidRDefault="002D6A3E" w:rsidP="004008A8">
            <w:pPr>
              <w:spacing w:line="400" w:lineRule="exact"/>
              <w:contextualSpacing/>
              <w:jc w:val="center"/>
              <w:rPr>
                <w:rFonts w:ascii="黑体" w:eastAsia="黑体" w:hAnsi="黑体"/>
                <w:color w:val="000000"/>
                <w:kern w:val="0"/>
                <w:sz w:val="28"/>
                <w:szCs w:val="28"/>
              </w:rPr>
            </w:pPr>
            <w:r>
              <w:rPr>
                <w:rFonts w:ascii="黑体" w:eastAsia="黑体" w:hAnsi="黑体" w:hint="eastAsia"/>
                <w:color w:val="000000"/>
                <w:kern w:val="0"/>
                <w:sz w:val="28"/>
                <w:szCs w:val="28"/>
              </w:rPr>
              <w:t>类别</w:t>
            </w:r>
          </w:p>
        </w:tc>
        <w:tc>
          <w:tcPr>
            <w:tcW w:w="1215" w:type="dxa"/>
            <w:vAlign w:val="center"/>
          </w:tcPr>
          <w:p w:rsidR="002D6A3E" w:rsidRPr="00E95B03" w:rsidRDefault="002D6A3E" w:rsidP="004008A8">
            <w:pPr>
              <w:spacing w:line="400" w:lineRule="exact"/>
              <w:contextualSpacing/>
              <w:jc w:val="center"/>
              <w:rPr>
                <w:rFonts w:ascii="黑体" w:eastAsia="黑体" w:hAnsi="黑体"/>
                <w:color w:val="000000"/>
                <w:kern w:val="0"/>
                <w:sz w:val="28"/>
                <w:szCs w:val="28"/>
              </w:rPr>
            </w:pPr>
            <w:r w:rsidRPr="00E95B03">
              <w:rPr>
                <w:rFonts w:ascii="黑体" w:eastAsia="黑体" w:hAnsi="黑体" w:hint="eastAsia"/>
                <w:color w:val="000000"/>
                <w:kern w:val="0"/>
                <w:sz w:val="28"/>
                <w:szCs w:val="28"/>
              </w:rPr>
              <w:t>所占总数比例</w:t>
            </w:r>
          </w:p>
        </w:tc>
        <w:tc>
          <w:tcPr>
            <w:tcW w:w="1559" w:type="dxa"/>
            <w:vAlign w:val="center"/>
          </w:tcPr>
          <w:p w:rsidR="002D6A3E" w:rsidRPr="00E95B03" w:rsidRDefault="002D6A3E" w:rsidP="004008A8">
            <w:pPr>
              <w:spacing w:line="400" w:lineRule="exact"/>
              <w:contextualSpacing/>
              <w:jc w:val="center"/>
              <w:rPr>
                <w:rFonts w:ascii="黑体" w:eastAsia="黑体" w:hAnsi="黑体"/>
                <w:color w:val="000000"/>
                <w:kern w:val="0"/>
                <w:sz w:val="28"/>
                <w:szCs w:val="28"/>
              </w:rPr>
            </w:pPr>
            <w:r w:rsidRPr="00E95B03">
              <w:rPr>
                <w:rFonts w:ascii="黑体" w:eastAsia="黑体" w:hAnsi="黑体" w:hint="eastAsia"/>
                <w:color w:val="000000"/>
                <w:kern w:val="0"/>
                <w:sz w:val="28"/>
                <w:szCs w:val="28"/>
              </w:rPr>
              <w:t>考核试剂阳性例数</w:t>
            </w:r>
          </w:p>
        </w:tc>
        <w:tc>
          <w:tcPr>
            <w:tcW w:w="1559" w:type="dxa"/>
            <w:vAlign w:val="center"/>
          </w:tcPr>
          <w:p w:rsidR="002D6A3E" w:rsidRPr="00E95B03" w:rsidRDefault="002D6A3E" w:rsidP="004008A8">
            <w:pPr>
              <w:spacing w:line="400" w:lineRule="exact"/>
              <w:contextualSpacing/>
              <w:jc w:val="center"/>
              <w:rPr>
                <w:rFonts w:ascii="黑体" w:eastAsia="黑体" w:hAnsi="黑体"/>
                <w:color w:val="000000"/>
                <w:kern w:val="0"/>
                <w:sz w:val="28"/>
                <w:szCs w:val="28"/>
              </w:rPr>
            </w:pPr>
            <w:r w:rsidRPr="00E95B03">
              <w:rPr>
                <w:rFonts w:ascii="黑体" w:eastAsia="黑体" w:hAnsi="黑体" w:hint="eastAsia"/>
                <w:color w:val="000000"/>
                <w:kern w:val="0"/>
                <w:sz w:val="28"/>
                <w:szCs w:val="28"/>
              </w:rPr>
              <w:t>对比试剂阳性例数</w:t>
            </w:r>
          </w:p>
        </w:tc>
      </w:tr>
      <w:tr w:rsidR="002D6A3E" w:rsidRPr="00125685" w:rsidTr="004008A8">
        <w:trPr>
          <w:jc w:val="center"/>
        </w:trPr>
        <w:tc>
          <w:tcPr>
            <w:tcW w:w="1526" w:type="dxa"/>
            <w:vMerge w:val="restart"/>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性别</w:t>
            </w: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男性</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女性</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val="restart"/>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年龄</w:t>
            </w: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50</w:t>
            </w:r>
            <w:r w:rsidRPr="00E95B03">
              <w:rPr>
                <w:rFonts w:eastAsia="仿宋_GB2312" w:hint="eastAsia"/>
                <w:color w:val="000000"/>
                <w:kern w:val="0"/>
                <w:sz w:val="28"/>
                <w:szCs w:val="28"/>
              </w:rPr>
              <w:t>岁以下</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50</w:t>
            </w:r>
            <w:r>
              <w:rPr>
                <w:rFonts w:eastAsia="仿宋_GB2312" w:hint="eastAsia"/>
                <w:color w:val="000000"/>
                <w:kern w:val="0"/>
                <w:sz w:val="28"/>
                <w:szCs w:val="28"/>
              </w:rPr>
              <w:t>—</w:t>
            </w:r>
            <w:r w:rsidRPr="00E95B03">
              <w:rPr>
                <w:rFonts w:eastAsia="仿宋_GB2312"/>
                <w:color w:val="000000"/>
                <w:kern w:val="0"/>
                <w:sz w:val="28"/>
                <w:szCs w:val="28"/>
              </w:rPr>
              <w:t>59</w:t>
            </w:r>
            <w:r w:rsidRPr="00E95B03">
              <w:rPr>
                <w:rFonts w:eastAsia="仿宋_GB2312" w:hint="eastAsia"/>
                <w:color w:val="000000"/>
                <w:kern w:val="0"/>
                <w:sz w:val="28"/>
                <w:szCs w:val="28"/>
              </w:rPr>
              <w:t>岁</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60</w:t>
            </w:r>
            <w:r>
              <w:rPr>
                <w:rFonts w:eastAsia="仿宋_GB2312" w:hint="eastAsia"/>
                <w:color w:val="000000"/>
                <w:kern w:val="0"/>
                <w:sz w:val="28"/>
                <w:szCs w:val="28"/>
              </w:rPr>
              <w:t>—</w:t>
            </w:r>
            <w:r w:rsidRPr="00E95B03">
              <w:rPr>
                <w:rFonts w:eastAsia="仿宋_GB2312"/>
                <w:color w:val="000000"/>
                <w:kern w:val="0"/>
                <w:sz w:val="28"/>
                <w:szCs w:val="28"/>
              </w:rPr>
              <w:t>69</w:t>
            </w:r>
            <w:r w:rsidRPr="00E95B03">
              <w:rPr>
                <w:rFonts w:eastAsia="仿宋_GB2312" w:hint="eastAsia"/>
                <w:color w:val="000000"/>
                <w:kern w:val="0"/>
                <w:sz w:val="28"/>
                <w:szCs w:val="28"/>
              </w:rPr>
              <w:t>岁</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69</w:t>
            </w:r>
            <w:r w:rsidRPr="00E95B03">
              <w:rPr>
                <w:rFonts w:eastAsia="仿宋_GB2312" w:hint="eastAsia"/>
                <w:color w:val="000000"/>
                <w:kern w:val="0"/>
                <w:sz w:val="28"/>
                <w:szCs w:val="28"/>
              </w:rPr>
              <w:t>岁以上</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val="restart"/>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组织类型</w:t>
            </w: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乳腺浸润性导管癌</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乳腺浸润性小叶癌</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Pr>
                <w:rFonts w:eastAsia="仿宋_GB2312" w:hint="eastAsia"/>
                <w:color w:val="000000"/>
                <w:kern w:val="0"/>
                <w:sz w:val="28"/>
                <w:szCs w:val="28"/>
              </w:rPr>
              <w:t>——</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val="restart"/>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hint="eastAsia"/>
                <w:color w:val="000000"/>
                <w:kern w:val="0"/>
                <w:sz w:val="28"/>
                <w:szCs w:val="28"/>
              </w:rPr>
              <w:t>临床分期</w:t>
            </w: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II</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IIIa</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IIIb</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IV</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val="restart"/>
          </w:tcPr>
          <w:p w:rsidR="002D6A3E" w:rsidRPr="00F60613" w:rsidRDefault="002D6A3E" w:rsidP="004008A8">
            <w:pPr>
              <w:spacing w:line="400" w:lineRule="exact"/>
              <w:contextualSpacing/>
              <w:rPr>
                <w:rFonts w:eastAsia="仿宋_GB2312"/>
                <w:kern w:val="0"/>
                <w:sz w:val="28"/>
                <w:szCs w:val="28"/>
              </w:rPr>
            </w:pPr>
            <w:r w:rsidRPr="00F60613">
              <w:rPr>
                <w:rFonts w:eastAsia="仿宋_GB2312"/>
                <w:kern w:val="0"/>
                <w:sz w:val="28"/>
                <w:szCs w:val="28"/>
              </w:rPr>
              <w:t>IHC</w:t>
            </w:r>
            <w:r w:rsidRPr="00F60613">
              <w:rPr>
                <w:rFonts w:eastAsia="仿宋_GB2312" w:hint="eastAsia"/>
                <w:kern w:val="0"/>
                <w:sz w:val="28"/>
                <w:szCs w:val="28"/>
              </w:rPr>
              <w:t>检测结果</w:t>
            </w:r>
          </w:p>
        </w:tc>
        <w:tc>
          <w:tcPr>
            <w:tcW w:w="2754" w:type="dxa"/>
          </w:tcPr>
          <w:p w:rsidR="002D6A3E" w:rsidRPr="00F60613" w:rsidRDefault="002D6A3E" w:rsidP="004008A8">
            <w:pPr>
              <w:spacing w:line="400" w:lineRule="exact"/>
              <w:contextualSpacing/>
              <w:rPr>
                <w:rFonts w:eastAsia="仿宋_GB2312"/>
                <w:color w:val="000000"/>
                <w:kern w:val="0"/>
                <w:sz w:val="28"/>
                <w:szCs w:val="28"/>
              </w:rPr>
            </w:pPr>
            <w:r w:rsidRPr="00F60613">
              <w:rPr>
                <w:rFonts w:eastAsia="仿宋_GB2312"/>
                <w:color w:val="000000"/>
                <w:kern w:val="0"/>
                <w:sz w:val="28"/>
                <w:szCs w:val="28"/>
              </w:rPr>
              <w:t>3+</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E95B03" w:rsidRDefault="002D6A3E" w:rsidP="004008A8">
            <w:pPr>
              <w:spacing w:line="400" w:lineRule="exact"/>
              <w:contextualSpacing/>
              <w:rPr>
                <w:rFonts w:eastAsia="仿宋_GB2312"/>
                <w:color w:val="000000"/>
                <w:kern w:val="0"/>
                <w:sz w:val="28"/>
                <w:szCs w:val="28"/>
              </w:rPr>
            </w:pPr>
            <w:r w:rsidRPr="00E95B03">
              <w:rPr>
                <w:rFonts w:eastAsia="仿宋_GB2312"/>
                <w:color w:val="000000"/>
                <w:kern w:val="0"/>
                <w:sz w:val="28"/>
                <w:szCs w:val="28"/>
              </w:rPr>
              <w:t>2+</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vMerge/>
          </w:tcPr>
          <w:p w:rsidR="002D6A3E" w:rsidRPr="00E95B03" w:rsidRDefault="002D6A3E" w:rsidP="004008A8">
            <w:pPr>
              <w:spacing w:line="400" w:lineRule="exact"/>
              <w:contextualSpacing/>
              <w:rPr>
                <w:rFonts w:eastAsia="仿宋_GB2312"/>
                <w:color w:val="000000"/>
                <w:kern w:val="0"/>
                <w:sz w:val="28"/>
                <w:szCs w:val="28"/>
              </w:rPr>
            </w:pPr>
          </w:p>
        </w:tc>
        <w:tc>
          <w:tcPr>
            <w:tcW w:w="2754" w:type="dxa"/>
          </w:tcPr>
          <w:p w:rsidR="002D6A3E" w:rsidRPr="00F60613" w:rsidRDefault="002D6A3E" w:rsidP="004008A8">
            <w:pPr>
              <w:spacing w:line="400" w:lineRule="exact"/>
              <w:contextualSpacing/>
              <w:rPr>
                <w:rFonts w:eastAsia="仿宋_GB2312"/>
                <w:color w:val="000000"/>
                <w:kern w:val="0"/>
                <w:sz w:val="28"/>
                <w:szCs w:val="28"/>
              </w:rPr>
            </w:pPr>
            <w:r w:rsidRPr="00F60613">
              <w:rPr>
                <w:rFonts w:eastAsia="仿宋_GB2312"/>
                <w:color w:val="000000"/>
                <w:kern w:val="0"/>
                <w:sz w:val="28"/>
                <w:szCs w:val="28"/>
              </w:rPr>
              <w:t>1+</w:t>
            </w:r>
            <w:r w:rsidRPr="00F60613">
              <w:rPr>
                <w:rFonts w:eastAsia="仿宋_GB2312" w:hint="eastAsia"/>
                <w:color w:val="000000"/>
                <w:kern w:val="0"/>
                <w:sz w:val="28"/>
                <w:szCs w:val="28"/>
              </w:rPr>
              <w:t>，</w:t>
            </w:r>
            <w:r w:rsidRPr="00F60613">
              <w:rPr>
                <w:rFonts w:eastAsia="仿宋_GB2312"/>
                <w:color w:val="000000"/>
                <w:kern w:val="0"/>
                <w:sz w:val="28"/>
                <w:szCs w:val="28"/>
              </w:rPr>
              <w:t>0</w:t>
            </w:r>
          </w:p>
        </w:tc>
        <w:tc>
          <w:tcPr>
            <w:tcW w:w="1215"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c>
          <w:tcPr>
            <w:tcW w:w="1559" w:type="dxa"/>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tcPr>
          <w:p w:rsidR="002D6A3E" w:rsidRPr="00585B1E" w:rsidRDefault="002D6A3E" w:rsidP="004008A8">
            <w:pPr>
              <w:spacing w:line="400" w:lineRule="exact"/>
              <w:contextualSpacing/>
              <w:rPr>
                <w:rFonts w:eastAsia="仿宋_GB2312"/>
                <w:color w:val="000000"/>
                <w:kern w:val="0"/>
                <w:sz w:val="28"/>
                <w:szCs w:val="28"/>
              </w:rPr>
            </w:pPr>
            <w:r w:rsidRPr="00585B1E">
              <w:rPr>
                <w:rFonts w:eastAsia="仿宋_GB2312" w:hint="eastAsia"/>
                <w:color w:val="000000"/>
                <w:kern w:val="0"/>
                <w:sz w:val="28"/>
                <w:szCs w:val="28"/>
              </w:rPr>
              <w:t>样本类型</w:t>
            </w:r>
          </w:p>
        </w:tc>
        <w:tc>
          <w:tcPr>
            <w:tcW w:w="7087" w:type="dxa"/>
            <w:gridSpan w:val="4"/>
          </w:tcPr>
          <w:p w:rsidR="002D6A3E" w:rsidRPr="00E95B03" w:rsidRDefault="002D6A3E" w:rsidP="004008A8">
            <w:pPr>
              <w:spacing w:line="400" w:lineRule="exact"/>
              <w:contextualSpacing/>
              <w:rPr>
                <w:rFonts w:eastAsia="仿宋_GB2312"/>
                <w:color w:val="000000"/>
                <w:kern w:val="0"/>
                <w:sz w:val="28"/>
                <w:szCs w:val="28"/>
              </w:rPr>
            </w:pPr>
          </w:p>
        </w:tc>
      </w:tr>
      <w:tr w:rsidR="002D6A3E" w:rsidRPr="00125685" w:rsidTr="004008A8">
        <w:trPr>
          <w:jc w:val="center"/>
        </w:trPr>
        <w:tc>
          <w:tcPr>
            <w:tcW w:w="1526" w:type="dxa"/>
          </w:tcPr>
          <w:p w:rsidR="002D6A3E" w:rsidRPr="00585B1E" w:rsidRDefault="002D6A3E" w:rsidP="004008A8">
            <w:pPr>
              <w:spacing w:line="400" w:lineRule="exact"/>
              <w:contextualSpacing/>
              <w:rPr>
                <w:rFonts w:eastAsia="仿宋_GB2312"/>
                <w:color w:val="000000"/>
                <w:kern w:val="0"/>
                <w:sz w:val="28"/>
                <w:szCs w:val="28"/>
              </w:rPr>
            </w:pPr>
            <w:r w:rsidRPr="00585B1E">
              <w:rPr>
                <w:rFonts w:eastAsia="仿宋_GB2312" w:hint="eastAsia"/>
                <w:color w:val="000000"/>
                <w:kern w:val="0"/>
                <w:sz w:val="28"/>
                <w:szCs w:val="28"/>
              </w:rPr>
              <w:t>肿瘤细胞含量</w:t>
            </w:r>
          </w:p>
        </w:tc>
        <w:tc>
          <w:tcPr>
            <w:tcW w:w="7087" w:type="dxa"/>
            <w:gridSpan w:val="4"/>
          </w:tcPr>
          <w:p w:rsidR="002D6A3E" w:rsidRPr="00E95B03" w:rsidRDefault="002D6A3E" w:rsidP="004008A8">
            <w:pPr>
              <w:spacing w:line="400" w:lineRule="exact"/>
              <w:contextualSpacing/>
              <w:rPr>
                <w:rFonts w:eastAsia="仿宋_GB2312"/>
                <w:color w:val="000000"/>
                <w:kern w:val="0"/>
                <w:sz w:val="28"/>
                <w:szCs w:val="28"/>
              </w:rPr>
            </w:pPr>
          </w:p>
        </w:tc>
      </w:tr>
    </w:tbl>
    <w:p w:rsidR="002D6A3E" w:rsidRDefault="002D6A3E" w:rsidP="00B735C7">
      <w:pPr>
        <w:spacing w:line="520" w:lineRule="exact"/>
        <w:ind w:firstLineChars="200" w:firstLine="640"/>
        <w:rPr>
          <w:rFonts w:ascii="Times New Roman" w:eastAsia="仿宋_GB2312" w:hAnsi="Times New Roman"/>
          <w:color w:val="000000"/>
          <w:kern w:val="0"/>
          <w:sz w:val="32"/>
          <w:szCs w:val="32"/>
        </w:rPr>
      </w:pP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以</w:t>
      </w:r>
      <w:r>
        <w:rPr>
          <w:rFonts w:ascii="Times New Roman" w:eastAsia="仿宋_GB2312" w:hAnsi="Times New Roman" w:hint="eastAsia"/>
          <w:color w:val="000000"/>
          <w:kern w:val="0"/>
          <w:sz w:val="32"/>
          <w:szCs w:val="32"/>
        </w:rPr>
        <w:t>四格表分别总结申报产品与对比方法的定性检测结果</w:t>
      </w:r>
      <w:r>
        <w:rPr>
          <w:rFonts w:ascii="Times New Roman" w:eastAsia="仿宋_GB2312" w:hAnsi="Times New Roman"/>
          <w:color w:val="000000"/>
          <w:kern w:val="0"/>
          <w:sz w:val="32"/>
          <w:szCs w:val="32"/>
        </w:rPr>
        <w:t>，计算全部样本的阳性符合率、阴性符合率和总符合率以及</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检测结果为</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）样本的阳性符合率、阴性符合率和总符合率</w:t>
      </w:r>
      <w:r>
        <w:rPr>
          <w:rFonts w:ascii="Times New Roman" w:eastAsia="仿宋_GB2312" w:hAnsi="Times New Roman" w:hint="eastAsia"/>
          <w:color w:val="000000"/>
          <w:kern w:val="0"/>
          <w:sz w:val="32"/>
          <w:szCs w:val="32"/>
        </w:rPr>
        <w:t>及相应的</w:t>
      </w:r>
      <w:r>
        <w:rPr>
          <w:rFonts w:ascii="Times New Roman" w:eastAsia="仿宋_GB2312" w:hAnsi="Times New Roman"/>
          <w:color w:val="000000"/>
          <w:kern w:val="0"/>
          <w:sz w:val="32"/>
          <w:szCs w:val="32"/>
        </w:rPr>
        <w:t>95%</w:t>
      </w:r>
      <w:r>
        <w:rPr>
          <w:rFonts w:ascii="Times New Roman" w:eastAsia="仿宋_GB2312" w:hAnsi="Times New Roman"/>
          <w:color w:val="000000"/>
          <w:kern w:val="0"/>
          <w:sz w:val="32"/>
          <w:szCs w:val="32"/>
        </w:rPr>
        <w:t>置信区间，给出</w:t>
      </w:r>
      <w:r>
        <w:rPr>
          <w:rFonts w:ascii="Times New Roman" w:eastAsia="仿宋_GB2312" w:hAnsi="Times New Roman" w:hint="eastAsia"/>
          <w:color w:val="000000"/>
          <w:kern w:val="0"/>
          <w:sz w:val="32"/>
          <w:szCs w:val="32"/>
        </w:rPr>
        <w:t>扩增状态</w:t>
      </w:r>
      <w:r>
        <w:rPr>
          <w:rFonts w:ascii="Times New Roman" w:eastAsia="仿宋_GB2312" w:hAnsi="Times New Roman"/>
          <w:color w:val="000000"/>
          <w:kern w:val="0"/>
          <w:sz w:val="32"/>
          <w:szCs w:val="32"/>
        </w:rPr>
        <w:t>不确定样本占全部样本的比例，并评价其对符合率的影响，以检验两种试剂检测结果的一致性。</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由于此类试剂在临床结果的报告中同时报告肿瘤细胞</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基因平均拷贝数、肿瘤细胞</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平均拷贝数（双探针</w:t>
      </w:r>
      <w:r>
        <w:rPr>
          <w:rFonts w:ascii="Times New Roman" w:eastAsia="仿宋_GB2312" w:hAnsi="Times New Roman"/>
          <w:color w:val="000000"/>
          <w:kern w:val="0"/>
          <w:sz w:val="32"/>
          <w:szCs w:val="32"/>
        </w:rPr>
        <w:lastRenderedPageBreak/>
        <w:t>适用）和两者的比值（双探针适用），因此还应对拷贝数的准确性进行评价。可采用试验体外诊断试剂与对比试剂检测结果的肿瘤细胞</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基因平均拷贝数和肿瘤细胞</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平均拷贝数（双探针适用）做散点图的方法，配合适当的统计分析方法，</w:t>
      </w:r>
      <w:r>
        <w:rPr>
          <w:rFonts w:ascii="Times New Roman" w:eastAsia="仿宋_GB2312" w:hAnsi="Times New Roman"/>
          <w:kern w:val="0"/>
          <w:sz w:val="32"/>
          <w:szCs w:val="32"/>
        </w:rPr>
        <w:t>如以线性回归为基础的分析方法或</w:t>
      </w:r>
      <w:r>
        <w:rPr>
          <w:rFonts w:ascii="Times New Roman" w:eastAsia="仿宋_GB2312" w:hAnsi="Times New Roman"/>
          <w:kern w:val="0"/>
          <w:sz w:val="32"/>
          <w:szCs w:val="32"/>
        </w:rPr>
        <w:t>Bland-Altman</w:t>
      </w:r>
      <w:r>
        <w:rPr>
          <w:rFonts w:ascii="Times New Roman" w:eastAsia="仿宋_GB2312" w:hAnsi="Times New Roman"/>
          <w:kern w:val="0"/>
          <w:sz w:val="32"/>
          <w:szCs w:val="32"/>
        </w:rPr>
        <w:t>方法等，</w:t>
      </w:r>
      <w:r>
        <w:rPr>
          <w:rFonts w:ascii="Times New Roman" w:eastAsia="仿宋_GB2312" w:hAnsi="Times New Roman"/>
          <w:color w:val="000000"/>
          <w:kern w:val="0"/>
          <w:sz w:val="32"/>
          <w:szCs w:val="32"/>
        </w:rPr>
        <w:t>评价试验体外诊断试剂与对比试剂对于肿瘤细</w:t>
      </w:r>
      <w:bookmarkStart w:id="0" w:name="_GoBack"/>
      <w:bookmarkEnd w:id="0"/>
      <w:r>
        <w:rPr>
          <w:rFonts w:ascii="Times New Roman" w:eastAsia="仿宋_GB2312" w:hAnsi="Times New Roman"/>
          <w:color w:val="000000"/>
          <w:kern w:val="0"/>
          <w:sz w:val="32"/>
          <w:szCs w:val="32"/>
        </w:rPr>
        <w:t>胞</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基因平均拷贝数和肿瘤细胞</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平均拷贝数（双探针适用）检测结果的一致性。</w:t>
      </w:r>
    </w:p>
    <w:p w:rsidR="002F619A" w:rsidRDefault="00B32101" w:rsidP="00B735C7">
      <w:pPr>
        <w:autoSpaceDE w:val="0"/>
        <w:autoSpaceDN w:val="0"/>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在数据收集过程中，对两种试剂检测结果不一致的样本，</w:t>
      </w:r>
      <w:r>
        <w:rPr>
          <w:rFonts w:ascii="Times New Roman" w:eastAsia="仿宋_GB2312" w:hAnsi="Times New Roman" w:hint="eastAsia"/>
          <w:color w:val="000000"/>
          <w:kern w:val="0"/>
          <w:sz w:val="32"/>
          <w:szCs w:val="32"/>
        </w:rPr>
        <w:t>应采用第三方试剂或其他合理的方法进行确认，同时结合组织病理学特征、免疫组织化学检测结果等对差异产生原因进行分析，</w:t>
      </w:r>
      <w:r>
        <w:rPr>
          <w:rFonts w:ascii="Times New Roman" w:eastAsia="仿宋_GB2312" w:hAnsi="Times New Roman" w:hint="eastAsia"/>
          <w:sz w:val="32"/>
          <w:szCs w:val="32"/>
        </w:rPr>
        <w:t>但该分析结果不应纳入原有统计分析。</w:t>
      </w:r>
    </w:p>
    <w:p w:rsidR="002F619A" w:rsidRDefault="00B32101" w:rsidP="00B735C7">
      <w:pPr>
        <w:autoSpaceDE w:val="0"/>
        <w:autoSpaceDN w:val="0"/>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w:t>
      </w:r>
      <w:r>
        <w:rPr>
          <w:rFonts w:ascii="Times New Roman" w:eastAsia="仿宋_GB2312" w:hAnsi="Times New Roman" w:hint="eastAsia"/>
          <w:color w:val="000000"/>
          <w:kern w:val="0"/>
          <w:sz w:val="32"/>
          <w:szCs w:val="32"/>
        </w:rPr>
        <w:t>通用要求</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w:t>
      </w:r>
      <w:r>
        <w:rPr>
          <w:rFonts w:ascii="Times New Roman" w:eastAsia="仿宋_GB2312" w:hAnsi="Times New Roman"/>
          <w:color w:val="000000"/>
          <w:kern w:val="0"/>
          <w:sz w:val="32"/>
          <w:szCs w:val="32"/>
        </w:rPr>
        <w:t>试验方案</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6.1.1</w:t>
      </w:r>
      <w:r>
        <w:rPr>
          <w:rFonts w:ascii="Times New Roman" w:eastAsia="仿宋_GB2312" w:hAnsi="Times New Roman"/>
          <w:color w:val="000000"/>
          <w:kern w:val="0"/>
          <w:sz w:val="32"/>
          <w:szCs w:val="32"/>
        </w:rPr>
        <w:t>各临床试验机构的方案</w:t>
      </w:r>
      <w:r>
        <w:rPr>
          <w:rFonts w:ascii="Times New Roman" w:eastAsia="仿宋_GB2312" w:hAnsi="Times New Roman" w:hint="eastAsia"/>
          <w:color w:val="000000"/>
          <w:kern w:val="0"/>
          <w:sz w:val="32"/>
          <w:szCs w:val="32"/>
        </w:rPr>
        <w:t>应执行同一临床试验方案</w:t>
      </w:r>
      <w:r>
        <w:rPr>
          <w:rFonts w:ascii="Times New Roman" w:eastAsia="仿宋_GB2312" w:hAnsi="Times New Roman"/>
          <w:color w:val="000000"/>
          <w:kern w:val="0"/>
          <w:sz w:val="32"/>
          <w:szCs w:val="32"/>
        </w:rPr>
        <w:t>，且保证在整个临床试验过程中遵循预定的方案实施，不可随意改动。需强调组织标本的标准采样、及时在</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中性缓冲福尔马林溶液中充分固定及其他标准操作程序。申报单位的技术人员除进行必要的技术指导外，不得随意干涉试验进程，尤其是数据收集过程。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6.1.2</w:t>
      </w:r>
      <w:r>
        <w:rPr>
          <w:rFonts w:ascii="Times New Roman" w:eastAsia="仿宋_GB2312" w:hAnsi="Times New Roman"/>
          <w:color w:val="000000"/>
          <w:kern w:val="0"/>
          <w:sz w:val="32"/>
          <w:szCs w:val="32"/>
        </w:rPr>
        <w:t>以图表的形式对试验总体设计及工作流程进行描述，图表中应包括连续切片的数量及用途分配等。各临床试验机构选用的对比试剂应保持一致，以便进行合理的统计学分析。</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6.1.3</w:t>
      </w:r>
      <w:r>
        <w:rPr>
          <w:rFonts w:ascii="Times New Roman" w:eastAsia="仿宋_GB2312" w:hAnsi="Times New Roman"/>
          <w:color w:val="000000"/>
          <w:kern w:val="0"/>
          <w:sz w:val="32"/>
          <w:szCs w:val="32"/>
        </w:rPr>
        <w:t>试验方案中应确定严格的病例纳入</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排除选择标准，任何已经入选的病例再被</w:t>
      </w:r>
      <w:r>
        <w:rPr>
          <w:rFonts w:ascii="Times New Roman" w:eastAsia="仿宋_GB2312" w:hAnsi="Times New Roman" w:hint="eastAsia"/>
          <w:color w:val="000000"/>
          <w:kern w:val="0"/>
          <w:sz w:val="32"/>
          <w:szCs w:val="32"/>
        </w:rPr>
        <w:t>剔</w:t>
      </w:r>
      <w:r>
        <w:rPr>
          <w:rFonts w:ascii="Times New Roman" w:eastAsia="仿宋_GB2312" w:hAnsi="Times New Roman"/>
          <w:color w:val="000000"/>
          <w:kern w:val="0"/>
          <w:sz w:val="32"/>
          <w:szCs w:val="32"/>
        </w:rPr>
        <w:t>除出临床试验都应记录在案，并明确说明原因。</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6.1.4</w:t>
      </w:r>
      <w:r>
        <w:rPr>
          <w:rFonts w:ascii="Times New Roman" w:eastAsia="仿宋_GB2312" w:hAnsi="Times New Roman"/>
          <w:color w:val="000000"/>
          <w:kern w:val="0"/>
          <w:sz w:val="32"/>
          <w:szCs w:val="32"/>
        </w:rPr>
        <w:t>试验方案中应明确阅片者、操作者的选择标准。阅片</w:t>
      </w:r>
      <w:r>
        <w:rPr>
          <w:rFonts w:ascii="Times New Roman" w:eastAsia="仿宋_GB2312" w:hAnsi="Times New Roman"/>
          <w:color w:val="000000"/>
          <w:kern w:val="0"/>
          <w:sz w:val="32"/>
          <w:szCs w:val="32"/>
        </w:rPr>
        <w:lastRenderedPageBreak/>
        <w:t>者应选择在免疫组织化学、荧光原位杂交技术应用和乳腺癌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胃癌病理诊断中有丰富经验的医学工作者。</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6.1.5</w:t>
      </w:r>
      <w:r>
        <w:rPr>
          <w:rFonts w:ascii="Times New Roman" w:eastAsia="仿宋_GB2312" w:hAnsi="Times New Roman"/>
          <w:color w:val="000000"/>
          <w:kern w:val="0"/>
          <w:sz w:val="32"/>
          <w:szCs w:val="32"/>
        </w:rPr>
        <w:t>在试验操作过程中和判定检测结果时应采用盲法以保证试验结果的客观性。临床试验研究方案中应详述盲法的具体操作流程。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6.1.6</w:t>
      </w:r>
      <w:r>
        <w:rPr>
          <w:rFonts w:ascii="Times New Roman" w:eastAsia="仿宋_GB2312" w:hAnsi="Times New Roman"/>
          <w:color w:val="000000"/>
          <w:kern w:val="0"/>
          <w:sz w:val="32"/>
          <w:szCs w:val="32"/>
        </w:rPr>
        <w:t>在整个试验中，试验用体外诊断试剂和对比试剂都应处于有效的质量控制下，最大限度保证试验数据的准确性及可重复性。临床试验研究方案中应明确质控方法及配合用质控试剂的详细信息。</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6.2</w:t>
      </w:r>
      <w:r>
        <w:rPr>
          <w:rFonts w:ascii="Times New Roman" w:eastAsia="仿宋_GB2312" w:hAnsi="Times New Roman"/>
          <w:color w:val="000000"/>
          <w:kern w:val="0"/>
          <w:sz w:val="32"/>
          <w:szCs w:val="32"/>
        </w:rPr>
        <w:t>质量控制</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由于检测前预处理步骤较多，导致判读结果可能会在试验人员间、实验室间产生差异。为了客观单一评价试剂性能，尽量减少这种人为差异对最终结果造成的影响，临床试验开始前，临床试验前申请人应对临床试验机构参与人员进行相关技术培训，各临床试验机构应统一操作方法，统一判读标准，保持各临床试验机构的判读一致性。</w:t>
      </w:r>
      <w:r>
        <w:rPr>
          <w:rFonts w:ascii="Times New Roman" w:eastAsia="仿宋_GB2312" w:hAnsi="Times New Roman" w:hint="eastAsia"/>
          <w:color w:val="000000"/>
          <w:kern w:val="0"/>
          <w:sz w:val="32"/>
          <w:szCs w:val="32"/>
        </w:rPr>
        <w:t>注意判读方法与说明书要求一致。</w:t>
      </w:r>
      <w:r>
        <w:rPr>
          <w:rFonts w:ascii="Times New Roman" w:eastAsia="仿宋_GB2312" w:hAnsi="Times New Roman"/>
          <w:bCs/>
          <w:color w:val="000000"/>
          <w:kern w:val="0"/>
          <w:sz w:val="32"/>
          <w:szCs w:val="32"/>
        </w:rPr>
        <w:t>注意应包含</w:t>
      </w:r>
      <w:r>
        <w:rPr>
          <w:rFonts w:ascii="Times New Roman" w:eastAsia="仿宋_GB2312" w:hAnsi="Times New Roman"/>
          <w:bCs/>
          <w:color w:val="000000"/>
          <w:kern w:val="0"/>
          <w:sz w:val="32"/>
          <w:szCs w:val="32"/>
        </w:rPr>
        <w:t>IHC</w:t>
      </w:r>
      <w:r>
        <w:rPr>
          <w:rFonts w:ascii="Times New Roman" w:eastAsia="仿宋_GB2312" w:hAnsi="Times New Roman"/>
          <w:bCs/>
          <w:color w:val="000000"/>
          <w:kern w:val="0"/>
          <w:sz w:val="32"/>
          <w:szCs w:val="32"/>
        </w:rPr>
        <w:t>以及</w:t>
      </w:r>
      <w:r>
        <w:rPr>
          <w:rFonts w:ascii="Times New Roman" w:eastAsia="仿宋_GB2312" w:hAnsi="Times New Roman"/>
          <w:bCs/>
          <w:color w:val="000000"/>
          <w:kern w:val="0"/>
          <w:sz w:val="32"/>
          <w:szCs w:val="32"/>
        </w:rPr>
        <w:t>FISH</w:t>
      </w:r>
      <w:r>
        <w:rPr>
          <w:rFonts w:ascii="Times New Roman" w:eastAsia="仿宋_GB2312" w:hAnsi="Times New Roman"/>
          <w:bCs/>
          <w:color w:val="000000"/>
          <w:kern w:val="0"/>
          <w:sz w:val="32"/>
          <w:szCs w:val="32"/>
        </w:rPr>
        <w:t>检测结果为阴性、阳性和不确定的样本。</w:t>
      </w:r>
      <w:r>
        <w:rPr>
          <w:rFonts w:ascii="Times New Roman" w:eastAsia="仿宋_GB2312" w:hAnsi="Times New Roman"/>
          <w:color w:val="000000"/>
          <w:kern w:val="0"/>
          <w:sz w:val="32"/>
          <w:szCs w:val="32"/>
        </w:rPr>
        <w:t>该预评估内容、实现方法、结果等应在临床试验报告中体现。</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临床试验报告</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报告应对试验的整体设计及各个关键点给予清晰、完整的阐述，应对整个临床试验实施过程、结果分析、结论等进行条理分明的描述，并应包括必要的基础数据和统计分析方法。临床试验报告的撰写应参考相关法规的要求</w:t>
      </w:r>
      <w:r>
        <w:rPr>
          <w:rFonts w:ascii="Times New Roman" w:eastAsia="仿宋_GB2312" w:hAnsi="Times New Roman" w:hint="eastAsia"/>
          <w:sz w:val="32"/>
          <w:szCs w:val="32"/>
        </w:rPr>
        <w:t>。</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数据汇总表中应提供唯一可溯源的样本编号、基本人口学信息（性别、年龄等）、临床诊断背景信息、</w:t>
      </w:r>
      <w:r>
        <w:rPr>
          <w:rFonts w:ascii="Times New Roman" w:eastAsia="仿宋_GB2312" w:hAnsi="Times New Roman" w:hint="eastAsia"/>
          <w:sz w:val="32"/>
          <w:szCs w:val="32"/>
        </w:rPr>
        <w:t>样</w:t>
      </w:r>
      <w:r>
        <w:rPr>
          <w:rFonts w:ascii="Times New Roman" w:eastAsia="仿宋_GB2312" w:hAnsi="Times New Roman"/>
          <w:sz w:val="32"/>
          <w:szCs w:val="32"/>
        </w:rPr>
        <w:t>本的采集部位、</w:t>
      </w:r>
      <w:r>
        <w:rPr>
          <w:rFonts w:ascii="Times New Roman" w:eastAsia="仿宋_GB2312" w:hAnsi="Times New Roman" w:hint="eastAsia"/>
          <w:sz w:val="32"/>
          <w:szCs w:val="32"/>
        </w:rPr>
        <w:t>样</w:t>
      </w:r>
      <w:r>
        <w:rPr>
          <w:rFonts w:ascii="Times New Roman" w:eastAsia="仿宋_GB2312" w:hAnsi="Times New Roman"/>
          <w:sz w:val="32"/>
          <w:szCs w:val="32"/>
        </w:rPr>
        <w:t>本类型</w:t>
      </w:r>
      <w:r>
        <w:rPr>
          <w:rFonts w:ascii="Times New Roman" w:eastAsia="仿宋_GB2312" w:hAnsi="Times New Roman" w:hint="eastAsia"/>
          <w:sz w:val="32"/>
          <w:szCs w:val="32"/>
        </w:rPr>
        <w:t>（手术标本或活检标本）</w:t>
      </w:r>
      <w:r>
        <w:rPr>
          <w:rFonts w:ascii="Times New Roman" w:eastAsia="仿宋_GB2312" w:hAnsi="Times New Roman"/>
          <w:sz w:val="32"/>
          <w:szCs w:val="32"/>
        </w:rPr>
        <w:t>、病理诊断结果（包含分级）、</w:t>
      </w:r>
      <w:r>
        <w:rPr>
          <w:rFonts w:ascii="Times New Roman" w:eastAsia="仿宋_GB2312" w:hAnsi="Times New Roman"/>
          <w:sz w:val="32"/>
          <w:szCs w:val="32"/>
        </w:rPr>
        <w:lastRenderedPageBreak/>
        <w:t>HE</w:t>
      </w:r>
      <w:r>
        <w:rPr>
          <w:rFonts w:ascii="Times New Roman" w:eastAsia="仿宋_GB2312" w:hAnsi="Times New Roman"/>
          <w:sz w:val="32"/>
          <w:szCs w:val="32"/>
        </w:rPr>
        <w:t>染色结果、免疫组织化学检测结果、考核试剂检测结果、对比试剂检测结果、第三方复核结果</w:t>
      </w:r>
      <w:r>
        <w:rPr>
          <w:rFonts w:ascii="Times New Roman" w:eastAsia="仿宋_GB2312" w:hAnsi="Times New Roman" w:hint="eastAsia"/>
          <w:sz w:val="32"/>
          <w:szCs w:val="32"/>
        </w:rPr>
        <w:t>（如有）</w:t>
      </w:r>
      <w:r>
        <w:rPr>
          <w:rFonts w:ascii="Times New Roman" w:eastAsia="仿宋_GB2312" w:hAnsi="Times New Roman"/>
          <w:sz w:val="32"/>
          <w:szCs w:val="32"/>
        </w:rPr>
        <w:t>。所有采用原位杂交法的检测结果均应包含评估的细胞数量、</w:t>
      </w:r>
      <w:r>
        <w:rPr>
          <w:rFonts w:ascii="Times New Roman" w:eastAsia="仿宋_GB2312" w:hAnsi="Times New Roman"/>
          <w:sz w:val="32"/>
          <w:szCs w:val="32"/>
        </w:rPr>
        <w:t>HER2</w:t>
      </w:r>
      <w:r>
        <w:rPr>
          <w:rFonts w:ascii="Times New Roman" w:eastAsia="仿宋_GB2312" w:hAnsi="Times New Roman"/>
          <w:sz w:val="32"/>
          <w:szCs w:val="32"/>
        </w:rPr>
        <w:t>基因</w:t>
      </w:r>
      <w:r>
        <w:rPr>
          <w:rFonts w:ascii="Times New Roman" w:eastAsia="仿宋_GB2312" w:hAnsi="Times New Roman"/>
          <w:sz w:val="32"/>
          <w:szCs w:val="32"/>
        </w:rPr>
        <w:t>/CEP17</w:t>
      </w:r>
      <w:r>
        <w:rPr>
          <w:rFonts w:ascii="Times New Roman" w:eastAsia="仿宋_GB2312" w:hAnsi="Times New Roman"/>
          <w:sz w:val="32"/>
          <w:szCs w:val="32"/>
        </w:rPr>
        <w:t>荧光信号比值（双探针适用）、每个细胞的平均</w:t>
      </w:r>
      <w:r>
        <w:rPr>
          <w:rFonts w:ascii="Times New Roman" w:eastAsia="仿宋_GB2312" w:hAnsi="Times New Roman"/>
          <w:sz w:val="32"/>
          <w:szCs w:val="32"/>
        </w:rPr>
        <w:t>HER2</w:t>
      </w:r>
      <w:r>
        <w:rPr>
          <w:rFonts w:ascii="Times New Roman" w:eastAsia="仿宋_GB2312" w:hAnsi="Times New Roman"/>
          <w:sz w:val="32"/>
          <w:szCs w:val="32"/>
        </w:rPr>
        <w:t>拷贝数、每个细胞的平均</w:t>
      </w:r>
      <w:r>
        <w:rPr>
          <w:rFonts w:ascii="Times New Roman" w:eastAsia="仿宋_GB2312" w:hAnsi="Times New Roman"/>
          <w:sz w:val="32"/>
          <w:szCs w:val="32"/>
        </w:rPr>
        <w:t>CEP17</w:t>
      </w:r>
      <w:r>
        <w:rPr>
          <w:rFonts w:ascii="Times New Roman" w:eastAsia="仿宋_GB2312" w:hAnsi="Times New Roman"/>
          <w:sz w:val="32"/>
          <w:szCs w:val="32"/>
        </w:rPr>
        <w:t>拷贝数（双探针适用）和定性判读结果。</w:t>
      </w:r>
      <w:r>
        <w:rPr>
          <w:rFonts w:ascii="Times New Roman" w:eastAsia="仿宋_GB2312" w:hAnsi="Times New Roman" w:hint="eastAsia"/>
          <w:sz w:val="32"/>
          <w:szCs w:val="32"/>
        </w:rPr>
        <w:t>应</w:t>
      </w:r>
      <w:r>
        <w:rPr>
          <w:rFonts w:ascii="Times New Roman" w:eastAsia="仿宋_GB2312" w:hAnsi="Times New Roman"/>
          <w:sz w:val="32"/>
          <w:szCs w:val="32"/>
        </w:rPr>
        <w:t>提交入选样本结果的代表性彩色图片</w:t>
      </w:r>
      <w:r>
        <w:rPr>
          <w:rFonts w:ascii="Times New Roman" w:eastAsia="仿宋_GB2312" w:hAnsi="Times New Roman" w:hint="eastAsia"/>
          <w:sz w:val="32"/>
          <w:szCs w:val="32"/>
        </w:rPr>
        <w:t>，原始图谱应包含阴性、阳性、不确定结果、点状、簇状样本图谱，并标注详细的判断结果。</w:t>
      </w:r>
    </w:p>
    <w:p w:rsidR="002F619A" w:rsidRPr="001066FC" w:rsidRDefault="00B32101" w:rsidP="00B735C7">
      <w:pPr>
        <w:spacing w:line="520" w:lineRule="exact"/>
        <w:ind w:rightChars="-32" w:right="-67" w:firstLineChars="200" w:firstLine="640"/>
        <w:rPr>
          <w:rFonts w:ascii="Times New Roman" w:eastAsia="楷体_GB2312" w:hAnsi="Times New Roman" w:cs="Times New Roman"/>
          <w:color w:val="000000"/>
          <w:sz w:val="32"/>
          <w:szCs w:val="32"/>
        </w:rPr>
      </w:pPr>
      <w:r w:rsidRPr="001066FC">
        <w:rPr>
          <w:rFonts w:ascii="Times New Roman" w:eastAsia="楷体_GB2312" w:hAnsi="Times New Roman" w:cs="Times New Roman"/>
          <w:color w:val="000000"/>
          <w:sz w:val="32"/>
          <w:szCs w:val="32"/>
        </w:rPr>
        <w:t>（五）产品说明书和标签样稿</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产</w:t>
      </w:r>
      <w:r>
        <w:rPr>
          <w:rFonts w:ascii="Times New Roman" w:eastAsia="仿宋_GB2312" w:hAnsi="Times New Roman"/>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ascii="Times New Roman" w:eastAsia="仿宋_GB2312" w:hAnsi="Times New Roman" w:cs="宋体" w:hint="eastAsia"/>
          <w:color w:val="000000"/>
          <w:sz w:val="32"/>
          <w:szCs w:val="32"/>
        </w:rPr>
        <w:t>人表皮生长因子受体</w:t>
      </w:r>
      <w:r>
        <w:rPr>
          <w:rFonts w:ascii="Times New Roman" w:eastAsia="仿宋_GB2312" w:hAnsi="Times New Roman" w:cs="宋体" w:hint="eastAsia"/>
          <w:color w:val="000000"/>
          <w:sz w:val="32"/>
          <w:szCs w:val="32"/>
        </w:rPr>
        <w:t>2</w:t>
      </w:r>
      <w:r>
        <w:rPr>
          <w:rFonts w:ascii="Times New Roman" w:eastAsia="仿宋_GB2312" w:hAnsi="Times New Roman" w:cs="宋体" w:hint="eastAsia"/>
          <w:color w:val="000000"/>
          <w:sz w:val="32"/>
          <w:szCs w:val="32"/>
        </w:rPr>
        <w:t>基因扩增检测试剂说明书</w:t>
      </w:r>
      <w:r>
        <w:rPr>
          <w:rFonts w:ascii="Times New Roman" w:eastAsia="仿宋_GB2312" w:hAnsi="Times New Roman"/>
          <w:sz w:val="32"/>
          <w:szCs w:val="32"/>
        </w:rPr>
        <w:t>编写应重点关注以下内容。</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【预期用途】</w:t>
      </w:r>
      <w:r>
        <w:rPr>
          <w:rFonts w:ascii="Times New Roman" w:eastAsia="仿宋_GB2312" w:hAnsi="Times New Roman"/>
          <w:sz w:val="32"/>
          <w:szCs w:val="32"/>
        </w:rPr>
        <w:t xml:space="preserve"> </w:t>
      </w:r>
      <w:r>
        <w:rPr>
          <w:rFonts w:ascii="Times New Roman" w:eastAsia="仿宋_GB2312" w:hAnsi="Times New Roman"/>
          <w:sz w:val="32"/>
          <w:szCs w:val="32"/>
        </w:rPr>
        <w:t>应至少包括以下内容：</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试剂盒用于体外定性检测经</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中性缓冲福尔马林固定石蜡包埋乳腺癌和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或胃癌</w:t>
      </w:r>
      <w:r>
        <w:rPr>
          <w:rFonts w:ascii="Times New Roman" w:eastAsia="仿宋_GB2312" w:hAnsi="Times New Roman" w:hint="eastAsia"/>
          <w:color w:val="000000"/>
          <w:kern w:val="0"/>
          <w:sz w:val="32"/>
          <w:szCs w:val="32"/>
        </w:rPr>
        <w:t>等</w:t>
      </w:r>
      <w:r>
        <w:rPr>
          <w:rFonts w:ascii="Times New Roman" w:eastAsia="仿宋_GB2312" w:hAnsi="Times New Roman"/>
          <w:color w:val="000000"/>
          <w:kern w:val="0"/>
          <w:sz w:val="32"/>
          <w:szCs w:val="32"/>
        </w:rPr>
        <w:t>组织切片中</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基因的扩增情况。用于指导乳腺原发性浸润癌和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或胃及胃食管结合部腺癌</w:t>
      </w:r>
      <w:r>
        <w:rPr>
          <w:rFonts w:ascii="Times New Roman" w:eastAsia="仿宋_GB2312" w:hAnsi="Times New Roman" w:hint="eastAsia"/>
          <w:color w:val="000000"/>
          <w:kern w:val="0"/>
          <w:sz w:val="32"/>
          <w:szCs w:val="32"/>
        </w:rPr>
        <w:t>等</w:t>
      </w:r>
      <w:r>
        <w:rPr>
          <w:rFonts w:ascii="Times New Roman" w:eastAsia="仿宋_GB2312" w:hAnsi="Times New Roman"/>
          <w:color w:val="000000"/>
          <w:kern w:val="0"/>
          <w:sz w:val="32"/>
          <w:szCs w:val="32"/>
        </w:rPr>
        <w:t>的药物治疗和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或预后评估（预后评估仅乳腺癌适用）。</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1.2</w:t>
      </w:r>
      <w:r>
        <w:rPr>
          <w:rFonts w:ascii="Times New Roman" w:eastAsia="仿宋_GB2312" w:hAnsi="Times New Roman"/>
          <w:color w:val="000000"/>
          <w:kern w:val="0"/>
          <w:sz w:val="32"/>
          <w:szCs w:val="32"/>
        </w:rPr>
        <w:t>明确目标人群：例如对所有乳腺原发性浸润癌原发灶、复发灶与转移灶（如可以获取到足够的样本）所有经病理诊断证实为胃及胃食管结合部腺癌，新辅助治疗后病灶及复发灶与转移灶（如可以获取到足够的样本）进行检测。因肿瘤个体化诊疗研究和发展不断深入，该目标人群可能随着个体化治疗药物和试剂的研究和发展而发生变化，建议申请人参照最新指南或专家共识设定申报产品的目标人群。</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1.3</w:t>
      </w:r>
      <w:r>
        <w:rPr>
          <w:rFonts w:ascii="Times New Roman" w:eastAsia="仿宋_GB2312" w:hAnsi="Times New Roman"/>
          <w:color w:val="000000"/>
          <w:kern w:val="0"/>
          <w:sz w:val="32"/>
          <w:szCs w:val="32"/>
        </w:rPr>
        <w:t>简单介绍</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基因的生物学特征，如基本结构、编码蛋白及与肿瘤预后判断、用药指导的关系。</w:t>
      </w:r>
    </w:p>
    <w:p w:rsidR="002F619A" w:rsidRDefault="00B32101" w:rsidP="00B735C7">
      <w:pPr>
        <w:tabs>
          <w:tab w:val="left" w:pos="7140"/>
        </w:tabs>
        <w:autoSpaceDE w:val="0"/>
        <w:autoSpaceDN w:val="0"/>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1.4</w:t>
      </w:r>
      <w:r>
        <w:rPr>
          <w:rFonts w:ascii="Times New Roman" w:eastAsia="仿宋_GB2312" w:hAnsi="Times New Roman"/>
          <w:color w:val="000000"/>
          <w:kern w:val="0"/>
          <w:sz w:val="32"/>
          <w:szCs w:val="32"/>
        </w:rPr>
        <w:t>简单介绍与</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检测之间的关系。建议说明临床应用过程中首先考虑使用免疫组织化学方法检测</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蛋白的过表达状态，在结果为（</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）的情况下需进一步应用原位杂交方法确定</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基因的扩增状态。</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1.5</w:t>
      </w:r>
      <w:r>
        <w:rPr>
          <w:rFonts w:ascii="Times New Roman" w:eastAsia="仿宋_GB2312" w:hAnsi="Times New Roman"/>
          <w:color w:val="000000"/>
          <w:kern w:val="0"/>
          <w:sz w:val="32"/>
          <w:szCs w:val="32"/>
        </w:rPr>
        <w:t>如未进行联合药物评价临床试验，则不应体现具体药物产品（商品）名称、生产企业信息等，并注明该产品未与具体药物联合进行临床评价。</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1.6</w:t>
      </w:r>
      <w:r>
        <w:rPr>
          <w:rFonts w:ascii="Times New Roman" w:eastAsia="仿宋_GB2312" w:hAnsi="Times New Roman"/>
          <w:color w:val="000000"/>
          <w:kern w:val="0"/>
          <w:sz w:val="32"/>
          <w:szCs w:val="32"/>
        </w:rPr>
        <w:t>明确说明该试剂盒仅用于对特定肿瘤患者</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基因扩增情况的检测，其检测结果仅供临床参考，不应作为患者个体化治疗的唯一依据，临床医生应结合患者病情、药物适应症、治疗反应及其他实验室检测指标等因素对检测结果进行综合判断。</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【检验原理】</w:t>
      </w:r>
    </w:p>
    <w:p w:rsidR="002F619A" w:rsidRDefault="00B32101" w:rsidP="00B735C7">
      <w:pPr>
        <w:spacing w:line="520" w:lineRule="exact"/>
        <w:ind w:firstLineChars="200" w:firstLine="640"/>
        <w:rPr>
          <w:rFonts w:eastAsia="仿宋_GB2312"/>
          <w:color w:val="000000"/>
          <w:kern w:val="0"/>
          <w:sz w:val="32"/>
          <w:szCs w:val="32"/>
        </w:rPr>
      </w:pPr>
      <w:r>
        <w:rPr>
          <w:rFonts w:eastAsia="仿宋_GB2312"/>
          <w:color w:val="000000"/>
          <w:kern w:val="0"/>
          <w:sz w:val="32"/>
          <w:szCs w:val="32"/>
        </w:rPr>
        <w:t>简述荧光原位杂交技术的基本原理。对特异性结合靶基因，探针长度、序列设计、标记染料名称及标记方法，预处理、杂交与复染过程，荧光信号观察、计数和比值计算的方法等内容进行介绍。</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【主要组成成分】</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明确试剂盒中各组分及</w:t>
      </w:r>
      <w:r>
        <w:rPr>
          <w:rFonts w:ascii="Times New Roman" w:eastAsia="仿宋_GB2312" w:hAnsi="Times New Roman" w:hint="eastAsia"/>
          <w:color w:val="000000"/>
          <w:sz w:val="32"/>
          <w:szCs w:val="32"/>
        </w:rPr>
        <w:t>具体</w:t>
      </w:r>
      <w:r>
        <w:rPr>
          <w:rFonts w:ascii="Times New Roman" w:eastAsia="仿宋_GB2312" w:hAnsi="Times New Roman"/>
          <w:color w:val="000000"/>
          <w:sz w:val="32"/>
          <w:szCs w:val="32"/>
        </w:rPr>
        <w:t>成分。</w:t>
      </w:r>
      <w:r>
        <w:rPr>
          <w:rFonts w:ascii="Times New Roman" w:eastAsia="仿宋_GB2312" w:hAnsi="Times New Roman"/>
          <w:sz w:val="32"/>
          <w:szCs w:val="32"/>
        </w:rPr>
        <w:t>需要但未提供的材料，</w:t>
      </w:r>
      <w:r>
        <w:rPr>
          <w:rFonts w:ascii="Times New Roman" w:eastAsia="仿宋_GB2312" w:hAnsi="Times New Roman" w:hint="eastAsia"/>
          <w:sz w:val="32"/>
          <w:szCs w:val="32"/>
        </w:rPr>
        <w:t>需明确物料</w:t>
      </w:r>
      <w:r>
        <w:rPr>
          <w:rFonts w:ascii="Times New Roman" w:eastAsia="仿宋_GB2312" w:hAnsi="Times New Roman"/>
          <w:sz w:val="32"/>
          <w:szCs w:val="32"/>
        </w:rPr>
        <w:t>的产品名称，生产厂家，货号及注册证号、备案号等信息。</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s="宋体" w:hint="eastAsia"/>
          <w:color w:val="000000"/>
          <w:sz w:val="32"/>
          <w:szCs w:val="32"/>
        </w:rPr>
        <w:t>4</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【储存条件及有效期】</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说明试剂盒的效期稳定性等</w:t>
      </w:r>
      <w:r>
        <w:rPr>
          <w:rFonts w:ascii="Times New Roman" w:eastAsia="仿宋_GB2312" w:hAnsi="Times New Roman"/>
          <w:sz w:val="32"/>
          <w:szCs w:val="32"/>
        </w:rPr>
        <w:t>，</w:t>
      </w:r>
      <w:r>
        <w:rPr>
          <w:rFonts w:eastAsia="仿宋_GB2312"/>
          <w:sz w:val="32"/>
          <w:szCs w:val="32"/>
        </w:rPr>
        <w:t>明确具体的储存条件及有效期等信息</w:t>
      </w:r>
      <w:r>
        <w:rPr>
          <w:rFonts w:ascii="Times New Roman" w:eastAsia="仿宋_GB2312" w:hAnsi="Times New Roman" w:cs="宋体" w:hint="eastAsia"/>
          <w:color w:val="000000"/>
          <w:sz w:val="32"/>
          <w:szCs w:val="32"/>
        </w:rPr>
        <w:t>。</w:t>
      </w:r>
      <w:r>
        <w:rPr>
          <w:rFonts w:eastAsia="仿宋_GB2312"/>
          <w:color w:val="000000"/>
          <w:kern w:val="0"/>
          <w:sz w:val="32"/>
          <w:szCs w:val="32"/>
        </w:rPr>
        <w:t>如试剂盒包含质控片还应在此处明确质控片的稳定性。</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5.</w:t>
      </w:r>
      <w:r>
        <w:rPr>
          <w:rFonts w:ascii="Times New Roman" w:eastAsia="仿宋_GB2312" w:hAnsi="Times New Roman" w:cs="宋体" w:hint="eastAsia"/>
          <w:color w:val="000000"/>
          <w:sz w:val="32"/>
          <w:szCs w:val="32"/>
        </w:rPr>
        <w:t>【样本要求】</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lastRenderedPageBreak/>
        <w:t xml:space="preserve">　</w:t>
      </w:r>
      <w:r>
        <w:rPr>
          <w:rFonts w:ascii="Times New Roman" w:eastAsia="仿宋_GB2312" w:hAnsi="Times New Roman"/>
          <w:color w:val="000000"/>
          <w:kern w:val="0"/>
          <w:sz w:val="32"/>
          <w:szCs w:val="32"/>
        </w:rPr>
        <w:t>重点明确以下内容：</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对适用样本的取材、固定、包埋与切片的具体要求。此部分内容可参考国际或国内相关标准操作性文件内容进行编写或引用。注意不同组织类型的样本应分别描述。</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样本的稳定性（包括蜡块与切片）。</w:t>
      </w:r>
    </w:p>
    <w:p w:rsidR="002F619A" w:rsidRDefault="00B32101" w:rsidP="00B735C7">
      <w:pPr>
        <w:spacing w:line="520" w:lineRule="exact"/>
        <w:ind w:firstLineChars="200" w:firstLine="640"/>
        <w:rPr>
          <w:rFonts w:eastAsia="仿宋_GB2312"/>
          <w:sz w:val="32"/>
          <w:szCs w:val="32"/>
        </w:rPr>
      </w:pPr>
      <w:r>
        <w:rPr>
          <w:rFonts w:ascii="Times New Roman" w:eastAsia="仿宋_GB2312" w:hAnsi="Times New Roman"/>
          <w:sz w:val="32"/>
          <w:szCs w:val="32"/>
        </w:rPr>
        <w:t>6.</w:t>
      </w:r>
      <w:r>
        <w:rPr>
          <w:rFonts w:eastAsia="仿宋_GB2312"/>
          <w:sz w:val="32"/>
          <w:szCs w:val="32"/>
        </w:rPr>
        <w:t>【适用仪器】</w:t>
      </w:r>
    </w:p>
    <w:p w:rsidR="002F619A" w:rsidRDefault="00B32101" w:rsidP="00B735C7">
      <w:pPr>
        <w:spacing w:line="520" w:lineRule="exact"/>
        <w:ind w:firstLineChars="200" w:firstLine="640"/>
        <w:rPr>
          <w:rFonts w:eastAsia="仿宋_GB2312"/>
          <w:color w:val="000000"/>
          <w:kern w:val="0"/>
          <w:sz w:val="32"/>
          <w:szCs w:val="32"/>
        </w:rPr>
      </w:pPr>
      <w:r>
        <w:rPr>
          <w:rFonts w:eastAsia="仿宋_GB2312"/>
          <w:color w:val="000000"/>
          <w:kern w:val="0"/>
          <w:sz w:val="32"/>
          <w:szCs w:val="32"/>
        </w:rPr>
        <w:t>明确配套适用荧光显微镜的配置要求，至少包括对目镜与物镜的放大倍率、光源及滤光片要求。对显微镜配套耗材（如镜油）的要求进行介绍。</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7.</w:t>
      </w:r>
      <w:r>
        <w:rPr>
          <w:rFonts w:ascii="Times New Roman" w:eastAsia="仿宋_GB2312" w:hAnsi="Times New Roman" w:cs="宋体" w:hint="eastAsia"/>
          <w:color w:val="000000"/>
          <w:sz w:val="32"/>
          <w:szCs w:val="32"/>
        </w:rPr>
        <w:t>【检验方法】</w:t>
      </w:r>
      <w:r>
        <w:rPr>
          <w:rFonts w:ascii="Times New Roman" w:eastAsia="仿宋_GB2312" w:hAnsi="Times New Roman" w:cs="宋体" w:hint="eastAsia"/>
          <w:color w:val="000000"/>
          <w:sz w:val="32"/>
          <w:szCs w:val="32"/>
        </w:rPr>
        <w:t> </w:t>
      </w:r>
    </w:p>
    <w:p w:rsidR="002F619A" w:rsidRDefault="00B32101" w:rsidP="00B735C7">
      <w:pPr>
        <w:spacing w:line="520" w:lineRule="exact"/>
        <w:ind w:firstLineChars="200" w:firstLine="640"/>
        <w:rPr>
          <w:rFonts w:eastAsia="仿宋_GB2312"/>
          <w:sz w:val="32"/>
          <w:szCs w:val="32"/>
        </w:rPr>
      </w:pPr>
      <w:r>
        <w:rPr>
          <w:rFonts w:eastAsia="仿宋_GB2312"/>
          <w:sz w:val="32"/>
          <w:szCs w:val="32"/>
        </w:rPr>
        <w:t>详细说明实验操作的各个步骤，包括：</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7.1</w:t>
      </w:r>
      <w:r>
        <w:rPr>
          <w:rFonts w:ascii="Times New Roman" w:eastAsia="仿宋_GB2312" w:hAnsi="Times New Roman"/>
          <w:color w:val="000000"/>
          <w:kern w:val="0"/>
          <w:sz w:val="32"/>
          <w:szCs w:val="32"/>
        </w:rPr>
        <w:t>明确检测需要的仪器与设备。如烤片机、恒温箱、水浴锅、染色缸、杂交盒等。注明货号及生产商（如需要）。</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7.2</w:t>
      </w:r>
      <w:r>
        <w:rPr>
          <w:rFonts w:ascii="Times New Roman" w:eastAsia="仿宋_GB2312" w:hAnsi="Times New Roman"/>
          <w:color w:val="000000"/>
          <w:kern w:val="0"/>
          <w:sz w:val="32"/>
          <w:szCs w:val="32"/>
        </w:rPr>
        <w:t>试剂配制方法、注意事项，试剂开封、配制后使用方法及注意事项等。</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7.3</w:t>
      </w:r>
      <w:r>
        <w:rPr>
          <w:rFonts w:ascii="Times New Roman" w:eastAsia="仿宋_GB2312" w:hAnsi="Times New Roman"/>
          <w:color w:val="000000"/>
          <w:kern w:val="0"/>
          <w:sz w:val="32"/>
          <w:szCs w:val="32"/>
        </w:rPr>
        <w:t>对于手工或半自动检测，详述脱蜡、煮片、消化、固定、核酸变性、杂交、洗涤和复染等各操作步骤。描述应尽量细化，需明确各步骤处理时间、温度、注意事项（如避光）等内容。</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7.4</w:t>
      </w:r>
      <w:r>
        <w:rPr>
          <w:rFonts w:ascii="Times New Roman" w:eastAsia="仿宋_GB2312" w:hAnsi="Times New Roman"/>
          <w:color w:val="000000"/>
          <w:kern w:val="0"/>
          <w:sz w:val="32"/>
          <w:szCs w:val="32"/>
        </w:rPr>
        <w:t>对杂交后载玻片的储存及稳定性、复染后的储存及稳定性进行说明。</w:t>
      </w:r>
    </w:p>
    <w:p w:rsidR="002F619A" w:rsidRDefault="00B32101" w:rsidP="00B735C7">
      <w:pPr>
        <w:spacing w:line="520" w:lineRule="exact"/>
        <w:ind w:firstLineChars="200" w:firstLine="640"/>
        <w:rPr>
          <w:rFonts w:ascii="Times New Roman" w:eastAsia="仿宋_GB2312" w:hAnsi="Times New Roman"/>
          <w:color w:val="000000"/>
          <w:kern w:val="0"/>
          <w:sz w:val="32"/>
          <w:szCs w:val="32"/>
          <w:highlight w:val="yellow"/>
        </w:rPr>
      </w:pPr>
      <w:r>
        <w:rPr>
          <w:rFonts w:ascii="Times New Roman" w:eastAsia="仿宋_GB2312" w:hAnsi="Times New Roman"/>
          <w:color w:val="000000"/>
          <w:kern w:val="0"/>
          <w:sz w:val="32"/>
          <w:szCs w:val="32"/>
        </w:rPr>
        <w:t>7.5</w:t>
      </w:r>
      <w:r>
        <w:rPr>
          <w:rFonts w:ascii="Times New Roman" w:eastAsia="仿宋_GB2312" w:hAnsi="Times New Roman"/>
          <w:color w:val="000000"/>
          <w:kern w:val="0"/>
          <w:sz w:val="32"/>
          <w:szCs w:val="32"/>
        </w:rPr>
        <w:t>详细说明质量控制情况：</w:t>
      </w:r>
    </w:p>
    <w:p w:rsidR="002F619A" w:rsidRDefault="00B32101" w:rsidP="00B735C7">
      <w:pPr>
        <w:spacing w:line="52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color w:val="000000"/>
          <w:kern w:val="0"/>
          <w:sz w:val="32"/>
          <w:szCs w:val="32"/>
        </w:rPr>
        <w:t>建议实验室每次检测设置内对照和外对照（质控片），以对整体操作流程进行质量控制。评价指标应包括细胞结构的完整性，探针杂交信号的强度和位点的准确性，背景荧光强度，可计数信号（单色</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双色）的细胞占全部细胞的比例等。</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7.5.1</w:t>
      </w:r>
      <w:r>
        <w:rPr>
          <w:rFonts w:ascii="Times New Roman" w:eastAsia="仿宋_GB2312" w:hAnsi="Times New Roman"/>
          <w:color w:val="000000"/>
          <w:kern w:val="0"/>
          <w:sz w:val="32"/>
          <w:szCs w:val="32"/>
        </w:rPr>
        <w:t>内对照可为癌旁正常组织，明确样本检测的内对照使</w:t>
      </w:r>
      <w:r>
        <w:rPr>
          <w:rFonts w:ascii="Times New Roman" w:eastAsia="仿宋_GB2312" w:hAnsi="Times New Roman"/>
          <w:color w:val="000000"/>
          <w:kern w:val="0"/>
          <w:sz w:val="32"/>
          <w:szCs w:val="32"/>
        </w:rPr>
        <w:lastRenderedPageBreak/>
        <w:t>用原则，如</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75%</w:t>
      </w:r>
      <w:r>
        <w:rPr>
          <w:rFonts w:ascii="Times New Roman" w:eastAsia="仿宋_GB2312" w:hAnsi="Times New Roman"/>
          <w:color w:val="000000"/>
          <w:kern w:val="0"/>
          <w:sz w:val="32"/>
          <w:szCs w:val="32"/>
        </w:rPr>
        <w:t>以上的肿瘤细胞核中都有杂交信号时，视为检测成功。</w:t>
      </w:r>
      <w:r>
        <w:rPr>
          <w:rFonts w:ascii="Times New Roman" w:eastAsia="仿宋_GB2312" w:hAnsi="Times New Roman" w:hint="eastAsia"/>
          <w:color w:val="000000"/>
          <w:kern w:val="0"/>
          <w:sz w:val="32"/>
          <w:szCs w:val="32"/>
        </w:rPr>
        <w:t>”</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7.5.2</w:t>
      </w:r>
      <w:r>
        <w:rPr>
          <w:rFonts w:ascii="Times New Roman" w:eastAsia="仿宋_GB2312" w:hAnsi="Times New Roman"/>
          <w:color w:val="000000"/>
          <w:kern w:val="0"/>
          <w:sz w:val="32"/>
          <w:szCs w:val="32"/>
        </w:rPr>
        <w:t>外对照可选择已知</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扩增状态的组织切片或者细胞株，至少包括临界值以及无扩增样本。明确每一批次患者样本检测和更换使用新的试剂盒批次时，均应同时进行质控片检测，以监控检测性能并评估信号计数的准确性。分析质控结果不符合要求的原因并详述处理方式。</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如试剂盒内不包含质控片，应明确配套使用的质控片信息，可以为商用质控片也可以为临床检测实验室自制质控片。自制质控片应为已知</w:t>
      </w:r>
      <w:r>
        <w:rPr>
          <w:rFonts w:ascii="Times New Roman" w:eastAsia="仿宋_GB2312" w:hAnsi="Times New Roman"/>
          <w:color w:val="000000"/>
          <w:kern w:val="0"/>
          <w:sz w:val="32"/>
          <w:szCs w:val="32"/>
        </w:rPr>
        <w:t>FISH</w:t>
      </w:r>
      <w:r>
        <w:rPr>
          <w:rFonts w:ascii="Times New Roman" w:eastAsia="仿宋_GB2312" w:hAnsi="Times New Roman"/>
          <w:color w:val="000000"/>
          <w:kern w:val="0"/>
          <w:sz w:val="32"/>
          <w:szCs w:val="32"/>
        </w:rPr>
        <w:t>结果的阴性和阳性质控片，详述质控片的制备方法。明确质控结果要求（试验有效性的判断），结果允许范围（如适用于不同的仪器或适用于手工与仪器方法，应分别列明结果的允许范围）。</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7.6</w:t>
      </w:r>
      <w:r>
        <w:rPr>
          <w:rFonts w:ascii="Times New Roman" w:eastAsia="仿宋_GB2312" w:hAnsi="Times New Roman"/>
          <w:color w:val="000000"/>
          <w:kern w:val="0"/>
          <w:sz w:val="32"/>
          <w:szCs w:val="32"/>
        </w:rPr>
        <w:t>建议强调实验室检测相关的仪器设备需定期维护、校验，应建立完善的标准操作规范文件，从事检测的技术人员和病理医师应通过必要的培训和资格考核，做好记录和存档，内部定期对不同批次检测结果进行重复性分析；并积极参加相关的外部质控活动。</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8.</w:t>
      </w:r>
      <w:r>
        <w:rPr>
          <w:rFonts w:ascii="Times New Roman" w:eastAsia="仿宋_GB2312" w:hAnsi="Times New Roman" w:cs="宋体" w:hint="eastAsia"/>
          <w:color w:val="000000"/>
          <w:sz w:val="32"/>
          <w:szCs w:val="32"/>
        </w:rPr>
        <w:t>【阳性判断值】</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kern w:val="0"/>
          <w:sz w:val="32"/>
          <w:szCs w:val="32"/>
        </w:rPr>
        <w:t>根据相关指南及规范性文件，</w:t>
      </w:r>
      <w:bookmarkStart w:id="1" w:name="OLE_LINK16"/>
      <w:bookmarkStart w:id="2" w:name="OLE_LINK17"/>
      <w:r>
        <w:rPr>
          <w:rFonts w:ascii="Times New Roman" w:eastAsia="仿宋_GB2312" w:hAnsi="Times New Roman"/>
          <w:color w:val="000000"/>
          <w:kern w:val="0"/>
          <w:sz w:val="32"/>
          <w:szCs w:val="32"/>
        </w:rPr>
        <w:t>以</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拷贝数平均值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细胞和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或</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总拷贝数与</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总拷贝数的比值</w:t>
      </w:r>
      <w:bookmarkEnd w:id="1"/>
      <w:bookmarkEnd w:id="2"/>
      <w:r>
        <w:rPr>
          <w:rFonts w:ascii="Times New Roman" w:eastAsia="仿宋_GB2312" w:hAnsi="Times New Roman"/>
          <w:color w:val="000000"/>
          <w:kern w:val="0"/>
          <w:sz w:val="32"/>
          <w:szCs w:val="32"/>
        </w:rPr>
        <w:t>（双信号）的形式明确阳性判断值。</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hint="eastAsia"/>
          <w:color w:val="000000"/>
          <w:sz w:val="32"/>
          <w:szCs w:val="32"/>
        </w:rPr>
        <w:t>【检验结果的解释】</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kern w:val="0"/>
          <w:sz w:val="32"/>
          <w:szCs w:val="32"/>
        </w:rPr>
        <w:t>9.1</w:t>
      </w:r>
      <w:r>
        <w:rPr>
          <w:rFonts w:ascii="Times New Roman" w:eastAsia="仿宋_GB2312" w:hAnsi="Times New Roman"/>
          <w:color w:val="000000"/>
          <w:kern w:val="0"/>
          <w:sz w:val="32"/>
          <w:szCs w:val="32"/>
        </w:rPr>
        <w:t>从细胞核形态、探针信号强度、背景情况等多方面，详述杂交后样本玻片的有效性评估标准。建议对不符合有效性评估标准情况发生时的常见问题及解决方法以列表的形式明确。</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9.2</w:t>
      </w:r>
      <w:r>
        <w:rPr>
          <w:rFonts w:ascii="Times New Roman" w:eastAsia="仿宋_GB2312" w:hAnsi="Times New Roman"/>
          <w:color w:val="000000"/>
          <w:kern w:val="0"/>
          <w:sz w:val="32"/>
          <w:szCs w:val="32"/>
        </w:rPr>
        <w:t>明确目标区域的确定方法及仅对肿瘤细胞进行计数的要求；明确细胞计数的具体方法，包括每个样本初始读取细胞数及结果不确定样本的处理方法。明确</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扩增异质性的处理方法。</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可以列表的形式详述信号计数与阴阳性判定规则，应配合清晰彩图图例。例如对于浸润性乳腺癌，描述为</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找到至少</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个浸润癌区域，随机计数至少</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个浸润癌细胞核中的双色信号，计算信号比值（比值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计数细胞核中红色信号总数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计数细胞核中绿色信号总数），根据以下标准对样本进行</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基因扩增阴阳性的判断：比值</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，或者比值</w:t>
      </w:r>
      <w:r>
        <w:rPr>
          <w:rFonts w:ascii="Times New Roman" w:eastAsia="仿宋_GB2312" w:hAnsi="Times New Roman"/>
          <w:color w:val="000000"/>
          <w:kern w:val="0"/>
          <w:sz w:val="32"/>
          <w:szCs w:val="32"/>
        </w:rPr>
        <w:t>&lt;2.0</w:t>
      </w:r>
      <w:r>
        <w:rPr>
          <w:rFonts w:ascii="Times New Roman" w:eastAsia="仿宋_GB2312" w:hAnsi="Times New Roman"/>
          <w:color w:val="000000"/>
          <w:kern w:val="0"/>
          <w:sz w:val="32"/>
          <w:szCs w:val="32"/>
        </w:rPr>
        <w:t>且平均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拷贝数</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拷贝数</w:t>
      </w:r>
      <w:r>
        <w:rPr>
          <w:rFonts w:ascii="Times New Roman" w:eastAsia="仿宋_GB2312" w:hAnsi="Times New Roman"/>
          <w:color w:val="000000"/>
          <w:kern w:val="0"/>
          <w:sz w:val="32"/>
          <w:szCs w:val="32"/>
        </w:rPr>
        <w:t>≥6.0</w:t>
      </w:r>
      <w:r>
        <w:rPr>
          <w:rFonts w:ascii="Times New Roman" w:eastAsia="仿宋_GB2312" w:hAnsi="Times New Roman"/>
          <w:color w:val="000000"/>
          <w:kern w:val="0"/>
          <w:sz w:val="32"/>
          <w:szCs w:val="32"/>
        </w:rPr>
        <w:t>时为阳性；扩增细胞应均质、连续，且占浸润癌的</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％以上。比值</w:t>
      </w:r>
      <w:r>
        <w:rPr>
          <w:rFonts w:ascii="Times New Roman" w:eastAsia="仿宋_GB2312" w:hAnsi="Times New Roman"/>
          <w:color w:val="000000"/>
          <w:kern w:val="0"/>
          <w:sz w:val="32"/>
          <w:szCs w:val="32"/>
        </w:rPr>
        <w:t>&lt;2.0</w:t>
      </w:r>
      <w:r>
        <w:rPr>
          <w:rFonts w:ascii="Times New Roman" w:eastAsia="仿宋_GB2312" w:hAnsi="Times New Roman"/>
          <w:color w:val="000000"/>
          <w:kern w:val="0"/>
          <w:sz w:val="32"/>
          <w:szCs w:val="32"/>
        </w:rPr>
        <w:t>且平均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拷贝数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细胞</w:t>
      </w:r>
      <w:r>
        <w:rPr>
          <w:rFonts w:ascii="Times New Roman" w:eastAsia="仿宋_GB2312" w:hAnsi="Times New Roman"/>
          <w:color w:val="000000"/>
          <w:kern w:val="0"/>
          <w:sz w:val="32"/>
          <w:szCs w:val="32"/>
        </w:rPr>
        <w:t>&lt;4.0</w:t>
      </w:r>
      <w:r>
        <w:rPr>
          <w:rFonts w:ascii="Times New Roman" w:eastAsia="仿宋_GB2312" w:hAnsi="Times New Roman"/>
          <w:color w:val="000000"/>
          <w:kern w:val="0"/>
          <w:sz w:val="32"/>
          <w:szCs w:val="32"/>
        </w:rPr>
        <w:t>时为阴性。</w:t>
      </w:r>
      <w:r>
        <w:rPr>
          <w:rFonts w:ascii="Times New Roman" w:eastAsia="仿宋_GB2312" w:hAnsi="Times New Roman"/>
          <w:color w:val="000000"/>
          <w:kern w:val="0"/>
          <w:sz w:val="32"/>
          <w:szCs w:val="32"/>
        </w:rPr>
        <w:t>HER2/CEPl7</w:t>
      </w:r>
      <w:r>
        <w:rPr>
          <w:rFonts w:ascii="Times New Roman" w:eastAsia="仿宋_GB2312" w:hAnsi="Times New Roman"/>
          <w:color w:val="000000"/>
          <w:kern w:val="0"/>
          <w:sz w:val="32"/>
          <w:szCs w:val="32"/>
        </w:rPr>
        <w:t>比值</w:t>
      </w:r>
      <w:r>
        <w:rPr>
          <w:rFonts w:ascii="Times New Roman" w:eastAsia="仿宋_GB2312" w:hAnsi="Times New Roman"/>
          <w:color w:val="000000"/>
          <w:kern w:val="0"/>
          <w:sz w:val="32"/>
          <w:szCs w:val="32"/>
        </w:rPr>
        <w:t>&lt;2.0</w:t>
      </w:r>
      <w:r>
        <w:rPr>
          <w:rFonts w:ascii="Times New Roman" w:eastAsia="仿宋_GB2312" w:hAnsi="Times New Roman"/>
          <w:color w:val="000000"/>
          <w:kern w:val="0"/>
          <w:sz w:val="32"/>
          <w:szCs w:val="32"/>
        </w:rPr>
        <w:t>且平均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拷贝数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细胞</w:t>
      </w:r>
      <w:r>
        <w:rPr>
          <w:rFonts w:ascii="Times New Roman" w:eastAsia="仿宋_GB2312" w:hAnsi="Times New Roman"/>
          <w:color w:val="000000"/>
          <w:kern w:val="0"/>
          <w:sz w:val="32"/>
          <w:szCs w:val="32"/>
        </w:rPr>
        <w:t>&lt;6.0</w:t>
      </w:r>
      <w:r>
        <w:rPr>
          <w:rFonts w:ascii="Times New Roman" w:eastAsia="仿宋_GB2312" w:hAnsi="Times New Roman"/>
          <w:color w:val="000000"/>
          <w:kern w:val="0"/>
          <w:sz w:val="32"/>
          <w:szCs w:val="32"/>
        </w:rPr>
        <w:t>，但</w:t>
      </w:r>
      <w:r>
        <w:rPr>
          <w:rFonts w:ascii="Times New Roman" w:eastAsia="仿宋_GB2312" w:hAnsi="Times New Roman"/>
          <w:color w:val="000000"/>
          <w:kern w:val="0"/>
          <w:sz w:val="32"/>
          <w:szCs w:val="32"/>
        </w:rPr>
        <w:t>≥4.0</w:t>
      </w:r>
      <w:r>
        <w:rPr>
          <w:rFonts w:ascii="Times New Roman" w:eastAsia="仿宋_GB2312" w:hAnsi="Times New Roman"/>
          <w:color w:val="000000"/>
          <w:kern w:val="0"/>
          <w:sz w:val="32"/>
          <w:szCs w:val="32"/>
        </w:rPr>
        <w:t>时为不确定。对于不确定的样本，需再计算</w:t>
      </w:r>
      <w:r>
        <w:rPr>
          <w:rFonts w:ascii="Times New Roman" w:eastAsia="仿宋_GB2312" w:hAnsi="Times New Roman"/>
          <w:color w:val="000000"/>
          <w:kern w:val="0"/>
          <w:sz w:val="32"/>
          <w:szCs w:val="32"/>
        </w:rPr>
        <w:t>20</w:t>
      </w:r>
      <w:r>
        <w:rPr>
          <w:rFonts w:ascii="Times New Roman" w:eastAsia="仿宋_GB2312" w:hAnsi="Times New Roman"/>
          <w:color w:val="000000"/>
          <w:kern w:val="0"/>
          <w:sz w:val="32"/>
          <w:szCs w:val="32"/>
        </w:rPr>
        <w:t>个细胞核中的信号，或由另一阅片人重新计数。</w:t>
      </w:r>
      <w:r>
        <w:rPr>
          <w:rFonts w:ascii="Times New Roman" w:eastAsia="仿宋_GB2312" w:hAnsi="Times New Roman"/>
          <w:color w:val="000000"/>
          <w:kern w:val="0"/>
          <w:sz w:val="32"/>
          <w:szCs w:val="32"/>
        </w:rPr>
        <w:t>”</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rPr>
        <w:t>【检验方法局限性】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kern w:val="0"/>
          <w:sz w:val="32"/>
          <w:szCs w:val="32"/>
        </w:rPr>
        <w:t>综合产品的预期用途、临床背景、检测方法及适用范围等信息，对可能出现的局限性进行相关说明，主要包括以下描述，请申请人选择适用的条款在产品说明书中予以阐述。</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10.1</w:t>
      </w:r>
      <w:r>
        <w:rPr>
          <w:rFonts w:ascii="Times New Roman" w:eastAsia="仿宋_GB2312" w:hAnsi="Times New Roman"/>
          <w:color w:val="000000"/>
          <w:kern w:val="0"/>
          <w:sz w:val="32"/>
          <w:szCs w:val="32"/>
        </w:rPr>
        <w:t>本试剂盒为体外诊断试剂，检测结果的临床判定均应结合患者医疗病史和其他临床诊断结果进行综合评估，不得作为临床诊治的唯一依据。</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10.2</w:t>
      </w:r>
      <w:r>
        <w:rPr>
          <w:rFonts w:ascii="Times New Roman" w:eastAsia="仿宋_GB2312" w:hAnsi="Times New Roman"/>
          <w:color w:val="000000"/>
          <w:kern w:val="0"/>
          <w:sz w:val="32"/>
          <w:szCs w:val="32"/>
        </w:rPr>
        <w:t>肿瘤组织</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基因表达的异质性可能影响检测结果。例如可导致</w:t>
      </w:r>
      <w:r>
        <w:rPr>
          <w:rFonts w:ascii="Times New Roman" w:eastAsia="仿宋_GB2312" w:hAnsi="Times New Roman"/>
          <w:color w:val="000000"/>
          <w:kern w:val="0"/>
          <w:sz w:val="32"/>
          <w:szCs w:val="32"/>
        </w:rPr>
        <w:t>IHC</w:t>
      </w:r>
      <w:r>
        <w:rPr>
          <w:rFonts w:ascii="Times New Roman" w:eastAsia="仿宋_GB2312" w:hAnsi="Times New Roman"/>
          <w:color w:val="000000"/>
          <w:kern w:val="0"/>
          <w:sz w:val="32"/>
          <w:szCs w:val="32"/>
        </w:rPr>
        <w:t>与</w:t>
      </w:r>
      <w:r>
        <w:rPr>
          <w:rFonts w:ascii="Times New Roman" w:eastAsia="仿宋_GB2312" w:hAnsi="Times New Roman"/>
          <w:color w:val="000000"/>
          <w:kern w:val="0"/>
          <w:sz w:val="32"/>
          <w:szCs w:val="32"/>
        </w:rPr>
        <w:t>ISH</w:t>
      </w:r>
      <w:r>
        <w:rPr>
          <w:rFonts w:ascii="Times New Roman" w:eastAsia="仿宋_GB2312" w:hAnsi="Times New Roman"/>
          <w:color w:val="000000"/>
          <w:kern w:val="0"/>
          <w:sz w:val="32"/>
          <w:szCs w:val="32"/>
        </w:rPr>
        <w:t>检测、原发灶与转移灶、活检标本与手术切除标本的检测结果不一致。异质性在胃癌中更常见。对于胃镜活检标本，多点活检有助于减少肿瘤异质性的影响，提高检测的准确性。另外，新辅助治疗会影响胃癌</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状态，治疗前活</w:t>
      </w:r>
      <w:r>
        <w:rPr>
          <w:rFonts w:ascii="Times New Roman" w:eastAsia="仿宋_GB2312" w:hAnsi="Times New Roman"/>
          <w:color w:val="000000"/>
          <w:kern w:val="0"/>
          <w:sz w:val="32"/>
          <w:szCs w:val="32"/>
        </w:rPr>
        <w:lastRenderedPageBreak/>
        <w:t>检标本和治疗后手术标本的综合判断有助于更好的用药指导。</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10.3</w:t>
      </w:r>
      <w:r>
        <w:rPr>
          <w:rFonts w:ascii="Times New Roman" w:eastAsia="仿宋_GB2312" w:hAnsi="Times New Roman"/>
          <w:color w:val="000000"/>
          <w:kern w:val="0"/>
          <w:sz w:val="32"/>
          <w:szCs w:val="32"/>
        </w:rPr>
        <w:t>本试剂盒检测结果受样本来源、样本采集过程、样本质量、样本运输条件、样本预处理等因素影响。同时由于结果判断的主观性，可能导致得出假阳性或假阴性的检测结果，使用者应了解检测过程中可能存在的潜在错误导致结果不准确等局限性。</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10.4</w:t>
      </w:r>
      <w:r>
        <w:rPr>
          <w:rFonts w:ascii="Times New Roman" w:eastAsia="仿宋_GB2312" w:hAnsi="Times New Roman"/>
          <w:color w:val="000000"/>
          <w:kern w:val="0"/>
          <w:sz w:val="32"/>
          <w:szCs w:val="32"/>
        </w:rPr>
        <w:t>检测结果如与组织病理学特征不符，应核实病理诊断或重新检测。</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10.5</w:t>
      </w:r>
      <w:r>
        <w:rPr>
          <w:rFonts w:ascii="Times New Roman" w:eastAsia="仿宋_GB2312" w:hAnsi="Times New Roman"/>
          <w:color w:val="000000"/>
          <w:kern w:val="0"/>
          <w:sz w:val="32"/>
          <w:szCs w:val="32"/>
        </w:rPr>
        <w:t>本产品的性能指标是基于说明书所述检测程序获得，对该程序进行更改，可能会改变该检验的结果。</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10.6</w:t>
      </w:r>
      <w:r>
        <w:rPr>
          <w:rFonts w:ascii="Times New Roman" w:eastAsia="仿宋_GB2312" w:hAnsi="Times New Roman"/>
          <w:color w:val="000000"/>
          <w:kern w:val="0"/>
          <w:sz w:val="32"/>
          <w:szCs w:val="32"/>
        </w:rPr>
        <w:t>本试剂仅对经</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中性缓冲福尔马林固定石蜡包埋的组织进行了验证（如适用），不得用于其他样本类型或流式细胞检测等其他用途。</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11.</w:t>
      </w:r>
      <w:r>
        <w:rPr>
          <w:rFonts w:ascii="Times New Roman" w:eastAsia="仿宋_GB2312" w:hAnsi="Times New Roman" w:cs="宋体" w:hint="eastAsia"/>
          <w:color w:val="000000"/>
          <w:sz w:val="32"/>
          <w:szCs w:val="32"/>
        </w:rPr>
        <w:t>【产品性能指标】</w:t>
      </w:r>
      <w:r>
        <w:rPr>
          <w:rFonts w:ascii="Times New Roman" w:eastAsia="仿宋_GB2312" w:hAnsi="Times New Roman" w:cs="宋体" w:hint="eastAsia"/>
          <w:color w:val="000000"/>
          <w:sz w:val="32"/>
          <w:szCs w:val="32"/>
        </w:rPr>
        <w:t xml:space="preserve"> </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根据分析性能评估研究结果，详述以下性能指标，包括研究方法和评估结果：</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11.1</w:t>
      </w:r>
      <w:r>
        <w:rPr>
          <w:rFonts w:ascii="Times New Roman" w:eastAsia="仿宋_GB2312" w:hAnsi="Times New Roman"/>
          <w:color w:val="000000"/>
          <w:kern w:val="0"/>
          <w:sz w:val="32"/>
          <w:szCs w:val="32"/>
        </w:rPr>
        <w:t>灵敏度：在乳腺浸润癌</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胃癌病例的组织样本，以及癌旁正常组织或者良性疾病组织样本中探针与目标基因位点的结合效率。</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11.2</w:t>
      </w:r>
      <w:r>
        <w:rPr>
          <w:rFonts w:ascii="Times New Roman" w:eastAsia="仿宋_GB2312" w:hAnsi="Times New Roman"/>
          <w:color w:val="000000"/>
          <w:kern w:val="0"/>
          <w:sz w:val="32"/>
          <w:szCs w:val="32"/>
        </w:rPr>
        <w:t>特异性：</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CEP17</w:t>
      </w:r>
      <w:r>
        <w:rPr>
          <w:rFonts w:ascii="Times New Roman" w:eastAsia="仿宋_GB2312" w:hAnsi="Times New Roman"/>
          <w:color w:val="000000"/>
          <w:kern w:val="0"/>
          <w:sz w:val="32"/>
          <w:szCs w:val="32"/>
        </w:rPr>
        <w:t>探针对目标序列识别的特异性。</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11.3</w:t>
      </w:r>
      <w:r>
        <w:rPr>
          <w:rFonts w:ascii="Times New Roman" w:eastAsia="仿宋_GB2312" w:hAnsi="Times New Roman"/>
          <w:color w:val="000000"/>
          <w:kern w:val="0"/>
          <w:sz w:val="32"/>
          <w:szCs w:val="32"/>
        </w:rPr>
        <w:t>阴、阳性符合率：在不同组织类型中</w:t>
      </w:r>
      <w:r>
        <w:rPr>
          <w:rFonts w:ascii="Times New Roman" w:eastAsia="仿宋_GB2312" w:hAnsi="Times New Roman"/>
          <w:color w:val="000000"/>
          <w:kern w:val="0"/>
          <w:sz w:val="32"/>
          <w:szCs w:val="32"/>
        </w:rPr>
        <w:t>HER2</w:t>
      </w:r>
      <w:r>
        <w:rPr>
          <w:rFonts w:ascii="Times New Roman" w:eastAsia="仿宋_GB2312" w:hAnsi="Times New Roman"/>
          <w:color w:val="000000"/>
          <w:kern w:val="0"/>
          <w:sz w:val="32"/>
          <w:szCs w:val="32"/>
        </w:rPr>
        <w:t>基因的检出能力和准确性。</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11.4</w:t>
      </w:r>
      <w:r>
        <w:rPr>
          <w:rFonts w:ascii="Times New Roman" w:eastAsia="仿宋_GB2312" w:hAnsi="Times New Roman"/>
          <w:color w:val="000000"/>
          <w:kern w:val="0"/>
          <w:sz w:val="32"/>
          <w:szCs w:val="32"/>
        </w:rPr>
        <w:t>精密度：批内、批间精密度及不同时间、地点、检测系统（如适用）、人员之间的精密度。</w:t>
      </w:r>
    </w:p>
    <w:p w:rsidR="002F619A" w:rsidRDefault="00B32101" w:rsidP="00B735C7">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11.5</w:t>
      </w:r>
      <w:r>
        <w:rPr>
          <w:rFonts w:ascii="Times New Roman" w:eastAsia="仿宋_GB2312" w:hAnsi="Times New Roman"/>
          <w:color w:val="000000"/>
          <w:kern w:val="0"/>
          <w:sz w:val="32"/>
          <w:szCs w:val="32"/>
        </w:rPr>
        <w:t>临床试验数据总结。</w:t>
      </w:r>
    </w:p>
    <w:p w:rsidR="002F619A" w:rsidRDefault="00B32101" w:rsidP="00B735C7">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12.</w:t>
      </w:r>
      <w:r>
        <w:rPr>
          <w:rFonts w:ascii="Times New Roman" w:eastAsia="仿宋_GB2312" w:hAnsi="Times New Roman" w:cs="宋体" w:hint="eastAsia"/>
          <w:color w:val="000000"/>
          <w:sz w:val="32"/>
          <w:szCs w:val="32"/>
        </w:rPr>
        <w:t>【注意事项】</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lastRenderedPageBreak/>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 xml:space="preserve"> </w:t>
      </w: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.1</w:t>
      </w:r>
      <w:r>
        <w:rPr>
          <w:rFonts w:ascii="Times New Roman" w:eastAsia="仿宋_GB2312" w:hAnsi="Times New Roman" w:hint="eastAsia"/>
          <w:sz w:val="32"/>
          <w:szCs w:val="32"/>
        </w:rPr>
        <w:t>如产品含有人源或动物源性物质，应给出具有潜在感染性的警告。</w:t>
      </w:r>
    </w:p>
    <w:p w:rsidR="002F619A" w:rsidRDefault="00B32101" w:rsidP="00B735C7">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 xml:space="preserve">.2 </w:t>
      </w:r>
      <w:r>
        <w:rPr>
          <w:rFonts w:ascii="Times New Roman" w:eastAsia="仿宋_GB2312" w:hAnsi="Times New Roman"/>
          <w:color w:val="000000"/>
          <w:sz w:val="32"/>
          <w:szCs w:val="32"/>
        </w:rPr>
        <w:t>试剂保存运输及使用过程中多种因素可能导致性能变化，如保存运输不当、样本采集、样本处理及检测过程操作不规范等，请严格按照说明书操作。</w:t>
      </w:r>
    </w:p>
    <w:p w:rsidR="002F619A" w:rsidRDefault="00B32101" w:rsidP="00B735C7">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12.</w:t>
      </w:r>
      <w:r>
        <w:rPr>
          <w:rFonts w:ascii="Times New Roman" w:eastAsia="仿宋_GB2312" w:hAnsi="Times New Roman" w:hint="eastAsia"/>
          <w:color w:val="000000"/>
          <w:kern w:val="0"/>
          <w:sz w:val="32"/>
          <w:szCs w:val="32"/>
        </w:rPr>
        <w:t>3</w:t>
      </w:r>
      <w:r>
        <w:rPr>
          <w:rFonts w:ascii="Times New Roman" w:eastAsia="仿宋_GB2312" w:hAnsi="Times New Roman"/>
          <w:color w:val="000000"/>
          <w:kern w:val="0"/>
          <w:sz w:val="32"/>
          <w:szCs w:val="32"/>
        </w:rPr>
        <w:t>有关实验操作中涉及试剂的安全性提示，包括对有毒有害物质的防护及危险物品的处理方法等。</w:t>
      </w:r>
    </w:p>
    <w:p w:rsidR="002F619A" w:rsidRDefault="00B32101" w:rsidP="00B735C7">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12.</w:t>
      </w:r>
      <w:r>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荧光染料在光照条件下容易淬灭。为降低该影响，对所有含荧光探针的溶液，包括杂交后样本载玻片均应尽量避免或者减少在光照条件下保存和处理。</w:t>
      </w:r>
    </w:p>
    <w:p w:rsidR="002F619A" w:rsidRDefault="00B32101" w:rsidP="00B735C7">
      <w:pPr>
        <w:spacing w:line="520" w:lineRule="exact"/>
        <w:ind w:firstLineChars="200" w:firstLine="640"/>
        <w:jc w:val="left"/>
        <w:rPr>
          <w:rFonts w:eastAsia="仿宋_GB2312"/>
          <w:color w:val="000000"/>
          <w:kern w:val="0"/>
          <w:sz w:val="32"/>
          <w:szCs w:val="32"/>
        </w:rPr>
      </w:pPr>
      <w:r>
        <w:rPr>
          <w:rFonts w:ascii="Times New Roman" w:eastAsia="仿宋_GB2312" w:hAnsi="Times New Roman"/>
          <w:color w:val="000000"/>
          <w:kern w:val="0"/>
          <w:sz w:val="32"/>
          <w:szCs w:val="32"/>
        </w:rPr>
        <w:t>12.</w:t>
      </w: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使用校准过的温度计测定溶液、水浴槽和温箱温度。</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黑体" w:hAnsi="Times New Roman" w:cs="宋体" w:hint="eastAsia"/>
          <w:color w:val="000000"/>
          <w:sz w:val="32"/>
          <w:szCs w:val="32"/>
        </w:rPr>
        <w:t>三</w:t>
      </w:r>
      <w:r>
        <w:rPr>
          <w:rFonts w:ascii="Times New Roman" w:eastAsia="黑体" w:hAnsi="Times New Roman" w:cs="宋体" w:hint="eastAsia"/>
          <w:bCs/>
          <w:color w:val="000000"/>
          <w:sz w:val="32"/>
          <w:szCs w:val="32"/>
        </w:rPr>
        <w:t>、参考文献</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《体外诊断试剂注册与备案管理办法》</w:t>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（国家市场监督管理总局令第</w:t>
      </w:r>
      <w:r>
        <w:rPr>
          <w:rFonts w:ascii="Times New Roman" w:eastAsia="仿宋_GB2312" w:hAnsi="Times New Roman" w:cs="宋体"/>
          <w:color w:val="000000"/>
          <w:sz w:val="32"/>
          <w:szCs w:val="32"/>
        </w:rPr>
        <w:t>48</w:t>
      </w:r>
      <w:r>
        <w:rPr>
          <w:rFonts w:ascii="Times New Roman" w:eastAsia="仿宋_GB2312" w:hAnsi="Times New Roman" w:cs="宋体" w:hint="eastAsia"/>
          <w:color w:val="000000"/>
          <w:sz w:val="32"/>
          <w:szCs w:val="32"/>
        </w:rPr>
        <w:t>号</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关于公布体外诊断试剂注册申报资料要求和批准证明文件格式的公告》</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（国家药品监督管理局公告</w:t>
      </w:r>
      <w:r>
        <w:rPr>
          <w:rFonts w:ascii="Times New Roman" w:eastAsia="仿宋_GB2312" w:hAnsi="Times New Roman" w:cs="宋体"/>
          <w:color w:val="000000"/>
          <w:sz w:val="32"/>
          <w:szCs w:val="32"/>
        </w:rPr>
        <w:t>2021</w:t>
      </w:r>
      <w:r>
        <w:rPr>
          <w:rFonts w:ascii="Times New Roman" w:eastAsia="仿宋_GB2312" w:hAnsi="Times New Roman" w:cs="宋体"/>
          <w:color w:val="000000"/>
          <w:sz w:val="32"/>
          <w:szCs w:val="32"/>
        </w:rPr>
        <w:t>年第</w:t>
      </w:r>
      <w:r>
        <w:rPr>
          <w:rFonts w:ascii="Times New Roman" w:eastAsia="仿宋_GB2312" w:hAnsi="Times New Roman" w:cs="宋体"/>
          <w:color w:val="000000"/>
          <w:sz w:val="32"/>
          <w:szCs w:val="32"/>
        </w:rPr>
        <w:t>122</w:t>
      </w:r>
      <w:r>
        <w:rPr>
          <w:rFonts w:ascii="Times New Roman" w:eastAsia="仿宋_GB2312" w:hAnsi="Times New Roman" w:cs="宋体"/>
          <w:color w:val="000000"/>
          <w:sz w:val="32"/>
          <w:szCs w:val="32"/>
        </w:rPr>
        <w:t>号）</w:t>
      </w:r>
      <w:r>
        <w:rPr>
          <w:rFonts w:ascii="Times New Roman" w:eastAsia="仿宋_GB2312" w:hAnsi="Times New Roman" w:cs="宋体"/>
          <w:color w:val="000000"/>
          <w:sz w:val="32"/>
          <w:szCs w:val="32"/>
        </w:rPr>
        <w:t>[Z].</w:t>
      </w:r>
    </w:p>
    <w:p w:rsidR="002F619A" w:rsidRDefault="00B32101" w:rsidP="00B735C7">
      <w:pPr>
        <w:spacing w:line="520" w:lineRule="exact"/>
        <w:ind w:firstLineChars="200" w:firstLine="600"/>
        <w:rPr>
          <w:rFonts w:ascii="Times New Roman" w:eastAsia="仿宋_GB2312" w:hAnsi="Times New Roman" w:cs="宋体"/>
          <w:color w:val="000000"/>
          <w:sz w:val="32"/>
          <w:szCs w:val="32"/>
        </w:rPr>
      </w:pPr>
      <w:r>
        <w:rPr>
          <w:rFonts w:ascii="Times New Roman" w:eastAsia="仿宋_GB2312" w:hAnsi="Times New Roman" w:cs="宋体"/>
          <w:color w:val="000000"/>
          <w:sz w:val="30"/>
          <w:szCs w:val="32"/>
        </w:rPr>
        <w:t>[</w:t>
      </w: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《体外诊断试剂临床试验技术指导原则》</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（国家药品监督管理局通告</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年第</w:t>
      </w:r>
      <w:r>
        <w:rPr>
          <w:rFonts w:ascii="Times New Roman" w:eastAsia="仿宋_GB2312" w:hAnsi="Times New Roman" w:cs="宋体"/>
          <w:color w:val="000000"/>
          <w:sz w:val="32"/>
          <w:szCs w:val="32"/>
        </w:rPr>
        <w:t>72</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619A" w:rsidRDefault="00B32101" w:rsidP="00B735C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4]</w:t>
      </w:r>
      <w:r>
        <w:rPr>
          <w:rFonts w:ascii="Times New Roman" w:eastAsia="仿宋_GB2312" w:hAnsi="Times New Roman" w:cs="宋体" w:hint="eastAsia"/>
          <w:color w:val="000000"/>
          <w:sz w:val="32"/>
          <w:szCs w:val="32"/>
        </w:rPr>
        <w:t>《定性检测体外诊断试剂分析性能评估注册审查指导原则》</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（国家药监局医疗器械技术审评中心</w:t>
      </w:r>
      <w:r>
        <w:rPr>
          <w:rFonts w:ascii="Times New Roman" w:eastAsia="仿宋_GB2312" w:hAnsi="Times New Roman" w:cs="宋体" w:hint="eastAsia"/>
          <w:color w:val="000000"/>
          <w:sz w:val="32"/>
          <w:szCs w:val="32"/>
        </w:rPr>
        <w:t>2022</w:t>
      </w:r>
      <w:r>
        <w:rPr>
          <w:rFonts w:ascii="Times New Roman" w:eastAsia="仿宋_GB2312" w:hAnsi="Times New Roman" w:cs="宋体" w:hint="eastAsia"/>
          <w:color w:val="000000"/>
          <w:sz w:val="32"/>
          <w:szCs w:val="32"/>
        </w:rPr>
        <w:t>年第</w:t>
      </w:r>
      <w:r>
        <w:rPr>
          <w:rFonts w:ascii="Times New Roman" w:eastAsia="仿宋_GB2312" w:hAnsi="Times New Roman" w:cs="宋体" w:hint="eastAsia"/>
          <w:color w:val="000000"/>
          <w:sz w:val="32"/>
          <w:szCs w:val="32"/>
        </w:rPr>
        <w:t>36</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619A" w:rsidRDefault="002F619A" w:rsidP="00B735C7">
      <w:pPr>
        <w:spacing w:line="520" w:lineRule="exact"/>
        <w:ind w:firstLineChars="200" w:firstLine="640"/>
        <w:rPr>
          <w:rFonts w:ascii="Times New Roman" w:eastAsia="仿宋_GB2312" w:hAnsi="Times New Roman"/>
          <w:color w:val="000000"/>
          <w:sz w:val="32"/>
          <w:szCs w:val="32"/>
          <w:highlight w:val="yellow"/>
        </w:rPr>
      </w:pPr>
    </w:p>
    <w:sectPr w:rsidR="002F619A">
      <w:pgSz w:w="11906" w:h="16838"/>
      <w:pgMar w:top="1440" w:right="1486" w:bottom="1440" w:left="16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D6" w:rsidRDefault="00D807D6" w:rsidP="00D807D6">
      <w:r>
        <w:separator/>
      </w:r>
    </w:p>
  </w:endnote>
  <w:endnote w:type="continuationSeparator" w:id="0">
    <w:p w:rsidR="00D807D6" w:rsidRDefault="00D807D6" w:rsidP="00D8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default"/>
    <w:sig w:usb0="004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D6" w:rsidRDefault="00D807D6" w:rsidP="00D807D6">
      <w:r>
        <w:separator/>
      </w:r>
    </w:p>
  </w:footnote>
  <w:footnote w:type="continuationSeparator" w:id="0">
    <w:p w:rsidR="00D807D6" w:rsidRDefault="00D807D6" w:rsidP="00D80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A1432"/>
    <w:multiLevelType w:val="singleLevel"/>
    <w:tmpl w:val="8ECA143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6F"/>
    <w:rsid w:val="000060FB"/>
    <w:rsid w:val="00007375"/>
    <w:rsid w:val="000146DB"/>
    <w:rsid w:val="00030624"/>
    <w:rsid w:val="00035102"/>
    <w:rsid w:val="0003713F"/>
    <w:rsid w:val="000418CE"/>
    <w:rsid w:val="00053149"/>
    <w:rsid w:val="00061AC0"/>
    <w:rsid w:val="00075344"/>
    <w:rsid w:val="00076AEF"/>
    <w:rsid w:val="00085073"/>
    <w:rsid w:val="000935DB"/>
    <w:rsid w:val="00093B6A"/>
    <w:rsid w:val="000A1748"/>
    <w:rsid w:val="000A5931"/>
    <w:rsid w:val="000A618D"/>
    <w:rsid w:val="000B7605"/>
    <w:rsid w:val="000C0804"/>
    <w:rsid w:val="000C569A"/>
    <w:rsid w:val="000C76B5"/>
    <w:rsid w:val="000D43EC"/>
    <w:rsid w:val="000E19BA"/>
    <w:rsid w:val="000E2032"/>
    <w:rsid w:val="000E3F63"/>
    <w:rsid w:val="000F7E50"/>
    <w:rsid w:val="001063C6"/>
    <w:rsid w:val="001066FC"/>
    <w:rsid w:val="0012241C"/>
    <w:rsid w:val="00125549"/>
    <w:rsid w:val="00140CC7"/>
    <w:rsid w:val="00144849"/>
    <w:rsid w:val="00155B15"/>
    <w:rsid w:val="00163FB3"/>
    <w:rsid w:val="00166BC4"/>
    <w:rsid w:val="0016724A"/>
    <w:rsid w:val="00167C48"/>
    <w:rsid w:val="00170CD4"/>
    <w:rsid w:val="00170FC1"/>
    <w:rsid w:val="00172623"/>
    <w:rsid w:val="0017294D"/>
    <w:rsid w:val="00176FCF"/>
    <w:rsid w:val="00184C99"/>
    <w:rsid w:val="00197B36"/>
    <w:rsid w:val="001B34F6"/>
    <w:rsid w:val="001C26C7"/>
    <w:rsid w:val="001C6503"/>
    <w:rsid w:val="001C7A57"/>
    <w:rsid w:val="001D1CCD"/>
    <w:rsid w:val="001D2E51"/>
    <w:rsid w:val="001E0C6A"/>
    <w:rsid w:val="001E3AC8"/>
    <w:rsid w:val="001E72E7"/>
    <w:rsid w:val="001F05C2"/>
    <w:rsid w:val="0021335A"/>
    <w:rsid w:val="002146CF"/>
    <w:rsid w:val="00227D0E"/>
    <w:rsid w:val="00234A2F"/>
    <w:rsid w:val="00250FC8"/>
    <w:rsid w:val="002523EE"/>
    <w:rsid w:val="0025272D"/>
    <w:rsid w:val="0025592C"/>
    <w:rsid w:val="00256096"/>
    <w:rsid w:val="00270525"/>
    <w:rsid w:val="002A1353"/>
    <w:rsid w:val="002A5D23"/>
    <w:rsid w:val="002A775F"/>
    <w:rsid w:val="002B58F6"/>
    <w:rsid w:val="002B65DB"/>
    <w:rsid w:val="002D6A3E"/>
    <w:rsid w:val="002F42B7"/>
    <w:rsid w:val="002F43A1"/>
    <w:rsid w:val="002F619A"/>
    <w:rsid w:val="002F66F3"/>
    <w:rsid w:val="00301DFD"/>
    <w:rsid w:val="00303DF7"/>
    <w:rsid w:val="00312B77"/>
    <w:rsid w:val="00323C8D"/>
    <w:rsid w:val="00323E9F"/>
    <w:rsid w:val="003240E8"/>
    <w:rsid w:val="0032467D"/>
    <w:rsid w:val="0033186E"/>
    <w:rsid w:val="00331E60"/>
    <w:rsid w:val="00333CBD"/>
    <w:rsid w:val="00347D4E"/>
    <w:rsid w:val="003542D2"/>
    <w:rsid w:val="003846A9"/>
    <w:rsid w:val="00396C99"/>
    <w:rsid w:val="003A131F"/>
    <w:rsid w:val="003B5552"/>
    <w:rsid w:val="003C4013"/>
    <w:rsid w:val="003F031B"/>
    <w:rsid w:val="003F2915"/>
    <w:rsid w:val="003F72C1"/>
    <w:rsid w:val="00401399"/>
    <w:rsid w:val="00401CA9"/>
    <w:rsid w:val="00402290"/>
    <w:rsid w:val="00406661"/>
    <w:rsid w:val="004250BF"/>
    <w:rsid w:val="00430EAF"/>
    <w:rsid w:val="00441C07"/>
    <w:rsid w:val="004442DE"/>
    <w:rsid w:val="0044738B"/>
    <w:rsid w:val="00453FCC"/>
    <w:rsid w:val="00471116"/>
    <w:rsid w:val="004A0AC4"/>
    <w:rsid w:val="004C3286"/>
    <w:rsid w:val="004C4014"/>
    <w:rsid w:val="004C52D5"/>
    <w:rsid w:val="004C5713"/>
    <w:rsid w:val="004E539E"/>
    <w:rsid w:val="004F4CDB"/>
    <w:rsid w:val="004F665B"/>
    <w:rsid w:val="005010EC"/>
    <w:rsid w:val="00501704"/>
    <w:rsid w:val="00502EE0"/>
    <w:rsid w:val="0051252A"/>
    <w:rsid w:val="00512F03"/>
    <w:rsid w:val="00522A3C"/>
    <w:rsid w:val="00523BD3"/>
    <w:rsid w:val="00527F41"/>
    <w:rsid w:val="0053168B"/>
    <w:rsid w:val="005347F1"/>
    <w:rsid w:val="005357C6"/>
    <w:rsid w:val="00542C23"/>
    <w:rsid w:val="00543353"/>
    <w:rsid w:val="00545B89"/>
    <w:rsid w:val="00546455"/>
    <w:rsid w:val="00552440"/>
    <w:rsid w:val="00553994"/>
    <w:rsid w:val="00560A7E"/>
    <w:rsid w:val="00571F4B"/>
    <w:rsid w:val="0057294F"/>
    <w:rsid w:val="00581F00"/>
    <w:rsid w:val="00583E93"/>
    <w:rsid w:val="00585AF8"/>
    <w:rsid w:val="00586DF4"/>
    <w:rsid w:val="005878DF"/>
    <w:rsid w:val="0059196F"/>
    <w:rsid w:val="00591DBE"/>
    <w:rsid w:val="005922C7"/>
    <w:rsid w:val="005927C9"/>
    <w:rsid w:val="005A0AEA"/>
    <w:rsid w:val="005A5342"/>
    <w:rsid w:val="005B1813"/>
    <w:rsid w:val="005B7D71"/>
    <w:rsid w:val="005C7055"/>
    <w:rsid w:val="005D3C08"/>
    <w:rsid w:val="005D447C"/>
    <w:rsid w:val="005D6178"/>
    <w:rsid w:val="005D725D"/>
    <w:rsid w:val="005D763F"/>
    <w:rsid w:val="005E11A5"/>
    <w:rsid w:val="005F40E2"/>
    <w:rsid w:val="005F75F6"/>
    <w:rsid w:val="0060333C"/>
    <w:rsid w:val="00604AC0"/>
    <w:rsid w:val="00632648"/>
    <w:rsid w:val="0063303F"/>
    <w:rsid w:val="0064164B"/>
    <w:rsid w:val="00654E55"/>
    <w:rsid w:val="00672D0B"/>
    <w:rsid w:val="00680476"/>
    <w:rsid w:val="00680FD8"/>
    <w:rsid w:val="00682EB9"/>
    <w:rsid w:val="0068362C"/>
    <w:rsid w:val="00683F54"/>
    <w:rsid w:val="00691522"/>
    <w:rsid w:val="006B5B47"/>
    <w:rsid w:val="006C4360"/>
    <w:rsid w:val="006D5310"/>
    <w:rsid w:val="006E6F89"/>
    <w:rsid w:val="006F1640"/>
    <w:rsid w:val="006F474A"/>
    <w:rsid w:val="00703703"/>
    <w:rsid w:val="00703836"/>
    <w:rsid w:val="00715EEC"/>
    <w:rsid w:val="00724E92"/>
    <w:rsid w:val="00725FD4"/>
    <w:rsid w:val="00733C32"/>
    <w:rsid w:val="00742077"/>
    <w:rsid w:val="007465BE"/>
    <w:rsid w:val="0074701D"/>
    <w:rsid w:val="0075473B"/>
    <w:rsid w:val="00756472"/>
    <w:rsid w:val="00760734"/>
    <w:rsid w:val="0076103F"/>
    <w:rsid w:val="007674F0"/>
    <w:rsid w:val="007726D1"/>
    <w:rsid w:val="00772848"/>
    <w:rsid w:val="00774E79"/>
    <w:rsid w:val="00787951"/>
    <w:rsid w:val="00793AA8"/>
    <w:rsid w:val="007A67D8"/>
    <w:rsid w:val="007B622C"/>
    <w:rsid w:val="007C05DC"/>
    <w:rsid w:val="007C27CF"/>
    <w:rsid w:val="007C2CD3"/>
    <w:rsid w:val="007D3215"/>
    <w:rsid w:val="007D55BF"/>
    <w:rsid w:val="007E1287"/>
    <w:rsid w:val="007E20EA"/>
    <w:rsid w:val="007F10CF"/>
    <w:rsid w:val="007F20B1"/>
    <w:rsid w:val="007F4959"/>
    <w:rsid w:val="007F508A"/>
    <w:rsid w:val="008017D1"/>
    <w:rsid w:val="00803D1A"/>
    <w:rsid w:val="0080452B"/>
    <w:rsid w:val="00805518"/>
    <w:rsid w:val="00806FF8"/>
    <w:rsid w:val="0081124C"/>
    <w:rsid w:val="00823347"/>
    <w:rsid w:val="00825B10"/>
    <w:rsid w:val="008401BC"/>
    <w:rsid w:val="00845803"/>
    <w:rsid w:val="0085455D"/>
    <w:rsid w:val="00856833"/>
    <w:rsid w:val="00857C44"/>
    <w:rsid w:val="00870414"/>
    <w:rsid w:val="00876266"/>
    <w:rsid w:val="00877A21"/>
    <w:rsid w:val="00896124"/>
    <w:rsid w:val="008A3E7D"/>
    <w:rsid w:val="008A68D7"/>
    <w:rsid w:val="008B0252"/>
    <w:rsid w:val="008B066C"/>
    <w:rsid w:val="008B1767"/>
    <w:rsid w:val="008B7EE7"/>
    <w:rsid w:val="008C1848"/>
    <w:rsid w:val="008C613B"/>
    <w:rsid w:val="008F1910"/>
    <w:rsid w:val="008F1A12"/>
    <w:rsid w:val="00901EAD"/>
    <w:rsid w:val="00903966"/>
    <w:rsid w:val="00903A89"/>
    <w:rsid w:val="0091010D"/>
    <w:rsid w:val="00913B9E"/>
    <w:rsid w:val="00915F0C"/>
    <w:rsid w:val="00920617"/>
    <w:rsid w:val="00922374"/>
    <w:rsid w:val="00935337"/>
    <w:rsid w:val="00955A36"/>
    <w:rsid w:val="00971258"/>
    <w:rsid w:val="00982FCE"/>
    <w:rsid w:val="009863D7"/>
    <w:rsid w:val="00992119"/>
    <w:rsid w:val="0099473A"/>
    <w:rsid w:val="009979AD"/>
    <w:rsid w:val="009A6D32"/>
    <w:rsid w:val="009B7415"/>
    <w:rsid w:val="009C4B77"/>
    <w:rsid w:val="009C7522"/>
    <w:rsid w:val="009D3C33"/>
    <w:rsid w:val="009D66DD"/>
    <w:rsid w:val="009E11B4"/>
    <w:rsid w:val="009E1593"/>
    <w:rsid w:val="009E1BE6"/>
    <w:rsid w:val="00A131C0"/>
    <w:rsid w:val="00A17DB8"/>
    <w:rsid w:val="00A25777"/>
    <w:rsid w:val="00A367E7"/>
    <w:rsid w:val="00A4221D"/>
    <w:rsid w:val="00A56B1C"/>
    <w:rsid w:val="00A70FAE"/>
    <w:rsid w:val="00A81103"/>
    <w:rsid w:val="00A9103A"/>
    <w:rsid w:val="00A92399"/>
    <w:rsid w:val="00A97482"/>
    <w:rsid w:val="00A976B9"/>
    <w:rsid w:val="00AA0105"/>
    <w:rsid w:val="00AA15B4"/>
    <w:rsid w:val="00AA1788"/>
    <w:rsid w:val="00AC07E9"/>
    <w:rsid w:val="00AC5033"/>
    <w:rsid w:val="00AC611D"/>
    <w:rsid w:val="00AC7D69"/>
    <w:rsid w:val="00AD5E96"/>
    <w:rsid w:val="00AE3730"/>
    <w:rsid w:val="00AE4F74"/>
    <w:rsid w:val="00AE7166"/>
    <w:rsid w:val="00AF38AC"/>
    <w:rsid w:val="00AF5F0E"/>
    <w:rsid w:val="00B073B7"/>
    <w:rsid w:val="00B07840"/>
    <w:rsid w:val="00B15838"/>
    <w:rsid w:val="00B310A7"/>
    <w:rsid w:val="00B32101"/>
    <w:rsid w:val="00B4463F"/>
    <w:rsid w:val="00B51F39"/>
    <w:rsid w:val="00B5402F"/>
    <w:rsid w:val="00B55AC1"/>
    <w:rsid w:val="00B61DE6"/>
    <w:rsid w:val="00B675AD"/>
    <w:rsid w:val="00B6765C"/>
    <w:rsid w:val="00B735C7"/>
    <w:rsid w:val="00B766D1"/>
    <w:rsid w:val="00B82237"/>
    <w:rsid w:val="00B936D4"/>
    <w:rsid w:val="00BA2398"/>
    <w:rsid w:val="00BA6B11"/>
    <w:rsid w:val="00BB0F47"/>
    <w:rsid w:val="00BB15AA"/>
    <w:rsid w:val="00BB3F76"/>
    <w:rsid w:val="00BB5B5C"/>
    <w:rsid w:val="00BC5874"/>
    <w:rsid w:val="00BF1169"/>
    <w:rsid w:val="00BF1E6F"/>
    <w:rsid w:val="00BF4765"/>
    <w:rsid w:val="00C03DA5"/>
    <w:rsid w:val="00C051C6"/>
    <w:rsid w:val="00C16E17"/>
    <w:rsid w:val="00C17C92"/>
    <w:rsid w:val="00C24CEA"/>
    <w:rsid w:val="00C36901"/>
    <w:rsid w:val="00C45A90"/>
    <w:rsid w:val="00C46335"/>
    <w:rsid w:val="00C47DD7"/>
    <w:rsid w:val="00C52694"/>
    <w:rsid w:val="00C624DD"/>
    <w:rsid w:val="00C738B3"/>
    <w:rsid w:val="00C74621"/>
    <w:rsid w:val="00C77087"/>
    <w:rsid w:val="00C77CB4"/>
    <w:rsid w:val="00C85F5E"/>
    <w:rsid w:val="00C8778C"/>
    <w:rsid w:val="00C9243E"/>
    <w:rsid w:val="00C96F47"/>
    <w:rsid w:val="00C97F4C"/>
    <w:rsid w:val="00CB5B29"/>
    <w:rsid w:val="00CC22AE"/>
    <w:rsid w:val="00CD3DBD"/>
    <w:rsid w:val="00CE2D85"/>
    <w:rsid w:val="00CE3D2F"/>
    <w:rsid w:val="00CE792B"/>
    <w:rsid w:val="00CF24AA"/>
    <w:rsid w:val="00CF5D09"/>
    <w:rsid w:val="00D0075F"/>
    <w:rsid w:val="00D06AF7"/>
    <w:rsid w:val="00D12380"/>
    <w:rsid w:val="00D14F38"/>
    <w:rsid w:val="00D224FA"/>
    <w:rsid w:val="00D23589"/>
    <w:rsid w:val="00D248D3"/>
    <w:rsid w:val="00D30628"/>
    <w:rsid w:val="00D34EAC"/>
    <w:rsid w:val="00D423DB"/>
    <w:rsid w:val="00D45FF0"/>
    <w:rsid w:val="00D51D01"/>
    <w:rsid w:val="00D578B0"/>
    <w:rsid w:val="00D57956"/>
    <w:rsid w:val="00D62DEE"/>
    <w:rsid w:val="00D66182"/>
    <w:rsid w:val="00D7509B"/>
    <w:rsid w:val="00D807D6"/>
    <w:rsid w:val="00D86C34"/>
    <w:rsid w:val="00D936C2"/>
    <w:rsid w:val="00DA3F92"/>
    <w:rsid w:val="00DB30C4"/>
    <w:rsid w:val="00DC397F"/>
    <w:rsid w:val="00DC43AC"/>
    <w:rsid w:val="00DC54F8"/>
    <w:rsid w:val="00DD1966"/>
    <w:rsid w:val="00DD23E0"/>
    <w:rsid w:val="00DD290B"/>
    <w:rsid w:val="00DE2A81"/>
    <w:rsid w:val="00DE349C"/>
    <w:rsid w:val="00DF1B8D"/>
    <w:rsid w:val="00E03911"/>
    <w:rsid w:val="00E03FBA"/>
    <w:rsid w:val="00E14A2A"/>
    <w:rsid w:val="00E20482"/>
    <w:rsid w:val="00E211A2"/>
    <w:rsid w:val="00E2198A"/>
    <w:rsid w:val="00E42884"/>
    <w:rsid w:val="00E434C2"/>
    <w:rsid w:val="00E43ADC"/>
    <w:rsid w:val="00E43CC5"/>
    <w:rsid w:val="00E478AB"/>
    <w:rsid w:val="00E54012"/>
    <w:rsid w:val="00E77EA1"/>
    <w:rsid w:val="00E84BA1"/>
    <w:rsid w:val="00EA2648"/>
    <w:rsid w:val="00EB21CA"/>
    <w:rsid w:val="00EB31AD"/>
    <w:rsid w:val="00EC3C78"/>
    <w:rsid w:val="00ED2692"/>
    <w:rsid w:val="00EE5C19"/>
    <w:rsid w:val="00EF7083"/>
    <w:rsid w:val="00F0036B"/>
    <w:rsid w:val="00F00D47"/>
    <w:rsid w:val="00F0395F"/>
    <w:rsid w:val="00F053A7"/>
    <w:rsid w:val="00F074B5"/>
    <w:rsid w:val="00F269F2"/>
    <w:rsid w:val="00F43331"/>
    <w:rsid w:val="00F46AD0"/>
    <w:rsid w:val="00F4722D"/>
    <w:rsid w:val="00F5329F"/>
    <w:rsid w:val="00F553CA"/>
    <w:rsid w:val="00F627B0"/>
    <w:rsid w:val="00F82930"/>
    <w:rsid w:val="00F93FFB"/>
    <w:rsid w:val="00FA0146"/>
    <w:rsid w:val="00FA1619"/>
    <w:rsid w:val="00FA5267"/>
    <w:rsid w:val="00FB39EE"/>
    <w:rsid w:val="00FC02D6"/>
    <w:rsid w:val="00FC0CC8"/>
    <w:rsid w:val="00FC369E"/>
    <w:rsid w:val="00FD028A"/>
    <w:rsid w:val="00FD0E7C"/>
    <w:rsid w:val="00FD1AB0"/>
    <w:rsid w:val="00FD4124"/>
    <w:rsid w:val="00FE3C73"/>
    <w:rsid w:val="00FE46E6"/>
    <w:rsid w:val="00FF059C"/>
    <w:rsid w:val="00FF21B1"/>
    <w:rsid w:val="023575E5"/>
    <w:rsid w:val="038E2B57"/>
    <w:rsid w:val="04A80B54"/>
    <w:rsid w:val="09D37C67"/>
    <w:rsid w:val="0EBB3118"/>
    <w:rsid w:val="0ECD759D"/>
    <w:rsid w:val="0F024F57"/>
    <w:rsid w:val="0F1C1729"/>
    <w:rsid w:val="0F2E1265"/>
    <w:rsid w:val="0F366274"/>
    <w:rsid w:val="11E10D6E"/>
    <w:rsid w:val="131849E5"/>
    <w:rsid w:val="151C533E"/>
    <w:rsid w:val="15C93C15"/>
    <w:rsid w:val="16A6389D"/>
    <w:rsid w:val="16DF20ED"/>
    <w:rsid w:val="18F6650B"/>
    <w:rsid w:val="1B30457A"/>
    <w:rsid w:val="1C181BFE"/>
    <w:rsid w:val="1C2469CC"/>
    <w:rsid w:val="1DAC0269"/>
    <w:rsid w:val="1EA72D26"/>
    <w:rsid w:val="1FAE5123"/>
    <w:rsid w:val="202B590F"/>
    <w:rsid w:val="24326B99"/>
    <w:rsid w:val="29930359"/>
    <w:rsid w:val="2A9A5193"/>
    <w:rsid w:val="2E670C62"/>
    <w:rsid w:val="32656F65"/>
    <w:rsid w:val="329A626F"/>
    <w:rsid w:val="389A41B8"/>
    <w:rsid w:val="3E075CBD"/>
    <w:rsid w:val="3F395FDE"/>
    <w:rsid w:val="3F7D7318"/>
    <w:rsid w:val="42C37279"/>
    <w:rsid w:val="455A11F9"/>
    <w:rsid w:val="46FF660A"/>
    <w:rsid w:val="47564842"/>
    <w:rsid w:val="49D90A51"/>
    <w:rsid w:val="4A361983"/>
    <w:rsid w:val="4C2E492D"/>
    <w:rsid w:val="4DED0264"/>
    <w:rsid w:val="4E6818A9"/>
    <w:rsid w:val="4FC77AA9"/>
    <w:rsid w:val="5910302D"/>
    <w:rsid w:val="5AF33C18"/>
    <w:rsid w:val="5B0D1EB0"/>
    <w:rsid w:val="5F1F3968"/>
    <w:rsid w:val="636A0DDD"/>
    <w:rsid w:val="63B92EE9"/>
    <w:rsid w:val="63DF2979"/>
    <w:rsid w:val="670F3CDA"/>
    <w:rsid w:val="68D959D0"/>
    <w:rsid w:val="6BFF22DA"/>
    <w:rsid w:val="6DB71F12"/>
    <w:rsid w:val="6DBB131B"/>
    <w:rsid w:val="6E763CEA"/>
    <w:rsid w:val="728E07B0"/>
    <w:rsid w:val="75B70CB9"/>
    <w:rsid w:val="77501831"/>
    <w:rsid w:val="7A087B36"/>
    <w:rsid w:val="7ADE536B"/>
    <w:rsid w:val="7B0D5A57"/>
    <w:rsid w:val="7FF524D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7D5E1BC"/>
  <w15:docId w15:val="{089E86F3-908C-4EC6-83C3-6614E688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
    <w:name w:val="No Spacing"/>
    <w:uiPriority w:val="1"/>
    <w:qFormat/>
    <w:pPr>
      <w:widowControl w:val="0"/>
      <w:jc w:val="both"/>
    </w:pPr>
    <w:rPr>
      <w:rFonts w:ascii="Times New Roman" w:eastAsia="宋体" w:hAnsi="Times New Roman" w:cs="Times New Roman"/>
      <w:kern w:val="2"/>
      <w:sz w:val="21"/>
      <w:szCs w:val="24"/>
    </w:rPr>
  </w:style>
  <w:style w:type="paragraph" w:customStyle="1" w:styleId="1">
    <w:name w:val="修订1"/>
    <w:hidden/>
    <w:uiPriority w:val="99"/>
    <w:semiHidden/>
    <w:qFormat/>
    <w:rPr>
      <w:kern w:val="2"/>
      <w:sz w:val="21"/>
      <w:szCs w:val="22"/>
    </w:rPr>
  </w:style>
  <w:style w:type="paragraph" w:customStyle="1" w:styleId="2">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13330</Words>
  <Characters>1358</Characters>
  <Application>Microsoft Office Word</Application>
  <DocSecurity>0</DocSecurity>
  <Lines>11</Lines>
  <Paragraphs>29</Paragraphs>
  <ScaleCrop>false</ScaleCrop>
  <Company>神州网信技术有限公司</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121</cp:revision>
  <dcterms:created xsi:type="dcterms:W3CDTF">2023-05-29T05:57:00Z</dcterms:created>
  <dcterms:modified xsi:type="dcterms:W3CDTF">2025-11-19T15:19:00Z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BF4171E0987C4A318D96F16E6F36D70E_13</vt:lpwstr>
  </property>
  <property fmtid="{D5CDD505-2E9C-101B-9397-08002B2CF9AE}" pid="4" name="KSOTemplateDocerSaveRecord">
    <vt:lpwstr>eyJoZGlkIjoiNGZjNDI1MDBhN2UxMmU5MDlmNjg4Y2RkZjgzNzBhMjEiLCJ1c2VySWQiOiI0MjY4ODE4MTQifQ==</vt:lpwstr>
  </property>
</Properties>
</file>