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5FB5">
      <w:pPr>
        <w:spacing w:line="520" w:lineRule="exact"/>
        <w:jc w:val="left"/>
        <w:rPr>
          <w:rFonts w:ascii="黑体" w:hAnsi="黑体" w:eastAsia="黑体" w:cs="Times New Roman"/>
          <w:color w:val="000000" w:themeColor="text1"/>
          <w:sz w:val="32"/>
          <w:szCs w:val="32"/>
        </w:rPr>
      </w:pPr>
      <w:bookmarkStart w:id="0" w:name="_GoBack"/>
      <w:bookmarkEnd w:id="0"/>
      <w:r>
        <w:rPr>
          <w:rFonts w:hint="eastAsia" w:ascii="黑体" w:hAnsi="黑体" w:eastAsia="黑体" w:cs="Times New Roman"/>
          <w:color w:val="000000" w:themeColor="text1"/>
          <w:sz w:val="32"/>
          <w:szCs w:val="32"/>
        </w:rPr>
        <w:t>附件</w:t>
      </w:r>
      <w:r>
        <w:rPr>
          <w:rFonts w:ascii="黑体" w:hAnsi="黑体" w:eastAsia="黑体" w:cs="Times New Roman"/>
          <w:color w:val="000000" w:themeColor="text1"/>
          <w:sz w:val="32"/>
          <w:szCs w:val="32"/>
        </w:rPr>
        <w:t>1</w:t>
      </w:r>
    </w:p>
    <w:p w14:paraId="3871544A">
      <w:pPr>
        <w:spacing w:line="520" w:lineRule="exact"/>
        <w:jc w:val="center"/>
        <w:rPr>
          <w:rFonts w:ascii="Times New Roman" w:hAnsi="Times New Roman" w:eastAsia="方正小标宋简体" w:cs="Times New Roman"/>
          <w:color w:val="000000" w:themeColor="text1"/>
          <w:sz w:val="44"/>
          <w:szCs w:val="44"/>
        </w:rPr>
      </w:pPr>
    </w:p>
    <w:p w14:paraId="4F9AB1AA">
      <w:pPr>
        <w:spacing w:line="52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医用电子直线加速器技术审评要点</w:t>
      </w:r>
    </w:p>
    <w:p w14:paraId="596BFA94">
      <w:pPr>
        <w:spacing w:line="520" w:lineRule="exact"/>
        <w:ind w:firstLine="640" w:firstLineChars="200"/>
        <w:rPr>
          <w:rFonts w:ascii="Times New Roman" w:hAnsi="Times New Roman" w:eastAsia="仿宋_GB2312" w:cs="Times New Roman"/>
          <w:sz w:val="32"/>
          <w:szCs w:val="32"/>
        </w:rPr>
      </w:pPr>
    </w:p>
    <w:p w14:paraId="34AF759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本审评要点旨在指导注册申请人对医用电子直线加速器产品注册申报资料的准备及撰写，同时也为技术审评部门审评注册申报资料提供参考。</w:t>
      </w:r>
    </w:p>
    <w:p w14:paraId="3718F84B">
      <w:pPr>
        <w:spacing w:line="520" w:lineRule="exact"/>
        <w:ind w:firstLine="640" w:firstLineChars="200"/>
        <w:rPr>
          <w:rFonts w:ascii="Times New Roman" w:hAnsi="Times New Roman" w:eastAsia="方正小标宋简体" w:cs="Times New Roman"/>
          <w:color w:val="000000" w:themeColor="text1"/>
          <w:sz w:val="44"/>
          <w:szCs w:val="44"/>
        </w:rPr>
      </w:pPr>
      <w:r>
        <w:rPr>
          <w:rFonts w:ascii="Times New Roman" w:hAnsi="Times New Roman" w:eastAsia="仿宋_GB2312" w:cs="Times New Roman"/>
          <w:sz w:val="32"/>
          <w:szCs w:val="32"/>
        </w:rPr>
        <w:t>本审评要点是对医用电子直线加速器产品的一般要求，不包含临床评价内容，注册申请人应依据产品的具体特性确定其中内容是否适用，若不适用，需具体阐述理由及相应的科学依据，并依据产品的具体特性对注册申报资料的内容进行充实和细化。</w:t>
      </w:r>
    </w:p>
    <w:p w14:paraId="32934DA8">
      <w:pPr>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14D053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本审评要点适用于医用电子直线加速器产品注册,按现行《医疗器械分类目录》，该类产品分类编码为05-01-01，管理类别为三类。</w:t>
      </w:r>
    </w:p>
    <w:p w14:paraId="0732B470">
      <w:pPr>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二、基本要求</w:t>
      </w:r>
    </w:p>
    <w:p w14:paraId="38795DE6">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（一）申报资料要求</w:t>
      </w:r>
    </w:p>
    <w:p w14:paraId="2B4A3ABE">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参照《关于公布医疗器械注册申报资料要求和批准证明文件格式的公告（2021年第121号）》提交。</w:t>
      </w:r>
    </w:p>
    <w:p w14:paraId="29A6784F">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（二）指导原则适用情况</w:t>
      </w:r>
    </w:p>
    <w:p w14:paraId="763F96D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见附录1。</w:t>
      </w:r>
    </w:p>
    <w:p w14:paraId="211702B5">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（三）标准适用情况</w:t>
      </w:r>
    </w:p>
    <w:p w14:paraId="6134E126">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见附录2。</w:t>
      </w:r>
    </w:p>
    <w:p w14:paraId="24B0DEF5">
      <w:pPr>
        <w:spacing w:line="520" w:lineRule="exact"/>
        <w:ind w:firstLine="640" w:firstLineChars="200"/>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三、审评主要关注点</w:t>
      </w:r>
    </w:p>
    <w:p w14:paraId="6CD0B3D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参照相关法规、规章、指导原则、标准，结合下列关注点开展技术审评。</w:t>
      </w:r>
    </w:p>
    <w:p w14:paraId="67ED170A">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（一）产品类别</w:t>
      </w:r>
    </w:p>
    <w:p w14:paraId="7107B3AD">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《医疗器械分类目录》2017版05放射治疗器械，一级产品类别：01放射治疗设备，二级产品类别：01医用电子加速器。</w:t>
      </w:r>
      <w:r>
        <w:rPr>
          <w:rFonts w:ascii="Times New Roman" w:hAnsi="Times New Roman" w:eastAsia="仿宋_GB2312" w:cs="Times New Roman"/>
          <w:bCs/>
          <w:color w:val="000000" w:themeColor="text1"/>
          <w:sz w:val="32"/>
          <w:szCs w:val="32"/>
        </w:rPr>
        <w:t>作为第三类医疗器械管理。</w:t>
      </w:r>
    </w:p>
    <w:p w14:paraId="26863BA9">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（二）器械描述</w:t>
      </w:r>
    </w:p>
    <w:p w14:paraId="2B27D9C5">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1.产品描述</w:t>
      </w:r>
    </w:p>
    <w:p w14:paraId="0335AF45">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预期用途、工作原理的介绍，产品技术特性及临床验证结果应支持申报的预期用途。</w:t>
      </w:r>
    </w:p>
    <w:p w14:paraId="2551103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外观构造，整个系统的完整描述，包括系统设计以及各部件之间相互连接的图形化描述。</w:t>
      </w:r>
    </w:p>
    <w:p w14:paraId="7467641A">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设备硬件的完整描述，包括所有组成部分。应给出有标记的图示（如图表、照片和图纸），清楚地标识关键部件/组件，其中包括充分的解释来方便理解这些图示。</w:t>
      </w:r>
    </w:p>
    <w:p w14:paraId="3A49ED9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与设备物理性能相关的设备属性的完整描述。描述应包含整个图像系统及系统各部件的技术特性和规范。系统整体性能参数，产品各部分工作原理和性能参数。</w:t>
      </w:r>
    </w:p>
    <w:p w14:paraId="7B3BB428">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相对于市场上同类常规产品的创新性技术、设计和应用的介绍。</w:t>
      </w:r>
    </w:p>
    <w:p w14:paraId="02CDEC66">
      <w:pPr>
        <w:spacing w:line="520" w:lineRule="exact"/>
        <w:ind w:firstLine="640" w:firstLineChars="200"/>
        <w:outlineLvl w:val="2"/>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2.型号规格</w:t>
      </w:r>
    </w:p>
    <w:p w14:paraId="20ED4E1C">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14:paraId="200FFCA6">
      <w:pPr>
        <w:spacing w:line="520" w:lineRule="exact"/>
        <w:ind w:firstLine="640" w:firstLineChars="200"/>
        <w:outlineLvl w:val="2"/>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3.研发历程</w:t>
      </w:r>
    </w:p>
    <w:p w14:paraId="6B35D09F">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阐述申请注册产品的研发背景和目的。如有参考的同类产品或前代产品，应当提供同类产品或前代产品的信息，并说明选择其作为研发参考的原因。</w:t>
      </w:r>
    </w:p>
    <w:p w14:paraId="2EA6F3C5">
      <w:pPr>
        <w:spacing w:line="520" w:lineRule="exact"/>
        <w:ind w:firstLine="640" w:firstLineChars="200"/>
        <w:outlineLvl w:val="2"/>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4.与同类和/或前代产品的参考和比较</w:t>
      </w:r>
    </w:p>
    <w:p w14:paraId="7D1DDDEB">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Cs/>
          <w:color w:val="000000"/>
          <w:sz w:val="32"/>
          <w:szCs w:val="32"/>
        </w:rPr>
        <w:t>列表比较说明申报产品与同类产品和/或前代产品在工作原理、结构组成、制造材料、性能指标、作用方式，以及适用范围等方面的异同。</w:t>
      </w:r>
    </w:p>
    <w:p w14:paraId="5F7913C7">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（三）产品技术要求及检测报告</w:t>
      </w:r>
    </w:p>
    <w:p w14:paraId="58C90B2B">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1.产品技术要求</w:t>
      </w:r>
    </w:p>
    <w:p w14:paraId="52D78C49">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产品技术要求应符合《医疗器械产品技术要求编写指导原则》要求。性能指标和安全要求应包含加速器部分、KV级X射线成像影像引导装置（如含）、 MV级X射线成像影像引导装置（如含）、多元限束装置（如含）、呼吸门控（或接口）（如含）或其它呼吸追踪方式（如含）、治疗计划系统（如含）、治疗记录和验证系统（如含）、软件控制系统功能等要求。</w:t>
      </w:r>
    </w:p>
    <w:p w14:paraId="7375CADB">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2.检测报告</w:t>
      </w:r>
    </w:p>
    <w:p w14:paraId="64C71DC9">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检测典型性选择</w:t>
      </w:r>
    </w:p>
    <w:p w14:paraId="57FB857B">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应选择功能最全，最具典型性的产品进行检测。不能互相涵盖时应分别检测。</w:t>
      </w:r>
    </w:p>
    <w:p w14:paraId="02F75A26">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不同能量分档应分别检测。</w:t>
      </w:r>
    </w:p>
    <w:p w14:paraId="66E9459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普通剂量率模式、高剂量率（非均整）模式应分别检测。</w:t>
      </w:r>
    </w:p>
    <w:p w14:paraId="41A79FD7">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多叶光栅结构差异较大的，应分别检测。普通多叶光栅、高精度小多叶光栅，应分别检测。</w:t>
      </w:r>
    </w:p>
    <w:p w14:paraId="03C82785">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影像引导系统：发生器不同应分别检测，探测器不同应分别检测。</w:t>
      </w:r>
    </w:p>
    <w:p w14:paraId="458FB69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如果治疗床的承重大于135kg，应按实际承重检测。</w:t>
      </w:r>
    </w:p>
    <w:p w14:paraId="7E469607">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电磁兼容检测</w:t>
      </w:r>
    </w:p>
    <w:p w14:paraId="3A726BD9">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产品的所有组成部分（包括选配件、不同配置），所有申报型号，都应送检。检测机构可对送检型号、配置进行分析；选取典型型号检测，检测报告中应阐述典型型号、配置的选择理由。</w:t>
      </w:r>
    </w:p>
    <w:p w14:paraId="0D388F8D">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工作模式的选择：待机模式、不同射线（X射线、电子线）、不同的能量分档、不同的治疗模式、不同组件的运动状态（静止、运动）、图像引导装置的不同工作模式、多元限束装置的不同运动模式、呼吸门控的工作模式等均应进行检测。</w:t>
      </w:r>
    </w:p>
    <w:p w14:paraId="0FF81AD7">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（四）研究资料</w:t>
      </w:r>
    </w:p>
    <w:p w14:paraId="7F887A0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14:paraId="5F037AB7">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具体要求参照《关于公布医疗器械注册申报资料要求和批准证明文件格式的公告（2021年第121号）》和本文第二章中列出各指导原则中的相关要求。</w:t>
      </w:r>
    </w:p>
    <w:p w14:paraId="13A0C7C2">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1.性能研究</w:t>
      </w:r>
    </w:p>
    <w:p w14:paraId="55CE1BB8">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性能指标应包含功能性、安全性指标以及与质量控制相关的其他指标。</w:t>
      </w:r>
    </w:p>
    <w:p w14:paraId="5ED1B28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量效关系和能量安全研究：应当提供量效关系和能量安全性研究资料，提供证明治疗参数设置的安全性、有效性、合理性，以及除预期靶组织外，能量不会对正常组织造成不可接受的伤害的研究资料。</w:t>
      </w:r>
    </w:p>
    <w:p w14:paraId="6ADD056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合使用：如申报产品预期与其他医疗器械、非医疗器械产品联合使用实现同一预期用途，应当提供证明联合使用安全有效的研究资料，包括互联基本信息（连接类型、接口、协议、最低性能）、联合使用风险及控制措施、联合使用上的限制，兼容性研究等。</w:t>
      </w:r>
    </w:p>
    <w:p w14:paraId="1B05F1D8">
      <w:pPr>
        <w:spacing w:line="520" w:lineRule="exact"/>
        <w:ind w:firstLine="640" w:firstLineChars="200"/>
        <w:outlineLvl w:val="2"/>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sz w:val="32"/>
          <w:szCs w:val="32"/>
        </w:rPr>
        <w:t>电气系统安全性研究</w:t>
      </w:r>
    </w:p>
    <w:p w14:paraId="29DDBCB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应当提供电气安全性、机械和环境保护以及电磁兼容性的研究资料，说明适用的标准以及开展的研究。</w:t>
      </w:r>
    </w:p>
    <w:p w14:paraId="4D611F88">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3.辐射安全研究</w:t>
      </w:r>
    </w:p>
    <w:p w14:paraId="223A66D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应当提供辐射安全的研究资料，包括：</w:t>
      </w:r>
    </w:p>
    <w:p w14:paraId="5534CEEA">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说明符合的辐射安全通用及专用标准,对于标准中的不适用条款应详细说明理由；</w:t>
      </w:r>
    </w:p>
    <w:p w14:paraId="0D227E15">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说明辐射的类型并提供辐射安全验证资料，应确保辐射能量、辐射分布以及其他辐射关键特性能够得到合理的控制和调整，并可在使用过程中进行预估、监控。</w:t>
      </w:r>
    </w:p>
    <w:p w14:paraId="66CE2554">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提供减少使用者、他人和患者在运输、贮存、安装、使用中辐射吸收剂量的防护措施，避免误用的方法。应当明确有关验收和性能测试、验收标准及维护程序的信息。</w:t>
      </w:r>
    </w:p>
    <w:p w14:paraId="26085B49">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4.软件研究</w:t>
      </w:r>
    </w:p>
    <w:p w14:paraId="4DC68760">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软件研究应按照《医疗器械软件注册技术审查指导原则》、《人工智能医疗器械注册审查指导原则》的要求提交研究资料。软件描述文档应涵盖本产品的全部软件（包括独立软件和软件组件）。产品如包含治疗计划系统、治疗记录与验证系统、治疗管理系统的软件也应包含在描述文档中。</w:t>
      </w:r>
    </w:p>
    <w:p w14:paraId="7F04A91B">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涉及网络安全的产品应按照《医疗器械网络安全注册技术审查指导原则》的要求提交研究资料。</w:t>
      </w:r>
    </w:p>
    <w:p w14:paraId="5B91AD13">
      <w:pPr>
        <w:spacing w:line="520" w:lineRule="exact"/>
        <w:ind w:firstLine="640" w:firstLineChars="200"/>
        <w:outlineLvl w:val="2"/>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rPr>
        <w:t>5.</w:t>
      </w:r>
      <w:r>
        <w:rPr>
          <w:rFonts w:ascii="Times New Roman" w:hAnsi="Times New Roman" w:eastAsia="仿宋_GB2312" w:cs="Times New Roman"/>
          <w:color w:val="000000"/>
          <w:sz w:val="32"/>
          <w:szCs w:val="32"/>
        </w:rPr>
        <w:t>生物学特性研究</w:t>
      </w:r>
    </w:p>
    <w:p w14:paraId="24BD133F">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sz w:val="32"/>
          <w:szCs w:val="32"/>
        </w:rPr>
        <w:t>含有患者直接或间接接触的器械，应当进行生物学评价。</w:t>
      </w:r>
    </w:p>
    <w:p w14:paraId="27C2C468">
      <w:pPr>
        <w:spacing w:line="520" w:lineRule="exact"/>
        <w:ind w:firstLine="640" w:firstLineChars="200"/>
        <w:outlineLvl w:val="2"/>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sz w:val="32"/>
          <w:szCs w:val="32"/>
        </w:rPr>
        <w:t>清洁、消毒研究</w:t>
      </w:r>
    </w:p>
    <w:p w14:paraId="1ADD8695">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使用者清洁和消毒：应当明确推荐的清洗和消毒工艺（方法和参数）、工艺的确定依据以及验证的相关研究资料。</w:t>
      </w:r>
    </w:p>
    <w:p w14:paraId="48339E9D">
      <w:pPr>
        <w:spacing w:line="520" w:lineRule="exact"/>
        <w:ind w:firstLine="640" w:firstLineChars="200"/>
        <w:outlineLvl w:val="2"/>
        <w:rPr>
          <w:rFonts w:ascii="Times New Roman" w:hAnsi="Times New Roman" w:eastAsia="仿宋_GB2312" w:cs="Times New Roman"/>
          <w:bCs/>
          <w:color w:val="000000"/>
          <w:sz w:val="32"/>
          <w:szCs w:val="32"/>
        </w:rPr>
      </w:pPr>
      <w:r>
        <w:rPr>
          <w:rFonts w:ascii="Times New Roman" w:hAnsi="Times New Roman" w:eastAsia="仿宋_GB2312" w:cs="Times New Roman"/>
          <w:color w:val="000000" w:themeColor="text1"/>
          <w:sz w:val="32"/>
          <w:szCs w:val="32"/>
        </w:rPr>
        <w:t>7.</w:t>
      </w:r>
      <w:r>
        <w:rPr>
          <w:rFonts w:ascii="Times New Roman" w:hAnsi="Times New Roman" w:eastAsia="仿宋_GB2312" w:cs="Times New Roman"/>
          <w:bCs/>
          <w:color w:val="000000"/>
          <w:sz w:val="32"/>
          <w:szCs w:val="32"/>
        </w:rPr>
        <w:t>动物试验研究</w:t>
      </w:r>
    </w:p>
    <w:p w14:paraId="2874921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如申报产品和已上市同类产品相比工作原理、作用机理无明显差异，不需要动物试验资料。如有新的工作原理、作用机理的产品申报，可参照《医疗器械动物试验研究技术审查指导原则》（第一部分：决策原则）确认是否需要进行动物试验。开展动物试验时需参照《医疗器械动物试验研究技术审查指导原则》（第二部分：实验设计、实施质量保证）相关要求。</w:t>
      </w:r>
    </w:p>
    <w:p w14:paraId="6375991D">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8.稳定性研究</w:t>
      </w:r>
    </w:p>
    <w:p w14:paraId="3CE5708A">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使用稳定性</w:t>
      </w:r>
    </w:p>
    <w:p w14:paraId="6440586C">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应提供医用电子加速器使用期限的研究资料。关键部件、易损部件的使用期限可单独确定，并提供研究资料。</w:t>
      </w:r>
    </w:p>
    <w:p w14:paraId="2449E5BD">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提供使用稳定性/可靠性研究资料，证明在生产企业规定的使用期限/使用次数内，在正常使用、维护和校准（如适用）情况下，产品的性能功能满足使用要求。</w:t>
      </w:r>
    </w:p>
    <w:p w14:paraId="386B9B88">
      <w:pPr>
        <w:spacing w:line="52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运输稳定性</w:t>
      </w:r>
    </w:p>
    <w:p w14:paraId="5680678B">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23957EBC">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（五）非临床文献</w:t>
      </w:r>
    </w:p>
    <w:p w14:paraId="1AEEF728">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提供与申报产品相关的已发表的非临床研究（如尸体研究、生物力学研究等）文献/书目列表，并提供相关内容的复印件（外文应同时提供翻译件）。如未检索到与申报产品相关的非临床文献/书目，应当提供相关的声明。</w:t>
      </w:r>
    </w:p>
    <w:p w14:paraId="0FED18DD">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（六）说明书</w:t>
      </w:r>
    </w:p>
    <w:p w14:paraId="0D79656C">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关注以下内容：</w:t>
      </w:r>
    </w:p>
    <w:p w14:paraId="1EC1EA38">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1.制造商应根据医用电子加速器的具体功能，确定其临床适用范围，并明确其绝对禁忌症和相对禁忌症。</w:t>
      </w:r>
    </w:p>
    <w:p w14:paraId="7CA3F19D">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2.治疗过程中，有关电子辐射的防护措施，应提示使用者特别注意。</w:t>
      </w:r>
    </w:p>
    <w:p w14:paraId="1AEFC10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3.使用人员资质要求：说明书中应对使用人员的资质和培训给出具体要求。</w:t>
      </w:r>
    </w:p>
    <w:p w14:paraId="53AC31F6">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4.应说明关键部件更换周期、维护周期。强放射性部件的更换、临时储存及维护要求。</w:t>
      </w:r>
    </w:p>
    <w:p w14:paraId="7EDB555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5.应当明确推荐的清洁、消毒和灭菌方法。重复使用的部件应当在说明书中明确重复使用的处理过程，包括清洁、消毒及灭菌的方法和重复使用的次数或者其他限制。</w:t>
      </w:r>
    </w:p>
    <w:p w14:paraId="206E7BE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6.应有专门的章节列出医用电子加速器的主要技术指标（包括附录</w:t>
      </w:r>
      <w:r>
        <w:rPr>
          <w:rFonts w:hint="eastAsia" w:ascii="宋体" w:hAnsi="宋体" w:eastAsia="宋体" w:cs="宋体"/>
          <w:color w:val="000000" w:themeColor="text1"/>
          <w:sz w:val="32"/>
          <w:szCs w:val="32"/>
        </w:rPr>
        <w:t>Ⅲ</w:t>
      </w:r>
      <w:r>
        <w:rPr>
          <w:rFonts w:ascii="Times New Roman" w:hAnsi="Times New Roman" w:eastAsia="仿宋_GB2312" w:cs="Times New Roman"/>
          <w:color w:val="000000" w:themeColor="text1"/>
          <w:sz w:val="32"/>
          <w:szCs w:val="32"/>
        </w:rPr>
        <w:t>中要求的随机文件应该说明的技术指标），或提供列表文件说明所有技术指标的位置。</w:t>
      </w:r>
    </w:p>
    <w:p w14:paraId="5DFD894B">
      <w:pPr>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（七）其他注意事项</w:t>
      </w:r>
    </w:p>
    <w:p w14:paraId="74691C1B">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1.产品名称规范</w:t>
      </w:r>
    </w:p>
    <w:p w14:paraId="0B1D7EAC">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参照《医疗器械分类目录》，名称规范描述为：医用电子直线加速器。</w:t>
      </w:r>
    </w:p>
    <w:p w14:paraId="44B77623">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2.适用范围规范描述</w:t>
      </w:r>
    </w:p>
    <w:p w14:paraId="41BF94D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应明确提供的射线种类（X射线/电子线）,具体功能，如是否可实现立体定向治疗、是否可实现调强、是否有图像引导、是否包含呼吸门控等功能。</w:t>
      </w:r>
    </w:p>
    <w:p w14:paraId="0AAED062">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该类产品通常适用于头颈、颅内、胸腹、四肢实体恶性肿瘤和部分良性肿瘤（和病灶）的放射治疗。对于良性肿瘤和功能性疾病，只能用于放射治疗临床应用成熟、疗效确切的良性肿瘤和功能性疾病的治疗（同时应根据申报产品技术特点和能实现的放疗技术确认）。具体适应症应由临床专家根据实际情况确定。</w:t>
      </w:r>
    </w:p>
    <w:p w14:paraId="7F3ED31E">
      <w:pPr>
        <w:spacing w:line="520" w:lineRule="exact"/>
        <w:ind w:firstLine="640" w:firstLineChars="200"/>
        <w:outlineLvl w:val="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3.注册单元划分</w:t>
      </w:r>
    </w:p>
    <w:p w14:paraId="3C5A8565">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原则上以产品的技术原理、结构组成、性能指标和适用范围为划分依据。</w:t>
      </w:r>
    </w:p>
    <w:p w14:paraId="46B7A1AF">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技术原理不同</w:t>
      </w:r>
    </w:p>
    <w:p w14:paraId="7300BB28">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例如：加速方式不同（行波、驻波）（直线、回旋）应划分为不同的注册单元。</w:t>
      </w:r>
    </w:p>
    <w:p w14:paraId="113F4E0F">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主要组成部件、设计结构不同</w:t>
      </w:r>
    </w:p>
    <w:p w14:paraId="66EF84D3">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例如：加速管的设计结构不同，影像验证系统不同、机架结构设计不同（C型、螺旋断层）应划分为不同的注册单元。</w:t>
      </w:r>
    </w:p>
    <w:p w14:paraId="0BC9F85D">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w:t>
      </w:r>
      <w:r>
        <w:rPr>
          <w:rFonts w:ascii="Times New Roman" w:hAnsi="Times New Roman" w:eastAsia="仿宋_GB2312" w:cs="Times New Roman"/>
          <w:color w:val="000000" w:themeColor="text1"/>
          <w:sz w:val="32"/>
          <w:szCs w:val="32"/>
        </w:rPr>
        <w:t>主要性能指标差异较大，应划分为不同的注册单元。</w:t>
      </w:r>
    </w:p>
    <w:p w14:paraId="7D5AC569">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预期用途差异较大，例如：专门用于立体定向放射治疗的设备和普通放疗的设备应划分为不同的注册单元。</w:t>
      </w:r>
    </w:p>
    <w:p w14:paraId="0B52A3AD">
      <w:pPr>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w:t>
      </w:r>
      <w:r>
        <w:rPr>
          <w:rFonts w:ascii="Times New Roman" w:hAnsi="Times New Roman" w:eastAsia="仿宋_GB2312" w:cs="Times New Roman"/>
          <w:color w:val="000000" w:themeColor="text1"/>
          <w:sz w:val="32"/>
          <w:szCs w:val="32"/>
        </w:rPr>
        <w:t>多叶光栅注册单元划分</w:t>
      </w:r>
    </w:p>
    <w:p w14:paraId="2F083669">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内置多叶光栅不建议单独申报，应和加速器设备一起申报。外置多叶光栅可单独申报，也可和加速器系统一起申报。</w:t>
      </w:r>
    </w:p>
    <w:p w14:paraId="62040C30">
      <w:pPr>
        <w:spacing w:line="520" w:lineRule="exact"/>
        <w:ind w:firstLine="640" w:firstLineChars="200"/>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四、医疗器械安全有效基本要求清单适用性</w:t>
      </w:r>
    </w:p>
    <w:p w14:paraId="4339ED48">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见附录3。</w:t>
      </w:r>
    </w:p>
    <w:p w14:paraId="6C636456">
      <w:pPr>
        <w:widowControl/>
        <w:spacing w:line="520" w:lineRule="atLeast"/>
        <w:jc w:val="left"/>
        <w:outlineLvl w:val="0"/>
        <w:rPr>
          <w:rFonts w:ascii="Times New Roman" w:hAnsi="Times New Roman" w:eastAsia="黑体" w:cs="Times New Roman"/>
          <w:color w:val="000000" w:themeColor="text1"/>
          <w:sz w:val="32"/>
          <w:szCs w:val="32"/>
        </w:rPr>
      </w:pPr>
    </w:p>
    <w:p w14:paraId="7C4D4B3B">
      <w:pPr>
        <w:widowControl/>
        <w:spacing w:line="520" w:lineRule="atLeast"/>
        <w:jc w:val="left"/>
        <w:outlineLvl w:val="0"/>
        <w:rPr>
          <w:rFonts w:ascii="Times New Roman" w:hAnsi="Times New Roman" w:eastAsia="黑体" w:cs="Times New Roman"/>
          <w:color w:val="000000" w:themeColor="text1"/>
          <w:sz w:val="32"/>
          <w:szCs w:val="32"/>
        </w:rPr>
      </w:pPr>
    </w:p>
    <w:p w14:paraId="2E541AFE">
      <w:pPr>
        <w:widowControl/>
        <w:spacing w:line="520" w:lineRule="atLeast"/>
        <w:jc w:val="left"/>
        <w:outlineLvl w:val="0"/>
        <w:rPr>
          <w:rFonts w:ascii="Times New Roman" w:hAnsi="Times New Roman" w:eastAsia="黑体" w:cs="Times New Roman"/>
          <w:color w:val="000000" w:themeColor="text1"/>
          <w:sz w:val="32"/>
          <w:szCs w:val="32"/>
        </w:rPr>
      </w:pPr>
    </w:p>
    <w:p w14:paraId="4EA906D6">
      <w:pPr>
        <w:widowControl/>
        <w:spacing w:line="520" w:lineRule="atLeast"/>
        <w:jc w:val="left"/>
        <w:outlineLvl w:val="0"/>
        <w:rPr>
          <w:rFonts w:ascii="Times New Roman" w:hAnsi="Times New Roman" w:eastAsia="黑体" w:cs="Times New Roman"/>
          <w:color w:val="000000" w:themeColor="text1"/>
          <w:sz w:val="32"/>
          <w:szCs w:val="32"/>
        </w:rPr>
      </w:pPr>
    </w:p>
    <w:p w14:paraId="721E6080">
      <w:pPr>
        <w:widowControl/>
        <w:spacing w:line="520" w:lineRule="atLeast"/>
        <w:jc w:val="left"/>
        <w:outlineLvl w:val="0"/>
        <w:rPr>
          <w:rFonts w:ascii="Times New Roman" w:hAnsi="Times New Roman" w:eastAsia="黑体" w:cs="Times New Roman"/>
          <w:color w:val="000000" w:themeColor="text1"/>
          <w:sz w:val="32"/>
          <w:szCs w:val="32"/>
        </w:rPr>
      </w:pPr>
    </w:p>
    <w:p w14:paraId="0D51FF9D">
      <w:pPr>
        <w:widowControl/>
        <w:spacing w:line="520" w:lineRule="atLeast"/>
        <w:jc w:val="left"/>
        <w:outlineLvl w:val="0"/>
        <w:rPr>
          <w:rFonts w:ascii="Times New Roman" w:hAnsi="Times New Roman" w:eastAsia="黑体" w:cs="Times New Roman"/>
          <w:color w:val="000000" w:themeColor="text1"/>
          <w:sz w:val="32"/>
          <w:szCs w:val="32"/>
        </w:rPr>
      </w:pPr>
    </w:p>
    <w:p w14:paraId="36C211D9">
      <w:pPr>
        <w:widowControl/>
        <w:spacing w:line="520" w:lineRule="atLeast"/>
        <w:jc w:val="left"/>
        <w:outlineLvl w:val="0"/>
        <w:rPr>
          <w:rFonts w:ascii="Times New Roman" w:hAnsi="Times New Roman" w:eastAsia="黑体" w:cs="Times New Roman"/>
          <w:color w:val="000000" w:themeColor="text1"/>
          <w:sz w:val="32"/>
          <w:szCs w:val="32"/>
        </w:rPr>
      </w:pPr>
    </w:p>
    <w:p w14:paraId="218F1F4A">
      <w:pPr>
        <w:widowControl/>
        <w:spacing w:line="520" w:lineRule="atLeast"/>
        <w:jc w:val="left"/>
        <w:outlineLvl w:val="0"/>
        <w:rPr>
          <w:rFonts w:ascii="Times New Roman" w:hAnsi="Times New Roman" w:eastAsia="黑体" w:cs="Times New Roman"/>
          <w:color w:val="000000" w:themeColor="text1"/>
          <w:sz w:val="32"/>
          <w:szCs w:val="32"/>
        </w:rPr>
      </w:pPr>
    </w:p>
    <w:p w14:paraId="08C3F5E0">
      <w:pPr>
        <w:widowControl/>
        <w:spacing w:line="520" w:lineRule="atLeast"/>
        <w:jc w:val="left"/>
        <w:outlineLvl w:val="0"/>
        <w:rPr>
          <w:rFonts w:ascii="Times New Roman" w:hAnsi="Times New Roman" w:eastAsia="黑体" w:cs="Times New Roman"/>
          <w:color w:val="000000" w:themeColor="text1"/>
          <w:sz w:val="32"/>
          <w:szCs w:val="32"/>
        </w:rPr>
      </w:pPr>
    </w:p>
    <w:p w14:paraId="07FE676B">
      <w:pPr>
        <w:widowControl/>
        <w:spacing w:line="520" w:lineRule="atLeast"/>
        <w:jc w:val="left"/>
        <w:outlineLvl w:val="0"/>
        <w:rPr>
          <w:rFonts w:ascii="Times New Roman" w:hAnsi="Times New Roman" w:eastAsia="黑体" w:cs="Times New Roman"/>
          <w:color w:val="000000" w:themeColor="text1"/>
          <w:sz w:val="32"/>
          <w:szCs w:val="32"/>
        </w:rPr>
      </w:pPr>
    </w:p>
    <w:p w14:paraId="08C6B875">
      <w:pPr>
        <w:widowControl/>
        <w:spacing w:line="520" w:lineRule="atLeast"/>
        <w:jc w:val="left"/>
        <w:outlineLvl w:val="0"/>
        <w:rPr>
          <w:rFonts w:ascii="Times New Roman" w:hAnsi="Times New Roman" w:eastAsia="黑体" w:cs="Times New Roman"/>
          <w:color w:val="000000" w:themeColor="text1"/>
          <w:sz w:val="32"/>
          <w:szCs w:val="32"/>
        </w:rPr>
      </w:pPr>
    </w:p>
    <w:p w14:paraId="7B71A66E">
      <w:pPr>
        <w:widowControl/>
        <w:spacing w:line="520" w:lineRule="atLeast"/>
        <w:jc w:val="left"/>
        <w:outlineLvl w:val="0"/>
        <w:rPr>
          <w:rFonts w:ascii="Times New Roman" w:hAnsi="Times New Roman" w:eastAsia="黑体" w:cs="Times New Roman"/>
          <w:color w:val="000000" w:themeColor="text1"/>
          <w:sz w:val="32"/>
          <w:szCs w:val="32"/>
        </w:rPr>
      </w:pPr>
    </w:p>
    <w:p w14:paraId="4F0A4D9E">
      <w:pPr>
        <w:widowControl/>
        <w:spacing w:line="520" w:lineRule="atLeast"/>
        <w:jc w:val="left"/>
        <w:outlineLvl w:val="0"/>
        <w:rPr>
          <w:rFonts w:ascii="Times New Roman" w:hAnsi="Times New Roman" w:eastAsia="黑体" w:cs="Times New Roman"/>
          <w:color w:val="000000" w:themeColor="text1"/>
          <w:sz w:val="32"/>
          <w:szCs w:val="32"/>
        </w:rPr>
      </w:pPr>
    </w:p>
    <w:p w14:paraId="24219F8A">
      <w:pPr>
        <w:widowControl/>
        <w:spacing w:line="520" w:lineRule="atLeast"/>
        <w:jc w:val="left"/>
        <w:outlineLvl w:val="0"/>
        <w:rPr>
          <w:rFonts w:ascii="Times New Roman" w:hAnsi="Times New Roman" w:eastAsia="黑体" w:cs="Times New Roman"/>
          <w:color w:val="000000" w:themeColor="text1"/>
          <w:sz w:val="32"/>
          <w:szCs w:val="32"/>
        </w:rPr>
      </w:pPr>
    </w:p>
    <w:p w14:paraId="000068F3">
      <w:pPr>
        <w:widowControl/>
        <w:spacing w:line="520" w:lineRule="atLeast"/>
        <w:jc w:val="left"/>
        <w:outlineLvl w:val="0"/>
        <w:rPr>
          <w:rFonts w:ascii="Times New Roman" w:hAnsi="Times New Roman" w:eastAsia="黑体" w:cs="Times New Roman"/>
          <w:color w:val="000000" w:themeColor="text1"/>
          <w:sz w:val="32"/>
          <w:szCs w:val="32"/>
        </w:rPr>
      </w:pPr>
    </w:p>
    <w:p w14:paraId="7FFE44B1">
      <w:pPr>
        <w:widowControl/>
        <w:spacing w:line="520" w:lineRule="atLeast"/>
        <w:jc w:val="left"/>
        <w:outlineLvl w:val="0"/>
        <w:rPr>
          <w:rFonts w:ascii="Times New Roman" w:hAnsi="Times New Roman" w:eastAsia="黑体" w:cs="Times New Roman"/>
          <w:color w:val="000000" w:themeColor="text1"/>
          <w:sz w:val="32"/>
          <w:szCs w:val="32"/>
        </w:rPr>
      </w:pPr>
    </w:p>
    <w:p w14:paraId="5FBECD9B">
      <w:pPr>
        <w:widowControl/>
        <w:spacing w:line="520" w:lineRule="atLeast"/>
        <w:jc w:val="left"/>
        <w:outlineLvl w:val="0"/>
        <w:rPr>
          <w:rFonts w:ascii="Times New Roman" w:hAnsi="Times New Roman" w:eastAsia="黑体" w:cs="Times New Roman"/>
          <w:color w:val="000000" w:themeColor="text1"/>
          <w:sz w:val="32"/>
          <w:szCs w:val="32"/>
        </w:rPr>
      </w:pPr>
    </w:p>
    <w:p w14:paraId="07422481">
      <w:pPr>
        <w:widowControl/>
        <w:spacing w:line="520" w:lineRule="atLeast"/>
        <w:jc w:val="left"/>
        <w:outlineLvl w:val="0"/>
        <w:rPr>
          <w:rFonts w:ascii="Times New Roman" w:hAnsi="Times New Roman" w:eastAsia="黑体" w:cs="Times New Roman"/>
          <w:color w:val="000000" w:themeColor="text1"/>
          <w:sz w:val="32"/>
          <w:szCs w:val="32"/>
        </w:rPr>
      </w:pPr>
    </w:p>
    <w:p w14:paraId="520CEEF9">
      <w:pPr>
        <w:widowControl/>
        <w:spacing w:line="520" w:lineRule="atLeast"/>
        <w:jc w:val="left"/>
        <w:outlineLvl w:val="0"/>
        <w:rPr>
          <w:rFonts w:ascii="Times New Roman" w:hAnsi="Times New Roman" w:eastAsia="黑体" w:cs="Times New Roman"/>
          <w:color w:val="000000" w:themeColor="text1"/>
          <w:sz w:val="32"/>
          <w:szCs w:val="32"/>
        </w:rPr>
      </w:pPr>
    </w:p>
    <w:p w14:paraId="0BB377BD">
      <w:pPr>
        <w:widowControl/>
        <w:spacing w:line="520" w:lineRule="atLeast"/>
        <w:jc w:val="left"/>
        <w:outlineLvl w:val="0"/>
        <w:rPr>
          <w:rFonts w:ascii="Times New Roman" w:hAnsi="Times New Roman" w:eastAsia="黑体" w:cs="Times New Roman"/>
          <w:color w:val="000000" w:themeColor="text1"/>
          <w:sz w:val="32"/>
          <w:szCs w:val="32"/>
        </w:rPr>
      </w:pPr>
    </w:p>
    <w:p w14:paraId="52D903DC">
      <w:pPr>
        <w:widowControl/>
        <w:spacing w:line="520" w:lineRule="atLeast"/>
        <w:jc w:val="left"/>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附录1</w:t>
      </w:r>
    </w:p>
    <w:p w14:paraId="62ACFCFC">
      <w:pPr>
        <w:widowControl/>
        <w:snapToGrid w:val="0"/>
        <w:spacing w:line="520" w:lineRule="atLeast"/>
        <w:jc w:val="center"/>
        <w:outlineLvl w:val="0"/>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指导原则适用情况</w:t>
      </w:r>
    </w:p>
    <w:tbl>
      <w:tblPr>
        <w:tblStyle w:val="12"/>
        <w:tblpPr w:leftFromText="180" w:rightFromText="180" w:vertAnchor="text" w:horzAnchor="margin" w:tblpXSpec="center" w:tblpY="3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4191"/>
      </w:tblGrid>
      <w:tr w14:paraId="5C70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181" w:type="dxa"/>
          </w:tcPr>
          <w:p w14:paraId="32D3D89A">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指导原则名称</w:t>
            </w:r>
          </w:p>
        </w:tc>
        <w:tc>
          <w:tcPr>
            <w:tcW w:w="4191" w:type="dxa"/>
          </w:tcPr>
          <w:p w14:paraId="0438FCFA">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适用情况</w:t>
            </w:r>
          </w:p>
        </w:tc>
      </w:tr>
      <w:tr w14:paraId="66B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4181" w:type="dxa"/>
          </w:tcPr>
          <w:p w14:paraId="7B2154C6">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用于放射治疗的X射线图像引导系统注册技术审查指导原则</w:t>
            </w:r>
          </w:p>
        </w:tc>
        <w:tc>
          <w:tcPr>
            <w:tcW w:w="4191" w:type="dxa"/>
          </w:tcPr>
          <w:p w14:paraId="7C51818A">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含X射线图像引导系统的产品，包括MV级和kV级X射线图像引导、平面和立体成像方式实现的图像引导、集成在放射治疗设备上和治疗室内独立于放射治疗设备的图像引导系统。</w:t>
            </w:r>
          </w:p>
        </w:tc>
      </w:tr>
      <w:tr w14:paraId="7C1C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181" w:type="dxa"/>
          </w:tcPr>
          <w:p w14:paraId="6DC151F3">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医疗器械软件注册技术审查指导原则</w:t>
            </w:r>
          </w:p>
        </w:tc>
        <w:tc>
          <w:tcPr>
            <w:tcW w:w="4191" w:type="dxa"/>
          </w:tcPr>
          <w:p w14:paraId="4B494CDD">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包含软件产品适用</w:t>
            </w:r>
          </w:p>
        </w:tc>
      </w:tr>
      <w:tr w14:paraId="06E5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181" w:type="dxa"/>
          </w:tcPr>
          <w:p w14:paraId="73E84065">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医疗器械网络安全注册技术审查指导原则</w:t>
            </w:r>
          </w:p>
        </w:tc>
        <w:tc>
          <w:tcPr>
            <w:tcW w:w="4191" w:type="dxa"/>
          </w:tcPr>
          <w:p w14:paraId="33B7EE7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涉及网络安全产品适用</w:t>
            </w:r>
          </w:p>
        </w:tc>
      </w:tr>
      <w:tr w14:paraId="0439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181" w:type="dxa"/>
          </w:tcPr>
          <w:p w14:paraId="43987A93">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医疗器械产品技术要求编写指导原则</w:t>
            </w:r>
          </w:p>
        </w:tc>
        <w:tc>
          <w:tcPr>
            <w:tcW w:w="4191" w:type="dxa"/>
          </w:tcPr>
          <w:p w14:paraId="1A609E4F">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所有产品适用</w:t>
            </w:r>
          </w:p>
        </w:tc>
      </w:tr>
    </w:tbl>
    <w:p w14:paraId="3066D1F5">
      <w:pPr>
        <w:widowControl/>
        <w:spacing w:line="520" w:lineRule="atLeast"/>
        <w:jc w:val="left"/>
        <w:rPr>
          <w:rFonts w:ascii="Times New Roman" w:hAnsi="Times New Roman" w:eastAsia="黑体" w:cs="Times New Roman"/>
          <w:color w:val="000000" w:themeColor="text1"/>
          <w:sz w:val="32"/>
          <w:szCs w:val="32"/>
        </w:rPr>
      </w:pPr>
    </w:p>
    <w:p w14:paraId="5A8B6451">
      <w:pPr>
        <w:widowControl/>
        <w:spacing w:line="520" w:lineRule="atLeast"/>
        <w:jc w:val="left"/>
        <w:rPr>
          <w:rFonts w:ascii="Times New Roman" w:hAnsi="Times New Roman" w:eastAsia="黑体" w:cs="Times New Roman"/>
          <w:color w:val="000000" w:themeColor="text1"/>
          <w:sz w:val="32"/>
          <w:szCs w:val="32"/>
        </w:rPr>
      </w:pPr>
    </w:p>
    <w:p w14:paraId="35536FA3">
      <w:pPr>
        <w:widowControl/>
        <w:spacing w:line="520" w:lineRule="atLeast"/>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br w:type="page"/>
      </w:r>
    </w:p>
    <w:p w14:paraId="3070CD1F">
      <w:pPr>
        <w:spacing w:line="520" w:lineRule="atLeast"/>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附录2</w:t>
      </w:r>
    </w:p>
    <w:p w14:paraId="4A817137">
      <w:pPr>
        <w:spacing w:line="520" w:lineRule="atLeast"/>
        <w:outlineLvl w:val="0"/>
        <w:rPr>
          <w:rFonts w:ascii="Times New Roman" w:hAnsi="Times New Roman" w:eastAsia="黑体" w:cs="Times New Roman"/>
          <w:color w:val="000000" w:themeColor="text1"/>
          <w:sz w:val="32"/>
          <w:szCs w:val="32"/>
        </w:rPr>
      </w:pPr>
    </w:p>
    <w:p w14:paraId="25276770">
      <w:pPr>
        <w:spacing w:line="520" w:lineRule="exact"/>
        <w:jc w:val="center"/>
        <w:outlineLvl w:val="0"/>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标准适用情况</w:t>
      </w:r>
    </w:p>
    <w:p w14:paraId="007ACBA1">
      <w:pPr>
        <w:spacing w:line="520" w:lineRule="exact"/>
        <w:jc w:val="center"/>
        <w:outlineLvl w:val="0"/>
        <w:rPr>
          <w:rFonts w:ascii="Times New Roman" w:hAnsi="Times New Roman" w:eastAsia="方正小标宋_GBK" w:cs="Times New Roman"/>
          <w:color w:val="000000" w:themeColor="text1"/>
          <w:sz w:val="44"/>
          <w:szCs w:val="44"/>
        </w:rPr>
      </w:pPr>
    </w:p>
    <w:tbl>
      <w:tblPr>
        <w:tblStyle w:val="12"/>
        <w:tblW w:w="858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8"/>
        <w:gridCol w:w="3985"/>
      </w:tblGrid>
      <w:tr w14:paraId="3A0C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5F4BEA37">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9706.1-2007 医用电气设备第一部分：安全通用要求</w:t>
            </w:r>
          </w:p>
        </w:tc>
        <w:tc>
          <w:tcPr>
            <w:tcW w:w="3985" w:type="dxa"/>
          </w:tcPr>
          <w:p w14:paraId="13F4FA95">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所有产品适用</w:t>
            </w:r>
          </w:p>
        </w:tc>
      </w:tr>
      <w:tr w14:paraId="5B52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22AEFFDF">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9706.3-1997医用电气设备第二部分：医用诊断Ｘ射线源组件和Ｘ射线管组件安全专用要求</w:t>
            </w:r>
          </w:p>
        </w:tc>
        <w:tc>
          <w:tcPr>
            <w:tcW w:w="3985" w:type="dxa"/>
          </w:tcPr>
          <w:p w14:paraId="20D680AF">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采用X射线成像图像引导系统的产品适用</w:t>
            </w:r>
          </w:p>
        </w:tc>
      </w:tr>
      <w:tr w14:paraId="3FF6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0818144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9706.5-2008医用电气设备能量为1~50MeV医用电子加速器专用安全要求</w:t>
            </w:r>
          </w:p>
        </w:tc>
        <w:tc>
          <w:tcPr>
            <w:tcW w:w="3985" w:type="dxa"/>
          </w:tcPr>
          <w:p w14:paraId="48C520DF">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所有产品适用</w:t>
            </w:r>
          </w:p>
        </w:tc>
      </w:tr>
      <w:tr w14:paraId="016B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20F01768">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9706.11-1997医用电气设备第二部分：医用诊断Ｘ射线源组件和Ｘ射线管组件安全专用要求</w:t>
            </w:r>
          </w:p>
        </w:tc>
        <w:tc>
          <w:tcPr>
            <w:tcW w:w="3985" w:type="dxa"/>
          </w:tcPr>
          <w:p w14:paraId="7C7BBDD9">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采用X射线成像图像引导系统的产品适用</w:t>
            </w:r>
          </w:p>
        </w:tc>
      </w:tr>
      <w:tr w14:paraId="0A9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4DE40777">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9706.12-1997医用电气设备第一部分：安全通用要求三.并列标准诊断Ｘ射线设备辐射防护通用要求</w:t>
            </w:r>
          </w:p>
        </w:tc>
        <w:tc>
          <w:tcPr>
            <w:tcW w:w="3985" w:type="dxa"/>
          </w:tcPr>
          <w:p w14:paraId="000DF25D">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采用X射线成像图像引导系统的产品适用</w:t>
            </w:r>
          </w:p>
        </w:tc>
      </w:tr>
      <w:tr w14:paraId="0F70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0F409AB0">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9706.14-1997X射线设备附属设备安全专用要求</w:t>
            </w:r>
          </w:p>
        </w:tc>
        <w:tc>
          <w:tcPr>
            <w:tcW w:w="3985" w:type="dxa"/>
          </w:tcPr>
          <w:p w14:paraId="714AE78A">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采用X射线成像图像引导系统的产品适用</w:t>
            </w:r>
          </w:p>
        </w:tc>
      </w:tr>
      <w:tr w14:paraId="63D8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213CC5FD">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0505-2012 医用电气设备第1—2部分安全通用要求并列标准电磁兼容要求和试验</w:t>
            </w:r>
          </w:p>
        </w:tc>
        <w:tc>
          <w:tcPr>
            <w:tcW w:w="3985" w:type="dxa"/>
          </w:tcPr>
          <w:p w14:paraId="31898CC2">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所有产品适用</w:t>
            </w:r>
          </w:p>
        </w:tc>
      </w:tr>
      <w:tr w14:paraId="1BDB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0CCADBFE">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9706.15-2008 医用电气设备第一部分：安全通用要求 1.并列标准：医用电气系统安全要求</w:t>
            </w:r>
          </w:p>
        </w:tc>
        <w:tc>
          <w:tcPr>
            <w:tcW w:w="3985" w:type="dxa"/>
          </w:tcPr>
          <w:p w14:paraId="690816D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医用电气系统适用</w:t>
            </w:r>
          </w:p>
        </w:tc>
      </w:tr>
      <w:tr w14:paraId="3525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252BA4BC">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9706.18-2006医用电气设备第2部分 X射线计算机体层摄影设备安全专用要求</w:t>
            </w:r>
          </w:p>
        </w:tc>
        <w:tc>
          <w:tcPr>
            <w:tcW w:w="3985" w:type="dxa"/>
          </w:tcPr>
          <w:p w14:paraId="6EE8269E">
            <w:pPr>
              <w:spacing w:line="520" w:lineRule="atLeast"/>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含CT的产品适用，含CBCT的产品可参照</w:t>
            </w:r>
          </w:p>
        </w:tc>
      </w:tr>
      <w:tr w14:paraId="5A1F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529D9EAE">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15213-2016医用电子加速器性能和试验方法</w:t>
            </w:r>
          </w:p>
        </w:tc>
        <w:tc>
          <w:tcPr>
            <w:tcW w:w="3985" w:type="dxa"/>
          </w:tcPr>
          <w:p w14:paraId="08AF7AD1">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所有产品适用</w:t>
            </w:r>
          </w:p>
        </w:tc>
      </w:tr>
      <w:tr w14:paraId="3858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5B7721C2">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 7247.1-2012激光产品的安全第1部分：设备分类、要求和用户指南</w:t>
            </w:r>
          </w:p>
        </w:tc>
        <w:tc>
          <w:tcPr>
            <w:tcW w:w="3985" w:type="dxa"/>
          </w:tcPr>
          <w:p w14:paraId="36E0C60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含激光定位的产品适用</w:t>
            </w:r>
          </w:p>
        </w:tc>
      </w:tr>
      <w:tr w14:paraId="5BB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144BB1A3">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0637-2013 医用电气设备放射治疗计划系统的安全要求</w:t>
            </w:r>
          </w:p>
        </w:tc>
        <w:tc>
          <w:tcPr>
            <w:tcW w:w="3985" w:type="dxa"/>
          </w:tcPr>
          <w:p w14:paraId="1D607FB0">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含治疗计划系统的产品适用</w:t>
            </w:r>
          </w:p>
        </w:tc>
      </w:tr>
      <w:tr w14:paraId="68F5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7C1472CC">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0721-2009</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t>医用电气设备放射治疗记录与验证系统的安全</w:t>
            </w:r>
          </w:p>
        </w:tc>
        <w:tc>
          <w:tcPr>
            <w:tcW w:w="3985" w:type="dxa"/>
          </w:tcPr>
          <w:p w14:paraId="374919AD">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含治疗记录与验证系统的产品适用</w:t>
            </w:r>
          </w:p>
        </w:tc>
      </w:tr>
      <w:tr w14:paraId="513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1AC2A6D0">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0775-2010</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t>远距离放射治疗计划系统高能X(γ）射束剂量计算准确性要求和试验方法</w:t>
            </w:r>
          </w:p>
        </w:tc>
        <w:tc>
          <w:tcPr>
            <w:tcW w:w="3985" w:type="dxa"/>
          </w:tcPr>
          <w:p w14:paraId="71231E10">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含远距离放射治疗计划系统的产品适用</w:t>
            </w:r>
          </w:p>
        </w:tc>
      </w:tr>
      <w:tr w14:paraId="3E5B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598" w:type="dxa"/>
          </w:tcPr>
          <w:p w14:paraId="7C1AEEE1">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0106-2008  医用诊断X射线机通用技术条件</w:t>
            </w:r>
          </w:p>
        </w:tc>
        <w:tc>
          <w:tcPr>
            <w:tcW w:w="3985" w:type="dxa"/>
          </w:tcPr>
          <w:p w14:paraId="110D1D1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含X射线成像图像引导系统的产品可参照</w:t>
            </w:r>
          </w:p>
        </w:tc>
      </w:tr>
      <w:tr w14:paraId="1211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598" w:type="dxa"/>
          </w:tcPr>
          <w:p w14:paraId="6B807184">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0888-2013</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t>放射治疗设备中X射线图像引导装置的成像剂量</w:t>
            </w:r>
          </w:p>
        </w:tc>
        <w:tc>
          <w:tcPr>
            <w:tcW w:w="3985" w:type="dxa"/>
          </w:tcPr>
          <w:p w14:paraId="13B8C014">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含X射线成像图像引导系统的产品适用</w:t>
            </w:r>
          </w:p>
        </w:tc>
      </w:tr>
      <w:tr w14:paraId="547B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598" w:type="dxa"/>
          </w:tcPr>
          <w:p w14:paraId="59F3C837">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0889-2013</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t>调强放射治疗计划系统性能和试验方法</w:t>
            </w:r>
          </w:p>
        </w:tc>
        <w:tc>
          <w:tcPr>
            <w:tcW w:w="3985" w:type="dxa"/>
          </w:tcPr>
          <w:p w14:paraId="37C6A6C9">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含调强放射治疗计划的产品适用</w:t>
            </w:r>
          </w:p>
        </w:tc>
      </w:tr>
      <w:tr w14:paraId="20B3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4598" w:type="dxa"/>
          </w:tcPr>
          <w:p w14:paraId="1CC55CB8">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0890-2013</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t>放射治疗中电子射野成像装置性能和试验方法</w:t>
            </w:r>
          </w:p>
        </w:tc>
        <w:tc>
          <w:tcPr>
            <w:tcW w:w="3985" w:type="dxa"/>
          </w:tcPr>
          <w:p w14:paraId="59434575">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含电子射野成像装置的产品适用</w:t>
            </w:r>
          </w:p>
        </w:tc>
      </w:tr>
      <w:tr w14:paraId="1A60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598" w:type="dxa"/>
          </w:tcPr>
          <w:p w14:paraId="4466691E">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0741-2018数字化摄影X射线机专用技术条件</w:t>
            </w:r>
          </w:p>
        </w:tc>
        <w:tc>
          <w:tcPr>
            <w:tcW w:w="3985" w:type="dxa"/>
          </w:tcPr>
          <w:p w14:paraId="6F1FE71E">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含数字X射线图像引导系统的产品可参照</w:t>
            </w:r>
          </w:p>
        </w:tc>
      </w:tr>
      <w:tr w14:paraId="559B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98" w:type="dxa"/>
          </w:tcPr>
          <w:p w14:paraId="11C05D5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0832.1-2011X辐射放射治疗立体定向及计划系统第2部分：头部X辐射放射治疗立体定向及计划系统</w:t>
            </w:r>
          </w:p>
        </w:tc>
        <w:tc>
          <w:tcPr>
            <w:tcW w:w="3985" w:type="dxa"/>
          </w:tcPr>
          <w:p w14:paraId="002F8647">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适用范围包含头部X射线立体定向放射治疗功能的产品适用。</w:t>
            </w:r>
          </w:p>
        </w:tc>
      </w:tr>
      <w:tr w14:paraId="6680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598" w:type="dxa"/>
          </w:tcPr>
          <w:p w14:paraId="382AAB08">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0832.2-2015X辐射放射治疗立体定向及计划系统第2部分：体部X辐射放射治疗立体定向及计划系统</w:t>
            </w:r>
          </w:p>
        </w:tc>
        <w:tc>
          <w:tcPr>
            <w:tcW w:w="3985" w:type="dxa"/>
          </w:tcPr>
          <w:p w14:paraId="700FCA65">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适用范围包含体部X射线立体定向放射治疗功能的产品适用。</w:t>
            </w:r>
          </w:p>
        </w:tc>
      </w:tr>
      <w:tr w14:paraId="36A8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598" w:type="dxa"/>
          </w:tcPr>
          <w:p w14:paraId="49AB1038">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 1650-2019 X射线图像引导放射治疗设备性能和试验方法</w:t>
            </w:r>
          </w:p>
        </w:tc>
        <w:tc>
          <w:tcPr>
            <w:tcW w:w="3985" w:type="dxa"/>
          </w:tcPr>
          <w:p w14:paraId="62DAD045">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含X射线图像引导系统的产品适用。</w:t>
            </w:r>
          </w:p>
        </w:tc>
      </w:tr>
      <w:tr w14:paraId="4A5D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598" w:type="dxa"/>
          </w:tcPr>
          <w:p w14:paraId="4305F1EC">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YY／T 1694-2020 放射治疗用体表光学摆位设备性能和试验方法</w:t>
            </w:r>
          </w:p>
        </w:tc>
        <w:tc>
          <w:tcPr>
            <w:tcW w:w="3985" w:type="dxa"/>
          </w:tcPr>
          <w:p w14:paraId="1402D979">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含体表光学摆位系统的产品适用。</w:t>
            </w:r>
          </w:p>
        </w:tc>
      </w:tr>
      <w:tr w14:paraId="4D66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598" w:type="dxa"/>
          </w:tcPr>
          <w:p w14:paraId="27996593">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GB/T 16886系列标准</w:t>
            </w:r>
          </w:p>
        </w:tc>
        <w:tc>
          <w:tcPr>
            <w:tcW w:w="3985" w:type="dxa"/>
          </w:tcPr>
          <w:p w14:paraId="4AD4ABFB">
            <w:pPr>
              <w:spacing w:line="520" w:lineRule="atLeas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预期直接、间接接触人体产品适用</w:t>
            </w:r>
          </w:p>
        </w:tc>
      </w:tr>
    </w:tbl>
    <w:p w14:paraId="2BBCB59D">
      <w:pPr>
        <w:spacing w:line="520" w:lineRule="atLeast"/>
        <w:rPr>
          <w:rFonts w:ascii="Times New Roman" w:hAnsi="Times New Roman" w:eastAsia="仿宋_GB2312" w:cs="Times New Roman"/>
          <w:color w:val="000000" w:themeColor="text1"/>
          <w:sz w:val="32"/>
          <w:szCs w:val="32"/>
        </w:rPr>
      </w:pPr>
    </w:p>
    <w:p w14:paraId="4B5DFC00">
      <w:pPr>
        <w:widowControl/>
        <w:spacing w:line="520" w:lineRule="atLeast"/>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br w:type="page"/>
      </w:r>
    </w:p>
    <w:p w14:paraId="1E4D18C4">
      <w:pPr>
        <w:spacing w:line="520" w:lineRule="atLeast"/>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附录3</w:t>
      </w:r>
    </w:p>
    <w:p w14:paraId="2B54BE3B">
      <w:pPr>
        <w:spacing w:line="520" w:lineRule="atLeast"/>
        <w:jc w:val="center"/>
        <w:outlineLvl w:val="0"/>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安全有效基本要求清单</w:t>
      </w:r>
    </w:p>
    <w:p w14:paraId="3B458D44">
      <w:pPr>
        <w:spacing w:line="520" w:lineRule="atLeast"/>
        <w:rPr>
          <w:rFonts w:ascii="Times New Roman" w:hAnsi="Times New Roman" w:eastAsia="仿宋_GB2312" w:cs="Times New Roman"/>
          <w:color w:val="000000" w:themeColor="text1"/>
          <w:sz w:val="32"/>
          <w:szCs w:val="32"/>
        </w:rPr>
      </w:pPr>
    </w:p>
    <w:tbl>
      <w:tblPr>
        <w:tblStyle w:val="11"/>
        <w:tblpPr w:leftFromText="180" w:rightFromText="180" w:vertAnchor="text" w:horzAnchor="margin" w:tblpXSpec="center" w:tblpY="1"/>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6610"/>
        <w:gridCol w:w="1182"/>
      </w:tblGrid>
      <w:tr w14:paraId="63D3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88" w:type="dxa"/>
            <w:shd w:val="clear" w:color="auto" w:fill="auto"/>
            <w:vAlign w:val="center"/>
          </w:tcPr>
          <w:p w14:paraId="4AD517A9">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条款号</w:t>
            </w:r>
          </w:p>
        </w:tc>
        <w:tc>
          <w:tcPr>
            <w:tcW w:w="6610" w:type="dxa"/>
            <w:shd w:val="clear" w:color="auto" w:fill="auto"/>
            <w:vAlign w:val="center"/>
          </w:tcPr>
          <w:p w14:paraId="41313DE2">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要求</w:t>
            </w:r>
          </w:p>
        </w:tc>
        <w:tc>
          <w:tcPr>
            <w:tcW w:w="1182" w:type="dxa"/>
            <w:shd w:val="clear" w:color="auto" w:fill="auto"/>
            <w:vAlign w:val="center"/>
          </w:tcPr>
          <w:p w14:paraId="234ABE9D">
            <w:pPr>
              <w:pStyle w:val="22"/>
              <w:spacing w:line="520" w:lineRule="atLeas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适用性</w:t>
            </w:r>
          </w:p>
        </w:tc>
      </w:tr>
      <w:tr w14:paraId="7096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shd w:val="clear" w:color="auto" w:fill="auto"/>
            <w:vAlign w:val="center"/>
          </w:tcPr>
          <w:p w14:paraId="772A52F9">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bCs/>
                <w:color w:val="000000" w:themeColor="text1"/>
                <w:kern w:val="0"/>
                <w:sz w:val="28"/>
                <w:szCs w:val="28"/>
              </w:rPr>
              <w:t>A</w:t>
            </w:r>
          </w:p>
        </w:tc>
        <w:tc>
          <w:tcPr>
            <w:tcW w:w="7792" w:type="dxa"/>
            <w:gridSpan w:val="2"/>
            <w:shd w:val="clear" w:color="auto" w:fill="auto"/>
          </w:tcPr>
          <w:p w14:paraId="7C74DC7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通用原则</w:t>
            </w:r>
          </w:p>
        </w:tc>
      </w:tr>
      <w:tr w14:paraId="2EE9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47F3EDC">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A1</w:t>
            </w:r>
          </w:p>
        </w:tc>
        <w:tc>
          <w:tcPr>
            <w:tcW w:w="6610" w:type="dxa"/>
            <w:shd w:val="clear" w:color="auto" w:fill="auto"/>
          </w:tcPr>
          <w:p w14:paraId="3F865BE8">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高水平的健康和安全保护方法。</w:t>
            </w:r>
          </w:p>
        </w:tc>
        <w:tc>
          <w:tcPr>
            <w:tcW w:w="1182" w:type="dxa"/>
            <w:shd w:val="clear" w:color="auto" w:fill="auto"/>
          </w:tcPr>
          <w:p w14:paraId="0125A2DA">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93C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9F0ABEF">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A2</w:t>
            </w:r>
          </w:p>
        </w:tc>
        <w:tc>
          <w:tcPr>
            <w:tcW w:w="6610" w:type="dxa"/>
            <w:shd w:val="clear" w:color="auto" w:fill="auto"/>
          </w:tcPr>
          <w:p w14:paraId="5D9A2ECB">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医疗器械的设计和生产应遵循安全原则并兼顾现有技术能力，应当采用以下原则，确保每一危害的剩余风险是可接受的：</w:t>
            </w:r>
          </w:p>
          <w:p w14:paraId="555BC2B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（1）识别已知或可预期的危害并且评估预期使用和可预期的不当使用下的风险。</w:t>
            </w:r>
          </w:p>
          <w:p w14:paraId="3F8C895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（2）设计和生产中尽可能地消除风险。</w:t>
            </w:r>
          </w:p>
          <w:p w14:paraId="7ACF52D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（3）采用充分防护如报警等措施尽可能地减少剩余风险。</w:t>
            </w:r>
          </w:p>
          <w:p w14:paraId="23EDA37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（4）告知剩余风险。</w:t>
            </w:r>
          </w:p>
        </w:tc>
        <w:tc>
          <w:tcPr>
            <w:tcW w:w="1182" w:type="dxa"/>
            <w:shd w:val="clear" w:color="auto" w:fill="auto"/>
          </w:tcPr>
          <w:p w14:paraId="6F02448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7782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97B3571">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A3</w:t>
            </w:r>
          </w:p>
        </w:tc>
        <w:tc>
          <w:tcPr>
            <w:tcW w:w="6610" w:type="dxa"/>
            <w:shd w:val="clear" w:color="auto" w:fill="auto"/>
          </w:tcPr>
          <w:p w14:paraId="53FBF6EF">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医疗器械在规定使用条件下应当达到其预期性能，满足适用范围要求。</w:t>
            </w:r>
          </w:p>
        </w:tc>
        <w:tc>
          <w:tcPr>
            <w:tcW w:w="1182" w:type="dxa"/>
            <w:shd w:val="clear" w:color="auto" w:fill="auto"/>
          </w:tcPr>
          <w:p w14:paraId="738E05EF">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4067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19ACD2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A4</w:t>
            </w:r>
          </w:p>
        </w:tc>
        <w:tc>
          <w:tcPr>
            <w:tcW w:w="6610" w:type="dxa"/>
            <w:shd w:val="clear" w:color="auto" w:fill="auto"/>
          </w:tcPr>
          <w:p w14:paraId="21E5002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在生命周期内，正常使用和维护情况下，医疗器械的特性和性能的退化程度不会影响其安全性。</w:t>
            </w:r>
          </w:p>
        </w:tc>
        <w:tc>
          <w:tcPr>
            <w:tcW w:w="1182" w:type="dxa"/>
            <w:shd w:val="clear" w:color="auto" w:fill="auto"/>
          </w:tcPr>
          <w:p w14:paraId="2CEABD3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338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AC54A0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A5</w:t>
            </w:r>
          </w:p>
        </w:tc>
        <w:tc>
          <w:tcPr>
            <w:tcW w:w="6610" w:type="dxa"/>
            <w:shd w:val="clear" w:color="auto" w:fill="auto"/>
          </w:tcPr>
          <w:p w14:paraId="2F7C88E1">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医疗器械的设计、生产和包装应当能够保证其说明书规定的运输、贮存条件（如温度和湿度变化），不对产品特性及性能造成不利影响。</w:t>
            </w:r>
          </w:p>
        </w:tc>
        <w:tc>
          <w:tcPr>
            <w:tcW w:w="1182" w:type="dxa"/>
            <w:shd w:val="clear" w:color="auto" w:fill="auto"/>
          </w:tcPr>
          <w:p w14:paraId="2355ED5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6547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CCCD6F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A6</w:t>
            </w:r>
          </w:p>
        </w:tc>
        <w:tc>
          <w:tcPr>
            <w:tcW w:w="6610" w:type="dxa"/>
            <w:shd w:val="clear" w:color="auto" w:fill="auto"/>
          </w:tcPr>
          <w:p w14:paraId="0D49236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所有风险以及非预期影响应最小化并可接受，保证在正常使用中受益大于风险。</w:t>
            </w:r>
          </w:p>
        </w:tc>
        <w:tc>
          <w:tcPr>
            <w:tcW w:w="1182" w:type="dxa"/>
            <w:shd w:val="clear" w:color="auto" w:fill="auto"/>
          </w:tcPr>
          <w:p w14:paraId="66DE8D4B">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1C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88" w:type="dxa"/>
            <w:shd w:val="clear" w:color="auto" w:fill="auto"/>
            <w:vAlign w:val="center"/>
          </w:tcPr>
          <w:p w14:paraId="3D3D17AD">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w:t>
            </w:r>
          </w:p>
        </w:tc>
        <w:tc>
          <w:tcPr>
            <w:tcW w:w="7792" w:type="dxa"/>
            <w:gridSpan w:val="2"/>
            <w:shd w:val="clear" w:color="auto" w:fill="auto"/>
            <w:vAlign w:val="center"/>
          </w:tcPr>
          <w:p w14:paraId="3CAC086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医疗器械安全性能基本原则</w:t>
            </w:r>
          </w:p>
        </w:tc>
      </w:tr>
      <w:tr w14:paraId="17C0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shd w:val="clear" w:color="auto" w:fill="auto"/>
            <w:vAlign w:val="center"/>
          </w:tcPr>
          <w:p w14:paraId="43677E1B">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w:t>
            </w:r>
          </w:p>
        </w:tc>
        <w:tc>
          <w:tcPr>
            <w:tcW w:w="7792" w:type="dxa"/>
            <w:gridSpan w:val="2"/>
            <w:shd w:val="clear" w:color="auto" w:fill="auto"/>
            <w:vAlign w:val="center"/>
          </w:tcPr>
          <w:p w14:paraId="33FA03E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化学、物理和生物学性质</w:t>
            </w:r>
          </w:p>
        </w:tc>
      </w:tr>
      <w:tr w14:paraId="4BCD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53C6292">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B1.1</w:t>
            </w:r>
          </w:p>
        </w:tc>
        <w:tc>
          <w:tcPr>
            <w:tcW w:w="6610" w:type="dxa"/>
            <w:shd w:val="clear" w:color="auto" w:fill="auto"/>
          </w:tcPr>
          <w:p w14:paraId="0CFCB071">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材料应当能够保证医疗器械符合A节提出的要求，特别注意：</w:t>
            </w:r>
          </w:p>
          <w:p w14:paraId="15276FE3">
            <w:pPr>
              <w:pStyle w:val="18"/>
              <w:spacing w:line="520" w:lineRule="atLeast"/>
              <w:ind w:firstLine="0" w:firstLineChars="0"/>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 材料的选择应特别考虑毒性、易燃性（若适用）。</w:t>
            </w:r>
          </w:p>
          <w:p w14:paraId="0A3D6C37">
            <w:pPr>
              <w:pStyle w:val="18"/>
              <w:spacing w:line="520" w:lineRule="atLeast"/>
              <w:ind w:firstLine="0" w:firstLineChars="0"/>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 依据适用范围，考虑材料与生物组织、细胞、体液的相容性。</w:t>
            </w:r>
          </w:p>
          <w:p w14:paraId="42B0713B">
            <w:pPr>
              <w:pStyle w:val="18"/>
              <w:spacing w:line="520" w:lineRule="atLeast"/>
              <w:ind w:firstLine="0" w:firstLineChars="0"/>
              <w:jc w:val="lef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kern w:val="0"/>
                <w:sz w:val="28"/>
                <w:szCs w:val="28"/>
              </w:rPr>
              <w:t>（3）材料的选择应考虑硬度，耐磨性和疲劳强度等属性（若适用）。</w:t>
            </w:r>
          </w:p>
        </w:tc>
        <w:tc>
          <w:tcPr>
            <w:tcW w:w="1182" w:type="dxa"/>
            <w:shd w:val="clear" w:color="auto" w:fill="auto"/>
          </w:tcPr>
          <w:p w14:paraId="5B2D223F">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52FC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A463C61">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B1.2</w:t>
            </w:r>
          </w:p>
        </w:tc>
        <w:tc>
          <w:tcPr>
            <w:tcW w:w="6610" w:type="dxa"/>
            <w:shd w:val="clear" w:color="auto" w:fill="auto"/>
          </w:tcPr>
          <w:p w14:paraId="375F5B8E">
            <w:pPr>
              <w:spacing w:line="520" w:lineRule="atLeast"/>
              <w:jc w:val="left"/>
              <w:rPr>
                <w:rFonts w:ascii="Times New Roman" w:hAnsi="Times New Roman" w:eastAsia="仿宋_GB2312" w:cs="Times New Roman"/>
                <w:color w:val="000000" w:themeColor="text1"/>
                <w:spacing w:val="-4"/>
                <w:kern w:val="0"/>
                <w:sz w:val="28"/>
                <w:szCs w:val="28"/>
              </w:rPr>
            </w:pPr>
            <w:r>
              <w:rPr>
                <w:rFonts w:ascii="Times New Roman" w:hAnsi="Times New Roman" w:eastAsia="仿宋_GB2312" w:cs="Times New Roman"/>
                <w:color w:val="000000" w:themeColor="text1"/>
                <w:spacing w:val="-4"/>
                <w:kern w:val="0"/>
                <w:sz w:val="28"/>
                <w:szCs w:val="28"/>
              </w:rPr>
              <w:t>医疗器械的设计、生产和包装应尽可能减少污染物和残留物对从事运输、贮存、使用的人员和患者造成的风险，特别要注意与人体暴露组织接触的时间和频次。</w:t>
            </w:r>
          </w:p>
        </w:tc>
        <w:tc>
          <w:tcPr>
            <w:tcW w:w="1182" w:type="dxa"/>
            <w:shd w:val="clear" w:color="auto" w:fill="auto"/>
          </w:tcPr>
          <w:p w14:paraId="74F27E07">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C41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8DAF00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B1.3</w:t>
            </w:r>
          </w:p>
        </w:tc>
        <w:tc>
          <w:tcPr>
            <w:tcW w:w="6610" w:type="dxa"/>
            <w:shd w:val="clear" w:color="auto" w:fill="auto"/>
          </w:tcPr>
          <w:p w14:paraId="586DBEC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1182" w:type="dxa"/>
            <w:shd w:val="clear" w:color="auto" w:fill="auto"/>
          </w:tcPr>
          <w:p w14:paraId="09FBFB8B">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4D2B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A08531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B1.4</w:t>
            </w:r>
          </w:p>
        </w:tc>
        <w:tc>
          <w:tcPr>
            <w:tcW w:w="6610" w:type="dxa"/>
            <w:shd w:val="clear" w:color="auto" w:fill="auto"/>
          </w:tcPr>
          <w:p w14:paraId="130BC65C">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医疗器械的设计和生产应当尽可能减少滤出物或泄漏物造成的风险，特别注意其致癌、致畸和生殖毒性。</w:t>
            </w:r>
          </w:p>
        </w:tc>
        <w:tc>
          <w:tcPr>
            <w:tcW w:w="1182" w:type="dxa"/>
            <w:shd w:val="clear" w:color="auto" w:fill="auto"/>
          </w:tcPr>
          <w:p w14:paraId="08D4C8C6">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54CA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8" w:type="dxa"/>
            <w:shd w:val="clear" w:color="auto" w:fill="auto"/>
            <w:vAlign w:val="center"/>
          </w:tcPr>
          <w:p w14:paraId="5DF5336D">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B1.5</w:t>
            </w:r>
          </w:p>
        </w:tc>
        <w:tc>
          <w:tcPr>
            <w:tcW w:w="6610" w:type="dxa"/>
            <w:shd w:val="clear" w:color="auto" w:fill="auto"/>
          </w:tcPr>
          <w:p w14:paraId="7159600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医疗器械的设计和生产应当考虑在预期使用条件下，产品及其使用环境的特性，尽可能减少物质意外从该产品进出所造成的风险。</w:t>
            </w:r>
          </w:p>
        </w:tc>
        <w:tc>
          <w:tcPr>
            <w:tcW w:w="1182" w:type="dxa"/>
            <w:shd w:val="clear" w:color="auto" w:fill="auto"/>
          </w:tcPr>
          <w:p w14:paraId="7CC21769">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5E03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2B0112B">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B2</w:t>
            </w:r>
          </w:p>
        </w:tc>
        <w:tc>
          <w:tcPr>
            <w:tcW w:w="7792" w:type="dxa"/>
            <w:gridSpan w:val="2"/>
            <w:shd w:val="clear" w:color="auto" w:fill="auto"/>
          </w:tcPr>
          <w:p w14:paraId="2A984236">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感染和微生物污染</w:t>
            </w:r>
          </w:p>
        </w:tc>
      </w:tr>
      <w:tr w14:paraId="3F1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A1749D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B2.1</w:t>
            </w:r>
          </w:p>
        </w:tc>
        <w:tc>
          <w:tcPr>
            <w:tcW w:w="6610" w:type="dxa"/>
            <w:shd w:val="clear" w:color="auto" w:fill="auto"/>
          </w:tcPr>
          <w:p w14:paraId="1EA1F2C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医疗器械的设计和生产应当减少患者、使用者及他人感染的风险。设计应当：</w:t>
            </w:r>
          </w:p>
          <w:p w14:paraId="72E500A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（1）易于操作。</w:t>
            </w:r>
          </w:p>
          <w:p w14:paraId="58E6024E">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（2）尽可能减少来自产品的微生物泄漏和/或使用中微生物暴露。</w:t>
            </w:r>
          </w:p>
          <w:p w14:paraId="72A7224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（3）防止人对医疗器械和样品的微生物污染。</w:t>
            </w:r>
          </w:p>
        </w:tc>
        <w:tc>
          <w:tcPr>
            <w:tcW w:w="1182" w:type="dxa"/>
            <w:shd w:val="clear" w:color="auto" w:fill="auto"/>
          </w:tcPr>
          <w:p w14:paraId="67972C96">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414D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750475D">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B2.2</w:t>
            </w:r>
          </w:p>
        </w:tc>
        <w:tc>
          <w:tcPr>
            <w:tcW w:w="6610" w:type="dxa"/>
            <w:shd w:val="clear" w:color="auto" w:fill="auto"/>
          </w:tcPr>
          <w:p w14:paraId="44438EA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标有微生物要求的医疗器械，应当确保在使用前符合微生物要求。</w:t>
            </w:r>
          </w:p>
        </w:tc>
        <w:tc>
          <w:tcPr>
            <w:tcW w:w="1182" w:type="dxa"/>
            <w:shd w:val="clear" w:color="auto" w:fill="auto"/>
          </w:tcPr>
          <w:p w14:paraId="3CA1F9E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6D8F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04FC6F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B2.3</w:t>
            </w:r>
          </w:p>
        </w:tc>
        <w:tc>
          <w:tcPr>
            <w:tcW w:w="6610" w:type="dxa"/>
            <w:shd w:val="clear" w:color="auto" w:fill="auto"/>
          </w:tcPr>
          <w:p w14:paraId="0761627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无菌医疗器械应当确保在使用前符合无菌要求。</w:t>
            </w:r>
          </w:p>
        </w:tc>
        <w:tc>
          <w:tcPr>
            <w:tcW w:w="1182" w:type="dxa"/>
            <w:shd w:val="clear" w:color="auto" w:fill="auto"/>
          </w:tcPr>
          <w:p w14:paraId="5EF6E66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679D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44AD1C5">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B2.4</w:t>
            </w:r>
          </w:p>
        </w:tc>
        <w:tc>
          <w:tcPr>
            <w:tcW w:w="6610" w:type="dxa"/>
            <w:shd w:val="clear" w:color="auto" w:fill="auto"/>
          </w:tcPr>
          <w:p w14:paraId="1B95CB4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无菌或标有微生物要求的医疗器械应当采用已验证的方法对其进行加工、制造或灭菌。</w:t>
            </w:r>
          </w:p>
        </w:tc>
        <w:tc>
          <w:tcPr>
            <w:tcW w:w="1182" w:type="dxa"/>
            <w:shd w:val="clear" w:color="auto" w:fill="auto"/>
          </w:tcPr>
          <w:p w14:paraId="7B0122DD">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68CE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49B4D7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B2.5</w:t>
            </w:r>
          </w:p>
        </w:tc>
        <w:tc>
          <w:tcPr>
            <w:tcW w:w="6610" w:type="dxa"/>
            <w:shd w:val="clear" w:color="auto" w:fill="auto"/>
          </w:tcPr>
          <w:p w14:paraId="49FBA50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无菌医疗器械应当在相应控制状态下（如相应净化级别的环境）生产。</w:t>
            </w:r>
          </w:p>
        </w:tc>
        <w:tc>
          <w:tcPr>
            <w:tcW w:w="1182" w:type="dxa"/>
            <w:shd w:val="clear" w:color="auto" w:fill="auto"/>
          </w:tcPr>
          <w:p w14:paraId="47ED4965">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73B5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0C821A5">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B2.6</w:t>
            </w:r>
          </w:p>
        </w:tc>
        <w:tc>
          <w:tcPr>
            <w:tcW w:w="6610" w:type="dxa"/>
            <w:shd w:val="clear" w:color="auto" w:fill="auto"/>
          </w:tcPr>
          <w:p w14:paraId="176D243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pacing w:val="-4"/>
                <w:kern w:val="0"/>
                <w:sz w:val="28"/>
                <w:szCs w:val="28"/>
              </w:rPr>
              <w:t>非无菌医疗器械的包装应当保持产品的完整性和洁净度。使用前需要灭菌的产品，其包装应当尽可能减少产品受到微生物污染的风险，且应当适合相应的灭菌方法</w:t>
            </w:r>
            <w:r>
              <w:rPr>
                <w:rFonts w:ascii="Times New Roman" w:hAnsi="Times New Roman" w:eastAsia="仿宋_GB2312" w:cs="Times New Roman"/>
                <w:color w:val="000000" w:themeColor="text1"/>
                <w:kern w:val="0"/>
                <w:sz w:val="28"/>
                <w:szCs w:val="28"/>
              </w:rPr>
              <w:t>。</w:t>
            </w:r>
          </w:p>
        </w:tc>
        <w:tc>
          <w:tcPr>
            <w:tcW w:w="1182" w:type="dxa"/>
            <w:shd w:val="clear" w:color="auto" w:fill="auto"/>
          </w:tcPr>
          <w:p w14:paraId="4D6E9E77">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591D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64D4C3F">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B2.7</w:t>
            </w:r>
          </w:p>
        </w:tc>
        <w:tc>
          <w:tcPr>
            <w:tcW w:w="6610" w:type="dxa"/>
            <w:shd w:val="clear" w:color="auto" w:fill="auto"/>
          </w:tcPr>
          <w:p w14:paraId="508051B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若医疗器械可以以无菌与非无菌两种状态上市，则产品的包装或标签应当加以区别。</w:t>
            </w:r>
          </w:p>
        </w:tc>
        <w:tc>
          <w:tcPr>
            <w:tcW w:w="1182" w:type="dxa"/>
            <w:shd w:val="clear" w:color="auto" w:fill="auto"/>
          </w:tcPr>
          <w:p w14:paraId="43D27B46">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34C0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4B8AA23">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B3</w:t>
            </w:r>
          </w:p>
        </w:tc>
        <w:tc>
          <w:tcPr>
            <w:tcW w:w="7792" w:type="dxa"/>
            <w:gridSpan w:val="2"/>
            <w:shd w:val="clear" w:color="auto" w:fill="auto"/>
          </w:tcPr>
          <w:p w14:paraId="49A2BF5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药械组合产品</w:t>
            </w:r>
          </w:p>
        </w:tc>
      </w:tr>
      <w:tr w14:paraId="5919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5E5C90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B3.1</w:t>
            </w:r>
          </w:p>
        </w:tc>
        <w:tc>
          <w:tcPr>
            <w:tcW w:w="6610" w:type="dxa"/>
            <w:shd w:val="clear" w:color="auto" w:fill="auto"/>
          </w:tcPr>
          <w:p w14:paraId="2C30E39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应对该药品和药械组合产品安全、质量和性能予以验证。</w:t>
            </w:r>
          </w:p>
        </w:tc>
        <w:tc>
          <w:tcPr>
            <w:tcW w:w="1182" w:type="dxa"/>
            <w:shd w:val="clear" w:color="auto" w:fill="auto"/>
          </w:tcPr>
          <w:p w14:paraId="3886505E">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1062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3B9A66F">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B4</w:t>
            </w:r>
          </w:p>
        </w:tc>
        <w:tc>
          <w:tcPr>
            <w:tcW w:w="7792" w:type="dxa"/>
            <w:gridSpan w:val="2"/>
            <w:shd w:val="clear" w:color="auto" w:fill="auto"/>
          </w:tcPr>
          <w:p w14:paraId="24D6867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生物源性医疗器械</w:t>
            </w:r>
          </w:p>
        </w:tc>
      </w:tr>
      <w:tr w14:paraId="2BB5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FA7F825">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B4.1</w:t>
            </w:r>
          </w:p>
        </w:tc>
        <w:tc>
          <w:tcPr>
            <w:tcW w:w="6610" w:type="dxa"/>
            <w:shd w:val="clear" w:color="auto" w:fill="auto"/>
          </w:tcPr>
          <w:p w14:paraId="35485BB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1182" w:type="dxa"/>
            <w:shd w:val="clear" w:color="auto" w:fill="auto"/>
          </w:tcPr>
          <w:p w14:paraId="46C0D72B">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39E3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9BF6CC9">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B4.2</w:t>
            </w:r>
          </w:p>
        </w:tc>
        <w:tc>
          <w:tcPr>
            <w:tcW w:w="6610" w:type="dxa"/>
            <w:shd w:val="clear" w:color="auto" w:fill="auto"/>
          </w:tcPr>
          <w:p w14:paraId="15A4030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1182" w:type="dxa"/>
            <w:shd w:val="clear" w:color="auto" w:fill="auto"/>
          </w:tcPr>
          <w:p w14:paraId="62CD345C">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6868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F1D876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B4.3</w:t>
            </w:r>
          </w:p>
        </w:tc>
        <w:tc>
          <w:tcPr>
            <w:tcW w:w="6610" w:type="dxa"/>
            <w:shd w:val="clear" w:color="auto" w:fill="auto"/>
          </w:tcPr>
          <w:p w14:paraId="78EC39C4">
            <w:pPr>
              <w:spacing w:line="520" w:lineRule="atLeast"/>
              <w:jc w:val="left"/>
              <w:rPr>
                <w:rFonts w:ascii="Times New Roman" w:hAnsi="Times New Roman" w:eastAsia="仿宋_GB2312" w:cs="Times New Roman"/>
                <w:color w:val="000000" w:themeColor="text1"/>
                <w:spacing w:val="-4"/>
                <w:kern w:val="0"/>
                <w:sz w:val="28"/>
                <w:szCs w:val="28"/>
              </w:rPr>
            </w:pPr>
            <w:r>
              <w:rPr>
                <w:rFonts w:ascii="Times New Roman" w:hAnsi="Times New Roman" w:eastAsia="仿宋_GB2312" w:cs="Times New Roman"/>
                <w:color w:val="000000" w:themeColor="text1"/>
                <w:spacing w:val="-4"/>
                <w:kern w:val="0"/>
                <w:sz w:val="28"/>
                <w:szCs w:val="2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1182" w:type="dxa"/>
            <w:shd w:val="clear" w:color="auto" w:fill="auto"/>
          </w:tcPr>
          <w:p w14:paraId="4073B35C">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1B1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8" w:type="dxa"/>
            <w:shd w:val="clear" w:color="auto" w:fill="auto"/>
            <w:vAlign w:val="center"/>
          </w:tcPr>
          <w:p w14:paraId="61622BBA">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B5</w:t>
            </w:r>
          </w:p>
        </w:tc>
        <w:tc>
          <w:tcPr>
            <w:tcW w:w="7792" w:type="dxa"/>
            <w:gridSpan w:val="2"/>
            <w:shd w:val="clear" w:color="auto" w:fill="auto"/>
            <w:vAlign w:val="center"/>
          </w:tcPr>
          <w:p w14:paraId="2793B1BC">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pacing w:val="-4"/>
                <w:kern w:val="0"/>
                <w:sz w:val="28"/>
                <w:szCs w:val="28"/>
              </w:rPr>
              <w:t>环境特性</w:t>
            </w:r>
          </w:p>
        </w:tc>
      </w:tr>
      <w:tr w14:paraId="0C37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87A00FF">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B5.1</w:t>
            </w:r>
          </w:p>
        </w:tc>
        <w:tc>
          <w:tcPr>
            <w:tcW w:w="6610" w:type="dxa"/>
            <w:shd w:val="clear" w:color="auto" w:fill="auto"/>
          </w:tcPr>
          <w:p w14:paraId="1BFDC55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1182" w:type="dxa"/>
            <w:shd w:val="clear" w:color="auto" w:fill="auto"/>
          </w:tcPr>
          <w:p w14:paraId="5F975EB9">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AAC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0A2793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 xml:space="preserve">B5.2 </w:t>
            </w:r>
          </w:p>
          <w:p w14:paraId="433B758E">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B5.2.1</w:t>
            </w:r>
          </w:p>
        </w:tc>
        <w:tc>
          <w:tcPr>
            <w:tcW w:w="6610" w:type="dxa"/>
            <w:shd w:val="clear" w:color="auto" w:fill="auto"/>
          </w:tcPr>
          <w:p w14:paraId="11C4942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医疗器械的设计和生产应尽可能的消除和减少下列风险：</w:t>
            </w:r>
          </w:p>
          <w:p w14:paraId="48E36FDB">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因物理或者人机功效原因，对患者、使用者或他人造成伤害的风险。</w:t>
            </w:r>
          </w:p>
        </w:tc>
        <w:tc>
          <w:tcPr>
            <w:tcW w:w="1182" w:type="dxa"/>
            <w:shd w:val="clear" w:color="auto" w:fill="auto"/>
          </w:tcPr>
          <w:p w14:paraId="6B129380">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1D35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6A5278D">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B5.2.2</w:t>
            </w:r>
          </w:p>
        </w:tc>
        <w:tc>
          <w:tcPr>
            <w:tcW w:w="6610" w:type="dxa"/>
            <w:shd w:val="clear" w:color="auto" w:fill="auto"/>
          </w:tcPr>
          <w:p w14:paraId="05D7374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由人机功效、人为因素和使用环境所引起的错误操作的风险。</w:t>
            </w:r>
          </w:p>
        </w:tc>
        <w:tc>
          <w:tcPr>
            <w:tcW w:w="1182" w:type="dxa"/>
            <w:shd w:val="clear" w:color="auto" w:fill="auto"/>
          </w:tcPr>
          <w:p w14:paraId="517EF094">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8CA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6CFB83B">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B5.2.3</w:t>
            </w:r>
          </w:p>
        </w:tc>
        <w:tc>
          <w:tcPr>
            <w:tcW w:w="6610" w:type="dxa"/>
            <w:shd w:val="clear" w:color="auto" w:fill="auto"/>
          </w:tcPr>
          <w:p w14:paraId="1041792B">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与合理可预见的外部因素或环境条件有关的风险，比如磁场、外部电磁效应、静电放电、诊断和治疗带来的辐射、压力、湿度、温度以及压力和加速度的变化。</w:t>
            </w:r>
          </w:p>
        </w:tc>
        <w:tc>
          <w:tcPr>
            <w:tcW w:w="1182" w:type="dxa"/>
            <w:shd w:val="clear" w:color="auto" w:fill="auto"/>
          </w:tcPr>
          <w:p w14:paraId="0F0CDE24">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5048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B795DE5">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B5.2.4</w:t>
            </w:r>
          </w:p>
        </w:tc>
        <w:tc>
          <w:tcPr>
            <w:tcW w:w="6610" w:type="dxa"/>
            <w:shd w:val="clear" w:color="auto" w:fill="auto"/>
          </w:tcPr>
          <w:p w14:paraId="7C69B7F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正常使用时可能与材料、液体和气体接触而产生的风险。</w:t>
            </w:r>
          </w:p>
        </w:tc>
        <w:tc>
          <w:tcPr>
            <w:tcW w:w="1182" w:type="dxa"/>
            <w:shd w:val="clear" w:color="auto" w:fill="auto"/>
          </w:tcPr>
          <w:p w14:paraId="395D52DA">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51F6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8" w:type="dxa"/>
            <w:shd w:val="clear" w:color="auto" w:fill="auto"/>
            <w:vAlign w:val="center"/>
          </w:tcPr>
          <w:p w14:paraId="33BF1236">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B5.2.5</w:t>
            </w:r>
          </w:p>
        </w:tc>
        <w:tc>
          <w:tcPr>
            <w:tcW w:w="6610" w:type="dxa"/>
            <w:shd w:val="clear" w:color="auto" w:fill="auto"/>
            <w:vAlign w:val="center"/>
          </w:tcPr>
          <w:p w14:paraId="69B4570D">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软件及其运行环境的兼容性造成的风险。</w:t>
            </w:r>
          </w:p>
        </w:tc>
        <w:tc>
          <w:tcPr>
            <w:tcW w:w="1182" w:type="dxa"/>
            <w:shd w:val="clear" w:color="auto" w:fill="auto"/>
          </w:tcPr>
          <w:p w14:paraId="4E8824D8">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4163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88" w:type="dxa"/>
            <w:shd w:val="clear" w:color="auto" w:fill="auto"/>
            <w:vAlign w:val="center"/>
          </w:tcPr>
          <w:p w14:paraId="6918D5D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B5.2.6</w:t>
            </w:r>
          </w:p>
        </w:tc>
        <w:tc>
          <w:tcPr>
            <w:tcW w:w="6610" w:type="dxa"/>
            <w:shd w:val="clear" w:color="auto" w:fill="auto"/>
            <w:vAlign w:val="center"/>
          </w:tcPr>
          <w:p w14:paraId="673EEF92">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物质意外进入的风险。</w:t>
            </w:r>
          </w:p>
        </w:tc>
        <w:tc>
          <w:tcPr>
            <w:tcW w:w="1182" w:type="dxa"/>
            <w:shd w:val="clear" w:color="auto" w:fill="auto"/>
          </w:tcPr>
          <w:p w14:paraId="3AA5D0E2">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72CD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A4F254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B5.2.7</w:t>
            </w:r>
          </w:p>
        </w:tc>
        <w:tc>
          <w:tcPr>
            <w:tcW w:w="6610" w:type="dxa"/>
            <w:shd w:val="clear" w:color="auto" w:fill="auto"/>
          </w:tcPr>
          <w:p w14:paraId="217B731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临床使用中与其他医疗器械共同使用的产品，其相互干扰的风险。</w:t>
            </w:r>
          </w:p>
        </w:tc>
        <w:tc>
          <w:tcPr>
            <w:tcW w:w="1182" w:type="dxa"/>
            <w:shd w:val="clear" w:color="auto" w:fill="auto"/>
          </w:tcPr>
          <w:p w14:paraId="1D1844E3">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DE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DC2630E">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B5.2.8</w:t>
            </w:r>
          </w:p>
        </w:tc>
        <w:tc>
          <w:tcPr>
            <w:tcW w:w="6610" w:type="dxa"/>
            <w:shd w:val="clear" w:color="auto" w:fill="auto"/>
          </w:tcPr>
          <w:p w14:paraId="7FE2F1C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不能维护或校准（如植入产品）的医疗器械因材料老化、测量或控制精度减少引起的风险。</w:t>
            </w:r>
          </w:p>
        </w:tc>
        <w:tc>
          <w:tcPr>
            <w:tcW w:w="1182" w:type="dxa"/>
            <w:shd w:val="clear" w:color="auto" w:fill="auto"/>
          </w:tcPr>
          <w:p w14:paraId="746F8912">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1702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43CA47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B5.3</w:t>
            </w:r>
          </w:p>
        </w:tc>
        <w:tc>
          <w:tcPr>
            <w:tcW w:w="6610" w:type="dxa"/>
            <w:shd w:val="clear" w:color="auto" w:fill="auto"/>
          </w:tcPr>
          <w:p w14:paraId="2737F7F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医疗器械的设计和生产应尽可能地减少在正常使用及单一故障状态下燃烧和爆炸的风险。尤其是在预期使用时，暴露于可燃物、致燃物或与可燃物、致燃物联合使用的医疗器械。</w:t>
            </w:r>
          </w:p>
        </w:tc>
        <w:tc>
          <w:tcPr>
            <w:tcW w:w="1182" w:type="dxa"/>
            <w:shd w:val="clear" w:color="auto" w:fill="auto"/>
          </w:tcPr>
          <w:p w14:paraId="6A0F8D72">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12C7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5F964A2">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B5.4</w:t>
            </w:r>
          </w:p>
        </w:tc>
        <w:tc>
          <w:tcPr>
            <w:tcW w:w="6610" w:type="dxa"/>
            <w:shd w:val="clear" w:color="auto" w:fill="auto"/>
          </w:tcPr>
          <w:p w14:paraId="7FF08D1E">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须进行调整、校准和维护的医疗器械的设计和生产应保证其相应过程安全进行。</w:t>
            </w:r>
          </w:p>
        </w:tc>
        <w:tc>
          <w:tcPr>
            <w:tcW w:w="1182" w:type="dxa"/>
            <w:shd w:val="clear" w:color="auto" w:fill="auto"/>
          </w:tcPr>
          <w:p w14:paraId="7DFDDAFC">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4C6A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88" w:type="dxa"/>
            <w:shd w:val="clear" w:color="auto" w:fill="auto"/>
            <w:vAlign w:val="center"/>
          </w:tcPr>
          <w:p w14:paraId="41B762D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B5.5</w:t>
            </w:r>
          </w:p>
        </w:tc>
        <w:tc>
          <w:tcPr>
            <w:tcW w:w="6610" w:type="dxa"/>
            <w:shd w:val="clear" w:color="auto" w:fill="auto"/>
            <w:vAlign w:val="center"/>
          </w:tcPr>
          <w:p w14:paraId="12E2C615">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医疗器械的设计和生产应有利于废物的安全处置。</w:t>
            </w:r>
          </w:p>
        </w:tc>
        <w:tc>
          <w:tcPr>
            <w:tcW w:w="1182" w:type="dxa"/>
            <w:shd w:val="clear" w:color="auto" w:fill="auto"/>
          </w:tcPr>
          <w:p w14:paraId="2B97B94C">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w:t>
            </w:r>
          </w:p>
        </w:tc>
      </w:tr>
      <w:tr w14:paraId="2A1D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88" w:type="dxa"/>
            <w:shd w:val="clear" w:color="auto" w:fill="auto"/>
            <w:vAlign w:val="center"/>
          </w:tcPr>
          <w:p w14:paraId="38384C81">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B6</w:t>
            </w:r>
          </w:p>
        </w:tc>
        <w:tc>
          <w:tcPr>
            <w:tcW w:w="7792" w:type="dxa"/>
            <w:gridSpan w:val="2"/>
            <w:shd w:val="clear" w:color="auto" w:fill="auto"/>
            <w:vAlign w:val="center"/>
          </w:tcPr>
          <w:p w14:paraId="211CCA4C">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有诊断或测量功能的医疗器械产品</w:t>
            </w:r>
          </w:p>
        </w:tc>
      </w:tr>
      <w:tr w14:paraId="3F6F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E5109C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B6.1</w:t>
            </w:r>
          </w:p>
        </w:tc>
        <w:tc>
          <w:tcPr>
            <w:tcW w:w="6610" w:type="dxa"/>
            <w:shd w:val="clear" w:color="auto" w:fill="auto"/>
          </w:tcPr>
          <w:p w14:paraId="79813E41">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有诊断或测量功能的医疗器械，其设计和生产应充分考虑其准确度、精密度和稳定性。准确度应规定其限值。</w:t>
            </w:r>
          </w:p>
        </w:tc>
        <w:tc>
          <w:tcPr>
            <w:tcW w:w="1182" w:type="dxa"/>
            <w:shd w:val="clear" w:color="auto" w:fill="auto"/>
          </w:tcPr>
          <w:p w14:paraId="5B423AE1">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075B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9A9A82A">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B6.2</w:t>
            </w:r>
          </w:p>
          <w:p w14:paraId="783A98E8">
            <w:pPr>
              <w:spacing w:line="520" w:lineRule="atLeast"/>
              <w:jc w:val="center"/>
              <w:rPr>
                <w:rFonts w:ascii="Times New Roman" w:hAnsi="Times New Roman" w:eastAsia="仿宋_GB2312" w:cs="Times New Roman"/>
                <w:color w:val="000000" w:themeColor="text1"/>
                <w:kern w:val="0"/>
                <w:sz w:val="28"/>
                <w:szCs w:val="28"/>
              </w:rPr>
            </w:pPr>
          </w:p>
        </w:tc>
        <w:tc>
          <w:tcPr>
            <w:tcW w:w="6610" w:type="dxa"/>
            <w:shd w:val="clear" w:color="auto" w:fill="auto"/>
          </w:tcPr>
          <w:p w14:paraId="618FE3F2">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任何测量、监视或显示的数值范围的设计，均应当符合人机工效原则。</w:t>
            </w:r>
          </w:p>
        </w:tc>
        <w:tc>
          <w:tcPr>
            <w:tcW w:w="1182" w:type="dxa"/>
            <w:shd w:val="clear" w:color="auto" w:fill="auto"/>
          </w:tcPr>
          <w:p w14:paraId="48A1913B">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CC5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444CE4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B6.3</w:t>
            </w:r>
          </w:p>
        </w:tc>
        <w:tc>
          <w:tcPr>
            <w:tcW w:w="6610" w:type="dxa"/>
            <w:shd w:val="clear" w:color="auto" w:fill="auto"/>
          </w:tcPr>
          <w:p w14:paraId="0674FE22">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所表达的计量值应是中国通用的标准化单位，并能被使用者理解。</w:t>
            </w:r>
          </w:p>
        </w:tc>
        <w:tc>
          <w:tcPr>
            <w:tcW w:w="1182" w:type="dxa"/>
            <w:shd w:val="clear" w:color="auto" w:fill="auto"/>
          </w:tcPr>
          <w:p w14:paraId="598AAC4C">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41B3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4818335">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B7</w:t>
            </w:r>
          </w:p>
        </w:tc>
        <w:tc>
          <w:tcPr>
            <w:tcW w:w="7792" w:type="dxa"/>
            <w:gridSpan w:val="2"/>
            <w:shd w:val="clear" w:color="auto" w:fill="auto"/>
          </w:tcPr>
          <w:p w14:paraId="2A28536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辐射防护</w:t>
            </w:r>
          </w:p>
        </w:tc>
      </w:tr>
      <w:tr w14:paraId="5A5A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84B2FCC">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B7.1</w:t>
            </w:r>
          </w:p>
        </w:tc>
        <w:tc>
          <w:tcPr>
            <w:tcW w:w="6610" w:type="dxa"/>
            <w:shd w:val="clear" w:color="auto" w:fill="auto"/>
          </w:tcPr>
          <w:p w14:paraId="0659F962">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一般要求：医疗器械的设计、生产和包装应当考虑尽量减少患者、使用者和他人在辐射中的暴露，同时不影响其功能。</w:t>
            </w:r>
          </w:p>
        </w:tc>
        <w:tc>
          <w:tcPr>
            <w:tcW w:w="1182" w:type="dxa"/>
            <w:shd w:val="clear" w:color="auto" w:fill="auto"/>
          </w:tcPr>
          <w:p w14:paraId="581A576B">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5FE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9E2EF3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B7.2</w:t>
            </w:r>
          </w:p>
        </w:tc>
        <w:tc>
          <w:tcPr>
            <w:tcW w:w="6610" w:type="dxa"/>
            <w:shd w:val="clear" w:color="auto" w:fill="auto"/>
          </w:tcPr>
          <w:p w14:paraId="63ADCAA8">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1182" w:type="dxa"/>
            <w:shd w:val="clear" w:color="auto" w:fill="auto"/>
          </w:tcPr>
          <w:p w14:paraId="19D9AA44">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6CA7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06231E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B7.3</w:t>
            </w:r>
          </w:p>
        </w:tc>
        <w:tc>
          <w:tcPr>
            <w:tcW w:w="6610" w:type="dxa"/>
            <w:shd w:val="clear" w:color="auto" w:fill="auto"/>
          </w:tcPr>
          <w:p w14:paraId="1F1E08F6">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非预期的辐射：医疗器械的设计和生产应当尽可能减少患者、使用者和他人暴露于非预期、杂散或散射辐射的风险。</w:t>
            </w:r>
          </w:p>
        </w:tc>
        <w:tc>
          <w:tcPr>
            <w:tcW w:w="1182" w:type="dxa"/>
            <w:shd w:val="clear" w:color="auto" w:fill="auto"/>
          </w:tcPr>
          <w:p w14:paraId="2C6D0C39">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0929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6A9CA7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B7.4</w:t>
            </w:r>
          </w:p>
          <w:p w14:paraId="14BB8729">
            <w:pPr>
              <w:spacing w:line="520" w:lineRule="atLeast"/>
              <w:jc w:val="center"/>
              <w:rPr>
                <w:rFonts w:ascii="Times New Roman" w:hAnsi="Times New Roman" w:eastAsia="仿宋_GB2312" w:cs="Times New Roman"/>
                <w:color w:val="000000" w:themeColor="text1"/>
                <w:kern w:val="0"/>
                <w:sz w:val="28"/>
                <w:szCs w:val="28"/>
              </w:rPr>
            </w:pPr>
          </w:p>
        </w:tc>
        <w:tc>
          <w:tcPr>
            <w:tcW w:w="6610" w:type="dxa"/>
            <w:shd w:val="clear" w:color="auto" w:fill="auto"/>
          </w:tcPr>
          <w:p w14:paraId="4EB7953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电离辐射：预期放射电离辐射的医疗器械，其设计和生产应当保证辐射放射的剂量、几何分布和能量分布（或质量）可控。</w:t>
            </w:r>
          </w:p>
          <w:p w14:paraId="2897C4FC">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1182" w:type="dxa"/>
            <w:shd w:val="clear" w:color="auto" w:fill="auto"/>
          </w:tcPr>
          <w:p w14:paraId="3C63EE4F">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511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88" w:type="dxa"/>
            <w:shd w:val="clear" w:color="auto" w:fill="auto"/>
            <w:vAlign w:val="center"/>
          </w:tcPr>
          <w:p w14:paraId="14B4A4BF">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B8</w:t>
            </w:r>
          </w:p>
        </w:tc>
        <w:tc>
          <w:tcPr>
            <w:tcW w:w="7792" w:type="dxa"/>
            <w:gridSpan w:val="2"/>
            <w:shd w:val="clear" w:color="auto" w:fill="auto"/>
            <w:vAlign w:val="center"/>
          </w:tcPr>
          <w:p w14:paraId="358DE993">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含软件的医疗器械和独立医疗器械软件</w:t>
            </w:r>
          </w:p>
        </w:tc>
      </w:tr>
      <w:tr w14:paraId="65A9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34E4934">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B8.1</w:t>
            </w:r>
          </w:p>
        </w:tc>
        <w:tc>
          <w:tcPr>
            <w:tcW w:w="6610" w:type="dxa"/>
            <w:shd w:val="clear" w:color="auto" w:fill="auto"/>
          </w:tcPr>
          <w:p w14:paraId="26F0BE4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含软件的医疗器械或独立医疗器械软件，其设计应当保证重复性、可靠性和性能。当发生单一故障时，应当采取适当的措施，尽可能地消除和减少风险。</w:t>
            </w:r>
          </w:p>
        </w:tc>
        <w:tc>
          <w:tcPr>
            <w:tcW w:w="1182" w:type="dxa"/>
            <w:shd w:val="clear" w:color="auto" w:fill="auto"/>
          </w:tcPr>
          <w:p w14:paraId="2857122D">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A68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2EC5785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B8.2</w:t>
            </w:r>
          </w:p>
        </w:tc>
        <w:tc>
          <w:tcPr>
            <w:tcW w:w="6610" w:type="dxa"/>
            <w:shd w:val="clear" w:color="auto" w:fill="auto"/>
          </w:tcPr>
          <w:p w14:paraId="0EBE2EC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对于含软件的医疗器械或独立医疗器械软件，其软件必须根据最新的技术水平进行确认（需要考虑研发周期、风险管理要求、验证和确认要求）。</w:t>
            </w:r>
          </w:p>
        </w:tc>
        <w:tc>
          <w:tcPr>
            <w:tcW w:w="1182" w:type="dxa"/>
            <w:shd w:val="clear" w:color="auto" w:fill="auto"/>
          </w:tcPr>
          <w:p w14:paraId="26F82A86">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2037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8" w:type="dxa"/>
            <w:shd w:val="clear" w:color="auto" w:fill="auto"/>
            <w:vAlign w:val="center"/>
          </w:tcPr>
          <w:p w14:paraId="71281AFA">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B9</w:t>
            </w:r>
          </w:p>
        </w:tc>
        <w:tc>
          <w:tcPr>
            <w:tcW w:w="7792" w:type="dxa"/>
            <w:gridSpan w:val="2"/>
            <w:shd w:val="clear" w:color="auto" w:fill="auto"/>
            <w:vAlign w:val="center"/>
          </w:tcPr>
          <w:p w14:paraId="143477AF">
            <w:pPr>
              <w:spacing w:line="520" w:lineRule="atLeas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有源医疗器械和与其连接的器械</w:t>
            </w:r>
          </w:p>
        </w:tc>
      </w:tr>
      <w:tr w14:paraId="113B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00543B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B9.1</w:t>
            </w:r>
          </w:p>
        </w:tc>
        <w:tc>
          <w:tcPr>
            <w:tcW w:w="6610" w:type="dxa"/>
            <w:shd w:val="clear" w:color="auto" w:fill="auto"/>
          </w:tcPr>
          <w:p w14:paraId="21D0466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对于有源医疗器械，当发生单一故障时，应当采取适当的措施，尽可能的消除和减少因此而产生的风险。</w:t>
            </w:r>
          </w:p>
        </w:tc>
        <w:tc>
          <w:tcPr>
            <w:tcW w:w="1182" w:type="dxa"/>
            <w:shd w:val="clear" w:color="auto" w:fill="auto"/>
          </w:tcPr>
          <w:p w14:paraId="28F8C68F">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6A66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EB3E3A1">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B9.2</w:t>
            </w:r>
          </w:p>
        </w:tc>
        <w:tc>
          <w:tcPr>
            <w:tcW w:w="6610" w:type="dxa"/>
            <w:shd w:val="clear" w:color="auto" w:fill="auto"/>
          </w:tcPr>
          <w:p w14:paraId="5893D85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患者安全需要通过内部电源供电的医疗器械保证的，医疗器械应当具有检测供电状态的功能。</w:t>
            </w:r>
          </w:p>
        </w:tc>
        <w:tc>
          <w:tcPr>
            <w:tcW w:w="1182" w:type="dxa"/>
            <w:shd w:val="clear" w:color="auto" w:fill="auto"/>
          </w:tcPr>
          <w:p w14:paraId="6859D0A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根据产品情况确定</w:t>
            </w:r>
          </w:p>
        </w:tc>
      </w:tr>
      <w:tr w14:paraId="3829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634759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B9.3</w:t>
            </w:r>
          </w:p>
        </w:tc>
        <w:tc>
          <w:tcPr>
            <w:tcW w:w="6610" w:type="dxa"/>
            <w:shd w:val="clear" w:color="auto" w:fill="auto"/>
          </w:tcPr>
          <w:p w14:paraId="19206C9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患者安全需要通过外部电源供电的医疗器械保证的，医疗器械应当包括显示电源故障的报警系统。</w:t>
            </w:r>
          </w:p>
        </w:tc>
        <w:tc>
          <w:tcPr>
            <w:tcW w:w="1182" w:type="dxa"/>
            <w:shd w:val="clear" w:color="auto" w:fill="auto"/>
          </w:tcPr>
          <w:p w14:paraId="2855F6B0">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根据产品情况确定</w:t>
            </w:r>
          </w:p>
        </w:tc>
      </w:tr>
      <w:tr w14:paraId="5A85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1C3A07AF">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B9.4</w:t>
            </w:r>
          </w:p>
        </w:tc>
        <w:tc>
          <w:tcPr>
            <w:tcW w:w="6610" w:type="dxa"/>
            <w:shd w:val="clear" w:color="auto" w:fill="auto"/>
          </w:tcPr>
          <w:p w14:paraId="47694E1B">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预期用于监视患者一个或多个临床参数的医疗器械，应当配备适当的报警系统，在患者生命健康严重恶化或生命危急时，进行警告。</w:t>
            </w:r>
          </w:p>
        </w:tc>
        <w:tc>
          <w:tcPr>
            <w:tcW w:w="1182" w:type="dxa"/>
            <w:shd w:val="clear" w:color="auto" w:fill="auto"/>
          </w:tcPr>
          <w:p w14:paraId="3673C6BF">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不适用</w:t>
            </w:r>
          </w:p>
        </w:tc>
      </w:tr>
      <w:tr w14:paraId="5A0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959B0D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B9.5</w:t>
            </w:r>
          </w:p>
        </w:tc>
        <w:tc>
          <w:tcPr>
            <w:tcW w:w="6610" w:type="dxa"/>
            <w:shd w:val="clear" w:color="auto" w:fill="auto"/>
          </w:tcPr>
          <w:p w14:paraId="45F9C701">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医疗器械的设计和生产，应当具有减少产生电磁干扰的方法。</w:t>
            </w:r>
          </w:p>
        </w:tc>
        <w:tc>
          <w:tcPr>
            <w:tcW w:w="1182" w:type="dxa"/>
            <w:shd w:val="clear" w:color="auto" w:fill="auto"/>
          </w:tcPr>
          <w:p w14:paraId="33EC8C1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0117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E123B09">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B9.6</w:t>
            </w:r>
          </w:p>
        </w:tc>
        <w:tc>
          <w:tcPr>
            <w:tcW w:w="6610" w:type="dxa"/>
            <w:shd w:val="clear" w:color="auto" w:fill="auto"/>
          </w:tcPr>
          <w:p w14:paraId="3A2DFBA2">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医疗器械的设计和生产，应当确保产品具备足够的抗电磁骚扰能力，以保证产品能按照预期运行。</w:t>
            </w:r>
          </w:p>
        </w:tc>
        <w:tc>
          <w:tcPr>
            <w:tcW w:w="1182" w:type="dxa"/>
            <w:shd w:val="clear" w:color="auto" w:fill="auto"/>
          </w:tcPr>
          <w:p w14:paraId="35648D1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1790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BC0F3A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B9.7</w:t>
            </w:r>
          </w:p>
        </w:tc>
        <w:tc>
          <w:tcPr>
            <w:tcW w:w="6610" w:type="dxa"/>
            <w:shd w:val="clear" w:color="auto" w:fill="auto"/>
          </w:tcPr>
          <w:p w14:paraId="4CB9A39B">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医疗器械的设计和生产，应当保证产品在按要求进行安装和维护后，在正常使用和单一故障时，患者、使用者和他人免于遭受意外电击。</w:t>
            </w:r>
          </w:p>
        </w:tc>
        <w:tc>
          <w:tcPr>
            <w:tcW w:w="1182" w:type="dxa"/>
            <w:shd w:val="clear" w:color="auto" w:fill="auto"/>
          </w:tcPr>
          <w:p w14:paraId="12EC42B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4454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5B5E3DC">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B10</w:t>
            </w:r>
          </w:p>
        </w:tc>
        <w:tc>
          <w:tcPr>
            <w:tcW w:w="7792" w:type="dxa"/>
            <w:gridSpan w:val="2"/>
            <w:shd w:val="clear" w:color="auto" w:fill="auto"/>
          </w:tcPr>
          <w:p w14:paraId="22F112B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机械风险的防护</w:t>
            </w:r>
          </w:p>
        </w:tc>
      </w:tr>
      <w:tr w14:paraId="1F90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5BAB3E7">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B10.1</w:t>
            </w:r>
          </w:p>
        </w:tc>
        <w:tc>
          <w:tcPr>
            <w:tcW w:w="6610" w:type="dxa"/>
            <w:shd w:val="clear" w:color="auto" w:fill="auto"/>
          </w:tcPr>
          <w:p w14:paraId="184EF78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医疗器械的设计和生产，应当保护患者和使用者免于承受因移动时遇到阻力、不稳定部件和运动部件等产生的机械风险。</w:t>
            </w:r>
          </w:p>
        </w:tc>
        <w:tc>
          <w:tcPr>
            <w:tcW w:w="1182" w:type="dxa"/>
            <w:shd w:val="clear" w:color="auto" w:fill="auto"/>
          </w:tcPr>
          <w:p w14:paraId="1B2C689C">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6219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9FC5CED">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B10.2</w:t>
            </w:r>
          </w:p>
        </w:tc>
        <w:tc>
          <w:tcPr>
            <w:tcW w:w="6610" w:type="dxa"/>
            <w:shd w:val="clear" w:color="auto" w:fill="auto"/>
          </w:tcPr>
          <w:p w14:paraId="60BFA5EE">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除非振动是医疗器械的特定性能要求，否则医疗器械的设计和生产应将产品振动导致的风险降到最低。若可行，应当采用限制振动（特别是针对振动源）的方法。</w:t>
            </w:r>
          </w:p>
        </w:tc>
        <w:tc>
          <w:tcPr>
            <w:tcW w:w="1182" w:type="dxa"/>
            <w:shd w:val="clear" w:color="auto" w:fill="auto"/>
          </w:tcPr>
          <w:p w14:paraId="03B1124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417A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24D2E9B">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B10.3</w:t>
            </w:r>
          </w:p>
        </w:tc>
        <w:tc>
          <w:tcPr>
            <w:tcW w:w="6610" w:type="dxa"/>
            <w:shd w:val="clear" w:color="auto" w:fill="auto"/>
          </w:tcPr>
          <w:p w14:paraId="44693103">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除非噪声是医疗器械的特定性能要求，否则医疗器械设计和生产应将产品噪声导致的风险降到最低。若可行，应当采用限制噪声（特别是针对噪声源）的方法。</w:t>
            </w:r>
          </w:p>
        </w:tc>
        <w:tc>
          <w:tcPr>
            <w:tcW w:w="1182" w:type="dxa"/>
            <w:shd w:val="clear" w:color="auto" w:fill="auto"/>
          </w:tcPr>
          <w:p w14:paraId="1A431FDF">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354C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62C960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B10.4</w:t>
            </w:r>
          </w:p>
        </w:tc>
        <w:tc>
          <w:tcPr>
            <w:tcW w:w="6610" w:type="dxa"/>
            <w:shd w:val="clear" w:color="auto" w:fill="auto"/>
          </w:tcPr>
          <w:p w14:paraId="7995BCC4">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需要用户操作的连接电、气体或提供液压和气压的端子和连接器，其设计和构造应当尽可能降低操作风险。</w:t>
            </w:r>
          </w:p>
        </w:tc>
        <w:tc>
          <w:tcPr>
            <w:tcW w:w="1182" w:type="dxa"/>
            <w:shd w:val="clear" w:color="auto" w:fill="auto"/>
          </w:tcPr>
          <w:p w14:paraId="03E5EDCC">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7D7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07454FE">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B10.5</w:t>
            </w:r>
          </w:p>
        </w:tc>
        <w:tc>
          <w:tcPr>
            <w:tcW w:w="6610" w:type="dxa"/>
            <w:shd w:val="clear" w:color="auto" w:fill="auto"/>
          </w:tcPr>
          <w:p w14:paraId="4061AB7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如果医疗器械的某些部分在使用前或使用中需要进行连接或重新连接，则其设计和生产应将连接错误的风险降到最低。</w:t>
            </w:r>
          </w:p>
        </w:tc>
        <w:tc>
          <w:tcPr>
            <w:tcW w:w="1182" w:type="dxa"/>
            <w:shd w:val="clear" w:color="auto" w:fill="auto"/>
          </w:tcPr>
          <w:p w14:paraId="48DF3D46">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190D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DBD4ADC">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B10.6</w:t>
            </w:r>
          </w:p>
        </w:tc>
        <w:tc>
          <w:tcPr>
            <w:tcW w:w="6610" w:type="dxa"/>
            <w:shd w:val="clear" w:color="auto" w:fill="auto"/>
          </w:tcPr>
          <w:p w14:paraId="07BCE6A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可触及的医疗器械部件（不包括预期提供热量或达到给定温度的部件和区域）及其周围，在正常使用时，不应达到造成危险的温度。</w:t>
            </w:r>
          </w:p>
        </w:tc>
        <w:tc>
          <w:tcPr>
            <w:tcW w:w="1182" w:type="dxa"/>
            <w:shd w:val="clear" w:color="auto" w:fill="auto"/>
          </w:tcPr>
          <w:p w14:paraId="3B921228">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678A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0341F97">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B11</w:t>
            </w:r>
          </w:p>
        </w:tc>
        <w:tc>
          <w:tcPr>
            <w:tcW w:w="7792" w:type="dxa"/>
            <w:gridSpan w:val="2"/>
            <w:shd w:val="clear" w:color="auto" w:fill="auto"/>
          </w:tcPr>
          <w:p w14:paraId="2D5FD7F5">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提供患者能量或物质而产生风险的防护</w:t>
            </w:r>
          </w:p>
        </w:tc>
      </w:tr>
      <w:tr w14:paraId="1B3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579F0F0">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B11.1</w:t>
            </w:r>
          </w:p>
        </w:tc>
        <w:tc>
          <w:tcPr>
            <w:tcW w:w="6610" w:type="dxa"/>
            <w:shd w:val="clear" w:color="auto" w:fill="auto"/>
          </w:tcPr>
          <w:p w14:paraId="5B12EA7A">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用于给患者提供能量或物质的医疗器械，其设计和结构应能精确地设定和维持输出量，以保证患者和使用者的安全。</w:t>
            </w:r>
          </w:p>
        </w:tc>
        <w:tc>
          <w:tcPr>
            <w:tcW w:w="1182" w:type="dxa"/>
            <w:shd w:val="clear" w:color="auto" w:fill="auto"/>
          </w:tcPr>
          <w:p w14:paraId="0E14841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适用</w:t>
            </w:r>
          </w:p>
        </w:tc>
      </w:tr>
      <w:tr w14:paraId="334E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448932A">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B11.2</w:t>
            </w:r>
          </w:p>
        </w:tc>
        <w:tc>
          <w:tcPr>
            <w:tcW w:w="6610" w:type="dxa"/>
            <w:shd w:val="clear" w:color="auto" w:fill="auto"/>
          </w:tcPr>
          <w:p w14:paraId="44910F9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若输出量不足可能导致危险，医疗器械应当具有防止和/或指示“输出量不足”的功能。应有适当的预防方式，以防止意外输出达危险等级的能量或物质。</w:t>
            </w:r>
          </w:p>
        </w:tc>
        <w:tc>
          <w:tcPr>
            <w:tcW w:w="1182" w:type="dxa"/>
            <w:shd w:val="clear" w:color="auto" w:fill="auto"/>
          </w:tcPr>
          <w:p w14:paraId="0277A5BD">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sz w:val="28"/>
                <w:szCs w:val="28"/>
              </w:rPr>
              <w:t>不适用</w:t>
            </w:r>
          </w:p>
        </w:tc>
      </w:tr>
      <w:tr w14:paraId="4D95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51488746">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B11.3</w:t>
            </w:r>
          </w:p>
        </w:tc>
        <w:tc>
          <w:tcPr>
            <w:tcW w:w="6610" w:type="dxa"/>
            <w:shd w:val="clear" w:color="auto" w:fill="auto"/>
          </w:tcPr>
          <w:p w14:paraId="62978E3E">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医疗器械应清楚地标识控制器和指示器的功能。若器械的操作用显示系统指示使用说明、运行状态或调整参数，此类信息应当易于理解。</w:t>
            </w:r>
          </w:p>
        </w:tc>
        <w:tc>
          <w:tcPr>
            <w:tcW w:w="1182" w:type="dxa"/>
            <w:shd w:val="clear" w:color="auto" w:fill="auto"/>
          </w:tcPr>
          <w:p w14:paraId="0B6AC17A">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724D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966AF15">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B12</w:t>
            </w:r>
          </w:p>
        </w:tc>
        <w:tc>
          <w:tcPr>
            <w:tcW w:w="7792" w:type="dxa"/>
            <w:gridSpan w:val="2"/>
            <w:shd w:val="clear" w:color="auto" w:fill="auto"/>
          </w:tcPr>
          <w:p w14:paraId="6D7E380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对非专业用户使用风险的防护</w:t>
            </w:r>
          </w:p>
        </w:tc>
      </w:tr>
      <w:tr w14:paraId="212E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42B26B63">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B12.1</w:t>
            </w:r>
          </w:p>
        </w:tc>
        <w:tc>
          <w:tcPr>
            <w:tcW w:w="6610" w:type="dxa"/>
            <w:shd w:val="clear" w:color="auto" w:fill="auto"/>
          </w:tcPr>
          <w:p w14:paraId="452A4BD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医疗器械的设计和生产应当考虑非专业用户所掌握的知识、技术和使用的环境，应当提供足够的说明，便于理解和使用。</w:t>
            </w:r>
          </w:p>
        </w:tc>
        <w:tc>
          <w:tcPr>
            <w:tcW w:w="1182" w:type="dxa"/>
            <w:shd w:val="clear" w:color="auto" w:fill="auto"/>
          </w:tcPr>
          <w:p w14:paraId="1D56CA74">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35CC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FC52B55">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B12.2</w:t>
            </w:r>
          </w:p>
        </w:tc>
        <w:tc>
          <w:tcPr>
            <w:tcW w:w="6610" w:type="dxa"/>
            <w:shd w:val="clear" w:color="auto" w:fill="auto"/>
          </w:tcPr>
          <w:p w14:paraId="606B1267">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医疗器械的设计和生产应当尽可能减少非专业用户操作错误和理解错误所致的风险。</w:t>
            </w:r>
          </w:p>
        </w:tc>
        <w:tc>
          <w:tcPr>
            <w:tcW w:w="1182" w:type="dxa"/>
            <w:shd w:val="clear" w:color="auto" w:fill="auto"/>
          </w:tcPr>
          <w:p w14:paraId="0E8DA8E9">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00B2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76872751">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B12.3</w:t>
            </w:r>
          </w:p>
        </w:tc>
        <w:tc>
          <w:tcPr>
            <w:tcW w:w="6610" w:type="dxa"/>
            <w:shd w:val="clear" w:color="auto" w:fill="auto"/>
          </w:tcPr>
          <w:p w14:paraId="6F0F72C6">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医疗器械应当尽可能设置可供非专业用户在使用过程中检查产品是否正常运行的程序。</w:t>
            </w:r>
          </w:p>
        </w:tc>
        <w:tc>
          <w:tcPr>
            <w:tcW w:w="1182" w:type="dxa"/>
            <w:shd w:val="clear" w:color="auto" w:fill="auto"/>
          </w:tcPr>
          <w:p w14:paraId="35E44D43">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不适用</w:t>
            </w:r>
          </w:p>
        </w:tc>
      </w:tr>
      <w:tr w14:paraId="699B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7807325">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B13</w:t>
            </w:r>
          </w:p>
        </w:tc>
        <w:tc>
          <w:tcPr>
            <w:tcW w:w="7792" w:type="dxa"/>
            <w:gridSpan w:val="2"/>
            <w:shd w:val="clear" w:color="auto" w:fill="auto"/>
          </w:tcPr>
          <w:p w14:paraId="4C76FB81">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标签和说明书</w:t>
            </w:r>
          </w:p>
        </w:tc>
      </w:tr>
      <w:tr w14:paraId="376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A3F50B2">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B13.1</w:t>
            </w:r>
          </w:p>
        </w:tc>
        <w:tc>
          <w:tcPr>
            <w:tcW w:w="6610" w:type="dxa"/>
            <w:shd w:val="clear" w:color="auto" w:fill="auto"/>
          </w:tcPr>
          <w:p w14:paraId="6734C239">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考虑到使用者所受的培训和所具备的知识，标签和说明书应能让使用者获得充分的信息，以辨别生产企业，安全使用产品实现其预期功能。信息应当易于理解。</w:t>
            </w:r>
          </w:p>
        </w:tc>
        <w:tc>
          <w:tcPr>
            <w:tcW w:w="1182" w:type="dxa"/>
            <w:shd w:val="clear" w:color="auto" w:fill="auto"/>
          </w:tcPr>
          <w:p w14:paraId="624BC1F6">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091A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060A0435">
            <w:pPr>
              <w:pStyle w:val="21"/>
              <w:spacing w:line="520" w:lineRule="atLeast"/>
              <w:jc w:val="center"/>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B14</w:t>
            </w:r>
          </w:p>
        </w:tc>
        <w:tc>
          <w:tcPr>
            <w:tcW w:w="7792" w:type="dxa"/>
            <w:gridSpan w:val="2"/>
            <w:shd w:val="clear" w:color="auto" w:fill="auto"/>
          </w:tcPr>
          <w:p w14:paraId="23C2C79B">
            <w:pPr>
              <w:widowControl/>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临床评价</w:t>
            </w:r>
          </w:p>
        </w:tc>
      </w:tr>
      <w:tr w14:paraId="6019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6BBB7ABA">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B14.1</w:t>
            </w:r>
          </w:p>
        </w:tc>
        <w:tc>
          <w:tcPr>
            <w:tcW w:w="6610" w:type="dxa"/>
            <w:shd w:val="clear" w:color="auto" w:fill="auto"/>
          </w:tcPr>
          <w:p w14:paraId="1694E0BA">
            <w:pPr>
              <w:widowControl/>
              <w:spacing w:line="520" w:lineRule="atLeast"/>
              <w:jc w:val="lef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kern w:val="0"/>
                <w:sz w:val="28"/>
                <w:szCs w:val="28"/>
              </w:rPr>
              <w:t>应当依照现行法规的规定提供医疗器械临床评价资料。</w:t>
            </w:r>
          </w:p>
        </w:tc>
        <w:tc>
          <w:tcPr>
            <w:tcW w:w="1182" w:type="dxa"/>
            <w:shd w:val="clear" w:color="auto" w:fill="auto"/>
          </w:tcPr>
          <w:p w14:paraId="5BA58639">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适用</w:t>
            </w:r>
          </w:p>
        </w:tc>
      </w:tr>
      <w:tr w14:paraId="08A9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auto"/>
            <w:vAlign w:val="center"/>
          </w:tcPr>
          <w:p w14:paraId="30767CC9">
            <w:pPr>
              <w:spacing w:line="520" w:lineRule="atLeas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B14.2</w:t>
            </w:r>
          </w:p>
        </w:tc>
        <w:tc>
          <w:tcPr>
            <w:tcW w:w="6610" w:type="dxa"/>
            <w:shd w:val="clear" w:color="auto" w:fill="auto"/>
          </w:tcPr>
          <w:p w14:paraId="09C40A4E">
            <w:pPr>
              <w:spacing w:line="520" w:lineRule="atLeast"/>
              <w:jc w:val="lef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临床试验应当符合《赫尔辛基宣言》。临床试验审批应当依照现行法规的规定。</w:t>
            </w:r>
          </w:p>
        </w:tc>
        <w:tc>
          <w:tcPr>
            <w:tcW w:w="1182" w:type="dxa"/>
            <w:shd w:val="clear" w:color="auto" w:fill="auto"/>
          </w:tcPr>
          <w:p w14:paraId="14F63127">
            <w:pPr>
              <w:pStyle w:val="23"/>
              <w:spacing w:line="520" w:lineRule="atLeast"/>
              <w:jc w:val="left"/>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进行临床试验的情形适用</w:t>
            </w:r>
          </w:p>
        </w:tc>
      </w:tr>
    </w:tbl>
    <w:p w14:paraId="50D178B1">
      <w:pPr>
        <w:spacing w:line="520" w:lineRule="atLeast"/>
        <w:rPr>
          <w:rFonts w:ascii="Times New Roman" w:hAnsi="Times New Roman" w:eastAsia="仿宋_GB2312" w:cs="Times New Roman"/>
          <w:color w:val="000000" w:themeColor="text1"/>
          <w:sz w:val="32"/>
          <w:szCs w:val="32"/>
        </w:rPr>
      </w:pPr>
    </w:p>
    <w:p w14:paraId="3376D2CF">
      <w:pPr>
        <w:spacing w:line="520" w:lineRule="exact"/>
        <w:jc w:val="left"/>
        <w:rPr>
          <w:rFonts w:hint="eastAsia" w:eastAsia="宋体"/>
          <w:lang w:eastAsia="zh-CN"/>
        </w:rPr>
      </w:pPr>
    </w:p>
    <w:p w14:paraId="47590264">
      <w:pPr>
        <w:spacing w:line="520" w:lineRule="exact"/>
        <w:jc w:val="center"/>
        <w:rPr>
          <w:rFonts w:hint="eastAsia" w:eastAsia="宋体"/>
          <w:lang w:eastAsia="zh-CN"/>
        </w:rPr>
      </w:pPr>
    </w:p>
    <w:p w14:paraId="05A8BD58">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DD5941-0674-450E-B49B-807112D2EA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48B98A-2C22-4435-B4B4-1BDE8BE2F738}"/>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EA6B3F7B-B678-4366-B4E8-5B7843D13075}"/>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1B578D56-1621-4616-9FE4-8C1E2E0DF812}"/>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714663"/>
      <w:docPartObj>
        <w:docPartGallery w:val="AutoText"/>
      </w:docPartObj>
    </w:sdtPr>
    <w:sdtContent>
      <w:p w14:paraId="552055BF">
        <w:pPr>
          <w:pStyle w:val="6"/>
          <w:jc w:val="center"/>
        </w:pPr>
        <w:r>
          <w:fldChar w:fldCharType="begin"/>
        </w:r>
        <w:r>
          <w:instrText xml:space="preserve">PAGE   \* MERGEFORMAT</w:instrText>
        </w:r>
        <w:r>
          <w:fldChar w:fldCharType="separate"/>
        </w:r>
        <w:r>
          <w:rPr>
            <w:lang w:val="zh-CN"/>
          </w:rPr>
          <w:t>1</w:t>
        </w:r>
        <w:r>
          <w:fldChar w:fldCharType="end"/>
        </w:r>
      </w:p>
    </w:sdtContent>
  </w:sdt>
  <w:p w14:paraId="63BE4AF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327"/>
    <w:rsid w:val="000000E8"/>
    <w:rsid w:val="00001C61"/>
    <w:rsid w:val="000024F9"/>
    <w:rsid w:val="00010205"/>
    <w:rsid w:val="00014A97"/>
    <w:rsid w:val="00015302"/>
    <w:rsid w:val="00015611"/>
    <w:rsid w:val="00017112"/>
    <w:rsid w:val="000304D0"/>
    <w:rsid w:val="000316ED"/>
    <w:rsid w:val="00045422"/>
    <w:rsid w:val="00047E96"/>
    <w:rsid w:val="000543D0"/>
    <w:rsid w:val="0006796A"/>
    <w:rsid w:val="00077F12"/>
    <w:rsid w:val="000844E8"/>
    <w:rsid w:val="000942A4"/>
    <w:rsid w:val="000A4267"/>
    <w:rsid w:val="000B2589"/>
    <w:rsid w:val="000C1C38"/>
    <w:rsid w:val="000C59B6"/>
    <w:rsid w:val="000D1DB0"/>
    <w:rsid w:val="000D39DF"/>
    <w:rsid w:val="000D54E3"/>
    <w:rsid w:val="000D5F0B"/>
    <w:rsid w:val="000E1990"/>
    <w:rsid w:val="000E1FAB"/>
    <w:rsid w:val="000E3267"/>
    <w:rsid w:val="000E7B58"/>
    <w:rsid w:val="000F251B"/>
    <w:rsid w:val="000F3A9E"/>
    <w:rsid w:val="000F4A27"/>
    <w:rsid w:val="00100D0F"/>
    <w:rsid w:val="00107781"/>
    <w:rsid w:val="001135F8"/>
    <w:rsid w:val="00122E14"/>
    <w:rsid w:val="0012477C"/>
    <w:rsid w:val="001374E3"/>
    <w:rsid w:val="0014038F"/>
    <w:rsid w:val="00153DC8"/>
    <w:rsid w:val="00160A64"/>
    <w:rsid w:val="00167974"/>
    <w:rsid w:val="00173AA7"/>
    <w:rsid w:val="00176364"/>
    <w:rsid w:val="00181FDF"/>
    <w:rsid w:val="0018391B"/>
    <w:rsid w:val="00185067"/>
    <w:rsid w:val="00192321"/>
    <w:rsid w:val="00192412"/>
    <w:rsid w:val="001A094D"/>
    <w:rsid w:val="001B049D"/>
    <w:rsid w:val="001B176E"/>
    <w:rsid w:val="001B3A81"/>
    <w:rsid w:val="001C7183"/>
    <w:rsid w:val="001D087D"/>
    <w:rsid w:val="001F2B2F"/>
    <w:rsid w:val="001F4ED5"/>
    <w:rsid w:val="001F7C24"/>
    <w:rsid w:val="00202C08"/>
    <w:rsid w:val="002133B6"/>
    <w:rsid w:val="00216971"/>
    <w:rsid w:val="00220518"/>
    <w:rsid w:val="00231215"/>
    <w:rsid w:val="002357C3"/>
    <w:rsid w:val="00244AE7"/>
    <w:rsid w:val="002450A6"/>
    <w:rsid w:val="00247AA3"/>
    <w:rsid w:val="00247AE6"/>
    <w:rsid w:val="00253EA5"/>
    <w:rsid w:val="00255630"/>
    <w:rsid w:val="002672F6"/>
    <w:rsid w:val="00296A5E"/>
    <w:rsid w:val="002A4A73"/>
    <w:rsid w:val="002A4D75"/>
    <w:rsid w:val="002C4167"/>
    <w:rsid w:val="002D3296"/>
    <w:rsid w:val="002F17C6"/>
    <w:rsid w:val="002F35DC"/>
    <w:rsid w:val="0030149A"/>
    <w:rsid w:val="003043AA"/>
    <w:rsid w:val="003062EB"/>
    <w:rsid w:val="0030684A"/>
    <w:rsid w:val="0031019A"/>
    <w:rsid w:val="00310FFB"/>
    <w:rsid w:val="00322565"/>
    <w:rsid w:val="0032542E"/>
    <w:rsid w:val="003261A4"/>
    <w:rsid w:val="00327B3B"/>
    <w:rsid w:val="00342A45"/>
    <w:rsid w:val="003455CE"/>
    <w:rsid w:val="0035517C"/>
    <w:rsid w:val="0036005C"/>
    <w:rsid w:val="00360B01"/>
    <w:rsid w:val="00363A2B"/>
    <w:rsid w:val="00364E88"/>
    <w:rsid w:val="0037078A"/>
    <w:rsid w:val="00374D3A"/>
    <w:rsid w:val="00377B23"/>
    <w:rsid w:val="003817C6"/>
    <w:rsid w:val="00387B04"/>
    <w:rsid w:val="0039281B"/>
    <w:rsid w:val="0039617B"/>
    <w:rsid w:val="003A7631"/>
    <w:rsid w:val="003C6BF3"/>
    <w:rsid w:val="003D05B4"/>
    <w:rsid w:val="003D0862"/>
    <w:rsid w:val="003D1437"/>
    <w:rsid w:val="003D2CAA"/>
    <w:rsid w:val="003D5B35"/>
    <w:rsid w:val="003E763E"/>
    <w:rsid w:val="003F146A"/>
    <w:rsid w:val="004256CF"/>
    <w:rsid w:val="00427CCC"/>
    <w:rsid w:val="0043096C"/>
    <w:rsid w:val="004355C0"/>
    <w:rsid w:val="0044729D"/>
    <w:rsid w:val="00450894"/>
    <w:rsid w:val="00453044"/>
    <w:rsid w:val="00454B59"/>
    <w:rsid w:val="00462383"/>
    <w:rsid w:val="004937F9"/>
    <w:rsid w:val="004A3316"/>
    <w:rsid w:val="004B66C2"/>
    <w:rsid w:val="004B7780"/>
    <w:rsid w:val="004C180E"/>
    <w:rsid w:val="004C4BB2"/>
    <w:rsid w:val="004D6099"/>
    <w:rsid w:val="004E2FC5"/>
    <w:rsid w:val="004E5C0B"/>
    <w:rsid w:val="004F3541"/>
    <w:rsid w:val="00503CC2"/>
    <w:rsid w:val="005227C1"/>
    <w:rsid w:val="00522B59"/>
    <w:rsid w:val="00535502"/>
    <w:rsid w:val="00535E51"/>
    <w:rsid w:val="0054401E"/>
    <w:rsid w:val="00544746"/>
    <w:rsid w:val="00547C75"/>
    <w:rsid w:val="00551EDC"/>
    <w:rsid w:val="005604CA"/>
    <w:rsid w:val="00563EA4"/>
    <w:rsid w:val="005678C7"/>
    <w:rsid w:val="005716C3"/>
    <w:rsid w:val="00573CCF"/>
    <w:rsid w:val="0057546E"/>
    <w:rsid w:val="0058351E"/>
    <w:rsid w:val="005A0AA7"/>
    <w:rsid w:val="005A1B5E"/>
    <w:rsid w:val="005A3F67"/>
    <w:rsid w:val="005A5732"/>
    <w:rsid w:val="005A694B"/>
    <w:rsid w:val="005A6BFB"/>
    <w:rsid w:val="005A7CA9"/>
    <w:rsid w:val="005B0105"/>
    <w:rsid w:val="005B330F"/>
    <w:rsid w:val="005B51B3"/>
    <w:rsid w:val="005B5C33"/>
    <w:rsid w:val="005C2261"/>
    <w:rsid w:val="005C2C7A"/>
    <w:rsid w:val="005D6AD3"/>
    <w:rsid w:val="005E20E5"/>
    <w:rsid w:val="005E5F00"/>
    <w:rsid w:val="005F42D4"/>
    <w:rsid w:val="005F69DF"/>
    <w:rsid w:val="00614BD6"/>
    <w:rsid w:val="00631B8C"/>
    <w:rsid w:val="0063317E"/>
    <w:rsid w:val="00653E86"/>
    <w:rsid w:val="00654F72"/>
    <w:rsid w:val="00663C59"/>
    <w:rsid w:val="00666BD5"/>
    <w:rsid w:val="0067057D"/>
    <w:rsid w:val="006707F7"/>
    <w:rsid w:val="00674A5E"/>
    <w:rsid w:val="006842EA"/>
    <w:rsid w:val="00684BB2"/>
    <w:rsid w:val="006943BF"/>
    <w:rsid w:val="006948C7"/>
    <w:rsid w:val="00697278"/>
    <w:rsid w:val="006A5CCF"/>
    <w:rsid w:val="006B23C0"/>
    <w:rsid w:val="006D4578"/>
    <w:rsid w:val="006E2CD3"/>
    <w:rsid w:val="006E2F17"/>
    <w:rsid w:val="006E5CD1"/>
    <w:rsid w:val="006E7A4E"/>
    <w:rsid w:val="006E7BB4"/>
    <w:rsid w:val="006F19B5"/>
    <w:rsid w:val="006F556F"/>
    <w:rsid w:val="00705945"/>
    <w:rsid w:val="0071357C"/>
    <w:rsid w:val="0072112F"/>
    <w:rsid w:val="007260F6"/>
    <w:rsid w:val="00727F61"/>
    <w:rsid w:val="00731739"/>
    <w:rsid w:val="00745420"/>
    <w:rsid w:val="00760E3B"/>
    <w:rsid w:val="0076675F"/>
    <w:rsid w:val="007673CC"/>
    <w:rsid w:val="00775F92"/>
    <w:rsid w:val="00776B09"/>
    <w:rsid w:val="00781461"/>
    <w:rsid w:val="00792090"/>
    <w:rsid w:val="007B63E4"/>
    <w:rsid w:val="007B646C"/>
    <w:rsid w:val="007D07BF"/>
    <w:rsid w:val="007D19BA"/>
    <w:rsid w:val="007E064E"/>
    <w:rsid w:val="007E7FE0"/>
    <w:rsid w:val="007F0F05"/>
    <w:rsid w:val="007F6855"/>
    <w:rsid w:val="00817725"/>
    <w:rsid w:val="00821326"/>
    <w:rsid w:val="00833E9A"/>
    <w:rsid w:val="008469EA"/>
    <w:rsid w:val="00850E2E"/>
    <w:rsid w:val="00852CFA"/>
    <w:rsid w:val="00882944"/>
    <w:rsid w:val="0088307A"/>
    <w:rsid w:val="00892446"/>
    <w:rsid w:val="00896D29"/>
    <w:rsid w:val="008A1BBC"/>
    <w:rsid w:val="008B4AC1"/>
    <w:rsid w:val="008C0099"/>
    <w:rsid w:val="008C0AB4"/>
    <w:rsid w:val="008C2E73"/>
    <w:rsid w:val="008C7AEF"/>
    <w:rsid w:val="008D64B6"/>
    <w:rsid w:val="008E5714"/>
    <w:rsid w:val="008E5A99"/>
    <w:rsid w:val="008F7D80"/>
    <w:rsid w:val="009020D7"/>
    <w:rsid w:val="00905813"/>
    <w:rsid w:val="009077A3"/>
    <w:rsid w:val="009222A5"/>
    <w:rsid w:val="00931AE5"/>
    <w:rsid w:val="00933CCE"/>
    <w:rsid w:val="00935803"/>
    <w:rsid w:val="009432B8"/>
    <w:rsid w:val="0094514C"/>
    <w:rsid w:val="0096666C"/>
    <w:rsid w:val="009725DC"/>
    <w:rsid w:val="00972B83"/>
    <w:rsid w:val="00992390"/>
    <w:rsid w:val="00992A4B"/>
    <w:rsid w:val="00994822"/>
    <w:rsid w:val="00997F7D"/>
    <w:rsid w:val="009A2439"/>
    <w:rsid w:val="009A331C"/>
    <w:rsid w:val="009B7327"/>
    <w:rsid w:val="009C3B1E"/>
    <w:rsid w:val="009D337A"/>
    <w:rsid w:val="009D47A5"/>
    <w:rsid w:val="009E0F25"/>
    <w:rsid w:val="009E2172"/>
    <w:rsid w:val="009E2628"/>
    <w:rsid w:val="009E5E50"/>
    <w:rsid w:val="009F428E"/>
    <w:rsid w:val="009F687E"/>
    <w:rsid w:val="009F7B95"/>
    <w:rsid w:val="00A00CF8"/>
    <w:rsid w:val="00A01C8D"/>
    <w:rsid w:val="00A05FBA"/>
    <w:rsid w:val="00A0652F"/>
    <w:rsid w:val="00A10310"/>
    <w:rsid w:val="00A10498"/>
    <w:rsid w:val="00A105A8"/>
    <w:rsid w:val="00A10C14"/>
    <w:rsid w:val="00A13120"/>
    <w:rsid w:val="00A15A34"/>
    <w:rsid w:val="00A37989"/>
    <w:rsid w:val="00A40892"/>
    <w:rsid w:val="00A417A4"/>
    <w:rsid w:val="00A744B8"/>
    <w:rsid w:val="00A82FF1"/>
    <w:rsid w:val="00A83FAD"/>
    <w:rsid w:val="00A9088F"/>
    <w:rsid w:val="00A9496D"/>
    <w:rsid w:val="00AA37E3"/>
    <w:rsid w:val="00AB1F35"/>
    <w:rsid w:val="00AB3272"/>
    <w:rsid w:val="00AB4D23"/>
    <w:rsid w:val="00AB7471"/>
    <w:rsid w:val="00AC2A72"/>
    <w:rsid w:val="00AC702E"/>
    <w:rsid w:val="00AC7E86"/>
    <w:rsid w:val="00AD52BD"/>
    <w:rsid w:val="00B126CB"/>
    <w:rsid w:val="00B15437"/>
    <w:rsid w:val="00B15D04"/>
    <w:rsid w:val="00B1626F"/>
    <w:rsid w:val="00B2601B"/>
    <w:rsid w:val="00B2733E"/>
    <w:rsid w:val="00B3575D"/>
    <w:rsid w:val="00B44AB4"/>
    <w:rsid w:val="00B4532F"/>
    <w:rsid w:val="00B45E41"/>
    <w:rsid w:val="00B50259"/>
    <w:rsid w:val="00B6049F"/>
    <w:rsid w:val="00B623DB"/>
    <w:rsid w:val="00B666FF"/>
    <w:rsid w:val="00B66DC9"/>
    <w:rsid w:val="00B731A1"/>
    <w:rsid w:val="00B8092B"/>
    <w:rsid w:val="00B83DB9"/>
    <w:rsid w:val="00B933EF"/>
    <w:rsid w:val="00B948EC"/>
    <w:rsid w:val="00B95085"/>
    <w:rsid w:val="00BA026E"/>
    <w:rsid w:val="00BA24C5"/>
    <w:rsid w:val="00BA34F0"/>
    <w:rsid w:val="00BA3910"/>
    <w:rsid w:val="00BA7243"/>
    <w:rsid w:val="00BB455B"/>
    <w:rsid w:val="00BB4B50"/>
    <w:rsid w:val="00BC1332"/>
    <w:rsid w:val="00BC20C4"/>
    <w:rsid w:val="00BC42DB"/>
    <w:rsid w:val="00BC4477"/>
    <w:rsid w:val="00BC6D53"/>
    <w:rsid w:val="00BD12FE"/>
    <w:rsid w:val="00BD5DC4"/>
    <w:rsid w:val="00BD6D3E"/>
    <w:rsid w:val="00BE1FFD"/>
    <w:rsid w:val="00BE31F5"/>
    <w:rsid w:val="00BF1A70"/>
    <w:rsid w:val="00BF1ADC"/>
    <w:rsid w:val="00BF5910"/>
    <w:rsid w:val="00C25176"/>
    <w:rsid w:val="00C27EFB"/>
    <w:rsid w:val="00C367D2"/>
    <w:rsid w:val="00C4350C"/>
    <w:rsid w:val="00C465F1"/>
    <w:rsid w:val="00C46BC0"/>
    <w:rsid w:val="00C46DDB"/>
    <w:rsid w:val="00C66C7E"/>
    <w:rsid w:val="00C74FA7"/>
    <w:rsid w:val="00C75672"/>
    <w:rsid w:val="00C77317"/>
    <w:rsid w:val="00C80DF1"/>
    <w:rsid w:val="00C85776"/>
    <w:rsid w:val="00C9193B"/>
    <w:rsid w:val="00CA69BE"/>
    <w:rsid w:val="00CB3758"/>
    <w:rsid w:val="00CB550E"/>
    <w:rsid w:val="00CB7895"/>
    <w:rsid w:val="00CC1CB7"/>
    <w:rsid w:val="00CC1F04"/>
    <w:rsid w:val="00CC69BF"/>
    <w:rsid w:val="00CD3B73"/>
    <w:rsid w:val="00CD6B57"/>
    <w:rsid w:val="00CE6FBD"/>
    <w:rsid w:val="00CE7F16"/>
    <w:rsid w:val="00CF6031"/>
    <w:rsid w:val="00D009E7"/>
    <w:rsid w:val="00D01851"/>
    <w:rsid w:val="00D1161A"/>
    <w:rsid w:val="00D13024"/>
    <w:rsid w:val="00D13A5F"/>
    <w:rsid w:val="00D13C4E"/>
    <w:rsid w:val="00D22F3E"/>
    <w:rsid w:val="00D41417"/>
    <w:rsid w:val="00D472FD"/>
    <w:rsid w:val="00D52142"/>
    <w:rsid w:val="00D570C3"/>
    <w:rsid w:val="00D61508"/>
    <w:rsid w:val="00D673C4"/>
    <w:rsid w:val="00D70D11"/>
    <w:rsid w:val="00D8426F"/>
    <w:rsid w:val="00D910F6"/>
    <w:rsid w:val="00DA3D98"/>
    <w:rsid w:val="00DA52BB"/>
    <w:rsid w:val="00DB0F14"/>
    <w:rsid w:val="00DB4366"/>
    <w:rsid w:val="00DC6202"/>
    <w:rsid w:val="00DE6348"/>
    <w:rsid w:val="00DF4781"/>
    <w:rsid w:val="00E02A2B"/>
    <w:rsid w:val="00E0677D"/>
    <w:rsid w:val="00E10280"/>
    <w:rsid w:val="00E1040D"/>
    <w:rsid w:val="00E11F88"/>
    <w:rsid w:val="00E2048A"/>
    <w:rsid w:val="00E22C5E"/>
    <w:rsid w:val="00E35BCF"/>
    <w:rsid w:val="00E41E7C"/>
    <w:rsid w:val="00E421AC"/>
    <w:rsid w:val="00E53058"/>
    <w:rsid w:val="00E55F9C"/>
    <w:rsid w:val="00E65135"/>
    <w:rsid w:val="00E6794F"/>
    <w:rsid w:val="00E821F6"/>
    <w:rsid w:val="00E8790F"/>
    <w:rsid w:val="00E97D7E"/>
    <w:rsid w:val="00EA068F"/>
    <w:rsid w:val="00EA10CA"/>
    <w:rsid w:val="00EA2C9F"/>
    <w:rsid w:val="00EA3367"/>
    <w:rsid w:val="00EA34A4"/>
    <w:rsid w:val="00EA6B5A"/>
    <w:rsid w:val="00EB10ED"/>
    <w:rsid w:val="00EB39DC"/>
    <w:rsid w:val="00EB70CD"/>
    <w:rsid w:val="00ED0456"/>
    <w:rsid w:val="00ED5359"/>
    <w:rsid w:val="00ED70DC"/>
    <w:rsid w:val="00EE23F8"/>
    <w:rsid w:val="00EE3CCF"/>
    <w:rsid w:val="00EE46F4"/>
    <w:rsid w:val="00EE5FA0"/>
    <w:rsid w:val="00EF73E1"/>
    <w:rsid w:val="00F00BA8"/>
    <w:rsid w:val="00F03396"/>
    <w:rsid w:val="00F0682B"/>
    <w:rsid w:val="00F10D0A"/>
    <w:rsid w:val="00F12172"/>
    <w:rsid w:val="00F12552"/>
    <w:rsid w:val="00F13CC5"/>
    <w:rsid w:val="00F141D3"/>
    <w:rsid w:val="00F14B0A"/>
    <w:rsid w:val="00F247C6"/>
    <w:rsid w:val="00F31EAF"/>
    <w:rsid w:val="00F37CB7"/>
    <w:rsid w:val="00F429F4"/>
    <w:rsid w:val="00F43C3E"/>
    <w:rsid w:val="00F57F93"/>
    <w:rsid w:val="00F91691"/>
    <w:rsid w:val="00F94B1D"/>
    <w:rsid w:val="00FA3ABC"/>
    <w:rsid w:val="00FA6ED5"/>
    <w:rsid w:val="00FB25EF"/>
    <w:rsid w:val="00FB3BB0"/>
    <w:rsid w:val="00FC09D8"/>
    <w:rsid w:val="00FC3094"/>
    <w:rsid w:val="00FC3268"/>
    <w:rsid w:val="00FC5519"/>
    <w:rsid w:val="00FD22B0"/>
    <w:rsid w:val="00FD631F"/>
    <w:rsid w:val="00FD67B6"/>
    <w:rsid w:val="00FE7092"/>
    <w:rsid w:val="00FF69DD"/>
    <w:rsid w:val="541D4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29"/>
    <w:semiHidden/>
    <w:unhideWhenUsed/>
    <w:uiPriority w:val="99"/>
    <w:rPr>
      <w:rFonts w:ascii="宋体" w:eastAsia="宋体"/>
      <w:sz w:val="18"/>
      <w:szCs w:val="18"/>
    </w:rPr>
  </w:style>
  <w:style w:type="paragraph" w:styleId="4">
    <w:name w:val="annotation text"/>
    <w:basedOn w:val="1"/>
    <w:link w:val="25"/>
    <w:semiHidden/>
    <w:unhideWhenUsed/>
    <w:uiPriority w:val="99"/>
    <w:pPr>
      <w:jc w:val="left"/>
    </w:pPr>
  </w:style>
  <w:style w:type="paragraph" w:styleId="5">
    <w:name w:val="Balloon Text"/>
    <w:basedOn w:val="1"/>
    <w:link w:val="28"/>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63" w:after="63"/>
      <w:jc w:val="left"/>
    </w:pPr>
    <w:rPr>
      <w:rFonts w:ascii="宋体" w:hAnsi="宋体" w:eastAsia="宋体" w:cs="宋体"/>
      <w:kern w:val="0"/>
      <w:sz w:val="24"/>
      <w:szCs w:val="24"/>
    </w:rPr>
  </w:style>
  <w:style w:type="paragraph" w:styleId="9">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6"/>
    <w:semiHidden/>
    <w:unhideWhenUsed/>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CC"/>
      <w:u w:val="single"/>
    </w:rPr>
  </w:style>
  <w:style w:type="character" w:styleId="15">
    <w:name w:val="annotation reference"/>
    <w:basedOn w:val="13"/>
    <w:semiHidden/>
    <w:unhideWhenUsed/>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uiPriority w:val="99"/>
    <w:rPr>
      <w:sz w:val="18"/>
      <w:szCs w:val="18"/>
    </w:rPr>
  </w:style>
  <w:style w:type="paragraph" w:styleId="18">
    <w:name w:val="List Paragraph"/>
    <w:basedOn w:val="1"/>
    <w:qFormat/>
    <w:uiPriority w:val="0"/>
    <w:pPr>
      <w:ind w:firstLine="420" w:firstLineChars="200"/>
    </w:pPr>
  </w:style>
  <w:style w:type="paragraph" w:customStyle="1" w:styleId="19">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0">
    <w:name w:val="标题 字符"/>
    <w:basedOn w:val="13"/>
    <w:link w:val="9"/>
    <w:qFormat/>
    <w:uiPriority w:val="10"/>
    <w:rPr>
      <w:rFonts w:eastAsia="宋体" w:asciiTheme="majorHAnsi" w:hAnsiTheme="majorHAnsi" w:cstheme="majorBidi"/>
      <w:b/>
      <w:bCs/>
      <w:sz w:val="32"/>
      <w:szCs w:val="32"/>
    </w:rPr>
  </w:style>
  <w:style w:type="paragraph" w:customStyle="1" w:styleId="21">
    <w:name w:val="调查项目"/>
    <w:basedOn w:val="1"/>
    <w:uiPriority w:val="0"/>
    <w:pPr>
      <w:widowControl/>
      <w:jc w:val="left"/>
      <w:outlineLvl w:val="1"/>
    </w:pPr>
    <w:rPr>
      <w:rFonts w:ascii="Tahoma" w:hAnsi="Tahoma" w:eastAsia="黑体" w:cs="Times New Roman"/>
      <w:bCs/>
      <w:color w:val="333399"/>
      <w:kern w:val="0"/>
      <w:sz w:val="18"/>
      <w:szCs w:val="18"/>
    </w:rPr>
  </w:style>
  <w:style w:type="paragraph" w:customStyle="1" w:styleId="22">
    <w:name w:val="列标题"/>
    <w:basedOn w:val="2"/>
    <w:uiPriority w:val="0"/>
    <w:pPr>
      <w:keepNext w:val="0"/>
      <w:keepLines w:val="0"/>
      <w:widowControl/>
      <w:spacing w:before="0" w:after="0" w:line="240" w:lineRule="auto"/>
      <w:jc w:val="center"/>
    </w:pPr>
    <w:rPr>
      <w:rFonts w:ascii="Tahoma" w:hAnsi="Tahoma" w:eastAsia="黑体" w:cs="Times New Roman"/>
      <w:b w:val="0"/>
      <w:color w:val="333399"/>
      <w:kern w:val="0"/>
      <w:sz w:val="18"/>
      <w:szCs w:val="18"/>
    </w:rPr>
  </w:style>
  <w:style w:type="paragraph" w:customStyle="1" w:styleId="23">
    <w:name w:val="表格正文文本"/>
    <w:basedOn w:val="1"/>
    <w:uiPriority w:val="0"/>
    <w:pPr>
      <w:widowControl/>
      <w:jc w:val="center"/>
    </w:pPr>
    <w:rPr>
      <w:rFonts w:ascii="Tahoma" w:hAnsi="Tahoma" w:eastAsia="宋体" w:cs="Times New Roman"/>
      <w:kern w:val="0"/>
      <w:sz w:val="18"/>
      <w:szCs w:val="20"/>
    </w:rPr>
  </w:style>
  <w:style w:type="character" w:customStyle="1" w:styleId="24">
    <w:name w:val="标题 2 字符"/>
    <w:basedOn w:val="13"/>
    <w:link w:val="2"/>
    <w:semiHidden/>
    <w:uiPriority w:val="9"/>
    <w:rPr>
      <w:rFonts w:asciiTheme="majorHAnsi" w:hAnsiTheme="majorHAnsi" w:eastAsiaTheme="majorEastAsia" w:cstheme="majorBidi"/>
      <w:b/>
      <w:bCs/>
      <w:sz w:val="32"/>
      <w:szCs w:val="32"/>
    </w:rPr>
  </w:style>
  <w:style w:type="character" w:customStyle="1" w:styleId="25">
    <w:name w:val="批注文字 字符"/>
    <w:basedOn w:val="13"/>
    <w:link w:val="4"/>
    <w:semiHidden/>
    <w:uiPriority w:val="99"/>
  </w:style>
  <w:style w:type="character" w:customStyle="1" w:styleId="26">
    <w:name w:val="批注主题 字符"/>
    <w:basedOn w:val="25"/>
    <w:link w:val="10"/>
    <w:semiHidden/>
    <w:qFormat/>
    <w:uiPriority w:val="99"/>
    <w:rPr>
      <w:b/>
      <w:bCs/>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3"/>
    <w:link w:val="5"/>
    <w:semiHidden/>
    <w:uiPriority w:val="99"/>
    <w:rPr>
      <w:sz w:val="18"/>
      <w:szCs w:val="18"/>
    </w:rPr>
  </w:style>
  <w:style w:type="character" w:customStyle="1" w:styleId="29">
    <w:name w:val="文档结构图 字符"/>
    <w:basedOn w:val="13"/>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24</Pages>
  <Words>5429</Words>
  <Characters>5757</Characters>
  <Lines>73</Lines>
  <Paragraphs>20</Paragraphs>
  <TotalTime>404</TotalTime>
  <ScaleCrop>false</ScaleCrop>
  <LinksUpToDate>false</LinksUpToDate>
  <CharactersWithSpaces>5797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2021-09-13T04:51:00Z</dcterms:created>
  <dc:creator>lenovo</dc:creator>
  <cp:lastModifiedBy>太极箫客</cp:lastModifiedBy>
  <cp:lastPrinted>2018-04-24T05:37:00Z</cp:lastPrinted>
  <dcterms:modified xsi:type="dcterms:W3CDTF">2025-08-14T06:37:45Z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fb6f85-364c-432f-a1e0-22ee4b6e966c_Enabled">
    <vt:lpwstr>true</vt:lpwstr>
  </property>
  <property fmtid="{D5CDD505-2E9C-101B-9397-08002B2CF9AE}" pid="3" name="MSIP_Label_05fb6f85-364c-432f-a1e0-22ee4b6e966c_SetDate">
    <vt:lpwstr>2021-09-13T04:51:24Z</vt:lpwstr>
  </property>
  <property fmtid="{D5CDD505-2E9C-101B-9397-08002B2CF9AE}" pid="4" name="MSIP_Label_05fb6f85-364c-432f-a1e0-22ee4b6e966c_Method">
    <vt:lpwstr>Standard</vt:lpwstr>
  </property>
  <property fmtid="{D5CDD505-2E9C-101B-9397-08002B2CF9AE}" pid="5" name="MSIP_Label_05fb6f85-364c-432f-a1e0-22ee4b6e966c_Name">
    <vt:lpwstr>05fb6f85-364c-432f-a1e0-22ee4b6e966c</vt:lpwstr>
  </property>
  <property fmtid="{D5CDD505-2E9C-101B-9397-08002B2CF9AE}" pid="6" name="MSIP_Label_05fb6f85-364c-432f-a1e0-22ee4b6e966c_SiteId">
    <vt:lpwstr>c49d9c49-4b11-4ccd-b137-72f88c68a252</vt:lpwstr>
  </property>
  <property fmtid="{D5CDD505-2E9C-101B-9397-08002B2CF9AE}" pid="7" name="MSIP_Label_05fb6f85-364c-432f-a1e0-22ee4b6e966c_ActionId">
    <vt:lpwstr>85ea7f84-454b-4713-98ca-db180eedf760</vt:lpwstr>
  </property>
  <property fmtid="{D5CDD505-2E9C-101B-9397-08002B2CF9AE}" pid="8" name="MSIP_Label_05fb6f85-364c-432f-a1e0-22ee4b6e966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8A796634BC2645B78F45AFCA10DF3C5F_12</vt:lpwstr>
  </property>
</Properties>
</file>