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90FEA">
      <w:pPr>
        <w:pBdr>
          <w:bottom w:val="single" w:color="auto" w:sz="4" w:space="1"/>
        </w:pBdr>
        <w:autoSpaceDE/>
        <w:autoSpaceDN/>
        <w:spacing w:before="120" w:beforeLines="50" w:line="300" w:lineRule="auto"/>
        <w:jc w:val="center"/>
        <w:rPr>
          <w:rFonts w:cs="Times New Roman"/>
          <w:b/>
          <w:sz w:val="44"/>
          <w:szCs w:val="44"/>
          <w:lang w:eastAsia="zh-CN"/>
        </w:rPr>
      </w:pPr>
      <w:bookmarkStart w:id="12" w:name="_GoBack"/>
      <w:bookmarkEnd w:id="12"/>
      <w:r>
        <w:rPr>
          <w:rFonts w:cs="宋体"/>
          <w:b/>
          <w:sz w:val="44"/>
          <w:lang w:eastAsia="zh-CN"/>
        </w:rPr>
        <w:t>医疗器械注册电子申报资料 — 《联邦食品、药品和化妆品法案》第745A(b)节规定的要求</w:t>
      </w:r>
    </w:p>
    <w:p w14:paraId="22F4395C">
      <w:pPr>
        <w:autoSpaceDE/>
        <w:autoSpaceDN/>
        <w:spacing w:before="120" w:beforeLines="50" w:line="300" w:lineRule="auto"/>
        <w:jc w:val="center"/>
        <w:rPr>
          <w:rFonts w:cs="Times New Roman"/>
          <w:b/>
          <w:sz w:val="44"/>
          <w:szCs w:val="44"/>
          <w:lang w:eastAsia="zh-CN"/>
        </w:rPr>
      </w:pPr>
      <w:r>
        <w:rPr>
          <w:rFonts w:cs="宋体"/>
          <w:b/>
          <w:sz w:val="44"/>
          <w:lang w:eastAsia="zh-CN"/>
        </w:rPr>
        <w:t>行业和美国食品药品监督管理局工作人员指南</w:t>
      </w:r>
    </w:p>
    <w:p w14:paraId="0E493E7D">
      <w:pPr>
        <w:autoSpaceDE/>
        <w:autoSpaceDN/>
        <w:spacing w:before="120" w:beforeLines="50" w:line="300" w:lineRule="auto"/>
        <w:jc w:val="center"/>
        <w:rPr>
          <w:rFonts w:cs="Times New Roman"/>
          <w:b/>
          <w:sz w:val="24"/>
          <w:szCs w:val="24"/>
          <w:lang w:eastAsia="zh-CN"/>
        </w:rPr>
      </w:pPr>
      <w:r>
        <w:rPr>
          <w:rFonts w:cs="宋体"/>
          <w:b/>
          <w:sz w:val="24"/>
          <w:lang w:eastAsia="zh-CN"/>
        </w:rPr>
        <w:t>文件发布日期：2020年7月15日</w:t>
      </w:r>
    </w:p>
    <w:p w14:paraId="2AEF0080">
      <w:pPr>
        <w:autoSpaceDE/>
        <w:autoSpaceDN/>
        <w:spacing w:before="120" w:beforeLines="50" w:line="300" w:lineRule="auto"/>
        <w:jc w:val="center"/>
        <w:rPr>
          <w:rFonts w:cs="Times New Roman"/>
          <w:b/>
          <w:sz w:val="24"/>
          <w:szCs w:val="24"/>
          <w:lang w:eastAsia="zh-CN"/>
        </w:rPr>
      </w:pPr>
      <w:r>
        <w:rPr>
          <w:rFonts w:cs="宋体"/>
          <w:b/>
          <w:sz w:val="24"/>
          <w:lang w:eastAsia="zh-CN"/>
        </w:rPr>
        <w:t>本文件草案发布日期：2019年9月26日</w:t>
      </w:r>
    </w:p>
    <w:p w14:paraId="2DF30618">
      <w:pPr>
        <w:autoSpaceDE/>
        <w:autoSpaceDN/>
        <w:spacing w:before="120" w:beforeLines="50" w:line="300" w:lineRule="auto"/>
        <w:rPr>
          <w:rFonts w:cs="宋体"/>
          <w:sz w:val="24"/>
          <w:lang w:eastAsia="zh-CN"/>
        </w:rPr>
      </w:pPr>
      <w:r>
        <w:rPr>
          <w:rFonts w:cs="宋体"/>
          <w:sz w:val="24"/>
        </w:rPr>
        <w:t>如对本文件有关CDRH监管器械的内容有任何疑问，请与监管项目办公室联系，电话为301-796-5640，或发送电子邮件至</w:t>
      </w:r>
      <w:r>
        <w:rPr>
          <w:rFonts w:cs="宋体"/>
          <w:color w:val="0000FF"/>
          <w:sz w:val="24"/>
          <w:u w:val="single"/>
        </w:rPr>
        <w:t>esubpilot@fda.hhs.gov</w:t>
      </w:r>
      <w:r>
        <w:rPr>
          <w:rFonts w:cs="宋体"/>
          <w:sz w:val="24"/>
        </w:rPr>
        <w:t>。对于本文件中与CBER监管器械相关的问题，请发送电子邮件至</w:t>
      </w:r>
      <w:r>
        <w:rPr>
          <w:rFonts w:cs="宋体"/>
          <w:color w:val="0000FF"/>
          <w:sz w:val="24"/>
          <w:u w:val="single"/>
        </w:rPr>
        <w:t>ocod@fda.hhs.gov</w:t>
      </w:r>
      <w:r>
        <w:rPr>
          <w:rFonts w:cs="宋体"/>
          <w:sz w:val="24"/>
        </w:rPr>
        <w:t>或致电800-835-4709或240-402-8010联系交流、外联和发展办公室（OCOD）。</w:t>
      </w:r>
    </w:p>
    <w:p w14:paraId="5F3D8728">
      <w:pPr>
        <w:autoSpaceDE/>
        <w:autoSpaceDN/>
        <w:spacing w:before="120" w:beforeLines="50" w:line="300" w:lineRule="auto"/>
        <w:rPr>
          <w:rFonts w:cs="宋体"/>
          <w:sz w:val="24"/>
          <w:lang w:eastAsia="zh-CN"/>
        </w:rPr>
      </w:pPr>
    </w:p>
    <w:p w14:paraId="5676EB76">
      <w:pPr>
        <w:autoSpaceDE/>
        <w:autoSpaceDN/>
        <w:spacing w:before="120" w:beforeLines="50" w:line="300" w:lineRule="auto"/>
        <w:rPr>
          <w:rFonts w:cs="Times New Roman"/>
          <w:sz w:val="24"/>
          <w:szCs w:val="24"/>
          <w:lang w:eastAsia="zh-CN"/>
        </w:rPr>
      </w:pPr>
    </w:p>
    <w:tbl>
      <w:tblPr>
        <w:tblStyle w:val="12"/>
        <w:tblW w:w="5000" w:type="pct"/>
        <w:tblInd w:w="0" w:type="dxa"/>
        <w:tblLayout w:type="autofit"/>
        <w:tblCellMar>
          <w:top w:w="0" w:type="dxa"/>
          <w:left w:w="108" w:type="dxa"/>
          <w:bottom w:w="0" w:type="dxa"/>
          <w:right w:w="108" w:type="dxa"/>
        </w:tblCellMar>
      </w:tblPr>
      <w:tblGrid>
        <w:gridCol w:w="4883"/>
        <w:gridCol w:w="4404"/>
      </w:tblGrid>
      <w:tr w14:paraId="77487D34">
        <w:tblPrEx>
          <w:tblCellMar>
            <w:top w:w="0" w:type="dxa"/>
            <w:left w:w="108" w:type="dxa"/>
            <w:bottom w:w="0" w:type="dxa"/>
            <w:right w:w="108" w:type="dxa"/>
          </w:tblCellMar>
        </w:tblPrEx>
        <w:tc>
          <w:tcPr>
            <w:tcW w:w="2629" w:type="pct"/>
          </w:tcPr>
          <w:p w14:paraId="2B33F738">
            <w:pPr>
              <w:autoSpaceDE/>
              <w:autoSpaceDN/>
              <w:spacing w:before="36" w:beforeLines="15" w:line="276" w:lineRule="auto"/>
              <w:rPr>
                <w:rFonts w:cs="Times New Roman"/>
              </w:rPr>
            </w:pPr>
            <w:r>
              <w:rPr>
                <w:rFonts w:ascii="宋体" w:hAnsi="宋体" w:cs="宋体"/>
                <w:lang w:eastAsia="zh-CN"/>
              </w:rPr>
              <w:drawing>
                <wp:inline distT="0" distB="0" distL="0" distR="0">
                  <wp:extent cx="2476500" cy="510540"/>
                  <wp:effectExtent l="0" t="0" r="0" b="0"/>
                  <wp:docPr id="1" name="image1.png"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Food and Drug Administration logo"/>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6500" cy="510540"/>
                          </a:xfrm>
                          <a:prstGeom prst="rect">
                            <a:avLst/>
                          </a:prstGeom>
                        </pic:spPr>
                      </pic:pic>
                    </a:graphicData>
                  </a:graphic>
                </wp:inline>
              </w:drawing>
            </w:r>
          </w:p>
        </w:tc>
        <w:tc>
          <w:tcPr>
            <w:tcW w:w="2371" w:type="pct"/>
          </w:tcPr>
          <w:p w14:paraId="039FE1A9">
            <w:pPr>
              <w:autoSpaceDE/>
              <w:autoSpaceDN/>
              <w:spacing w:before="36" w:beforeLines="15" w:line="276" w:lineRule="auto"/>
              <w:jc w:val="right"/>
              <w:rPr>
                <w:rFonts w:cs="Times New Roman"/>
                <w:b/>
                <w:lang w:eastAsia="zh-CN"/>
              </w:rPr>
            </w:pPr>
            <w:r>
              <w:rPr>
                <w:rFonts w:cs="宋体"/>
                <w:b/>
                <w:lang w:eastAsia="zh-CN"/>
              </w:rPr>
              <w:t>美国卫生与公共服务部</w:t>
            </w:r>
          </w:p>
          <w:p w14:paraId="27A0BA5B">
            <w:pPr>
              <w:autoSpaceDE/>
              <w:autoSpaceDN/>
              <w:spacing w:before="36" w:beforeLines="15" w:line="276" w:lineRule="auto"/>
              <w:jc w:val="right"/>
              <w:rPr>
                <w:rFonts w:cs="Times New Roman"/>
                <w:b/>
                <w:lang w:eastAsia="zh-CN"/>
              </w:rPr>
            </w:pPr>
            <w:r>
              <w:rPr>
                <w:rFonts w:cs="宋体"/>
                <w:b/>
                <w:lang w:eastAsia="zh-CN"/>
              </w:rPr>
              <w:t>美国食品药品监督管理局</w:t>
            </w:r>
          </w:p>
          <w:p w14:paraId="5C1A041B">
            <w:pPr>
              <w:autoSpaceDE/>
              <w:autoSpaceDN/>
              <w:spacing w:before="36" w:beforeLines="15" w:line="276" w:lineRule="auto"/>
              <w:jc w:val="right"/>
              <w:rPr>
                <w:rFonts w:cs="Times New Roman"/>
                <w:b/>
                <w:lang w:eastAsia="zh-CN"/>
              </w:rPr>
            </w:pPr>
            <w:r>
              <w:rPr>
                <w:rFonts w:hint="eastAsia" w:cs="宋体"/>
                <w:b/>
                <w:lang w:eastAsia="zh-CN"/>
              </w:rPr>
              <w:t>医疗器械和辐射健康中心</w:t>
            </w:r>
          </w:p>
          <w:p w14:paraId="6D1C71D9">
            <w:pPr>
              <w:autoSpaceDE/>
              <w:autoSpaceDN/>
              <w:spacing w:before="36" w:beforeLines="15" w:line="276" w:lineRule="auto"/>
              <w:jc w:val="right"/>
              <w:rPr>
                <w:rFonts w:cs="Times New Roman"/>
                <w:b/>
                <w:lang w:eastAsia="zh-CN"/>
              </w:rPr>
            </w:pPr>
            <w:r>
              <w:rPr>
                <w:rFonts w:cs="宋体"/>
                <w:b/>
                <w:lang w:eastAsia="zh-CN"/>
              </w:rPr>
              <w:t>生物制品评价</w:t>
            </w:r>
            <w:r>
              <w:rPr>
                <w:rFonts w:hint="eastAsia" w:cs="宋体"/>
                <w:b/>
                <w:lang w:eastAsia="zh-CN"/>
              </w:rPr>
              <w:t>与</w:t>
            </w:r>
            <w:r>
              <w:rPr>
                <w:rFonts w:cs="宋体"/>
                <w:b/>
                <w:lang w:eastAsia="zh-CN"/>
              </w:rPr>
              <w:t>研究中心</w:t>
            </w:r>
          </w:p>
        </w:tc>
      </w:tr>
    </w:tbl>
    <w:p w14:paraId="32F818F8">
      <w:pPr>
        <w:autoSpaceDE/>
        <w:autoSpaceDN/>
        <w:spacing w:before="120" w:beforeLines="50" w:line="300" w:lineRule="auto"/>
        <w:rPr>
          <w:rFonts w:cs="Times New Roman"/>
          <w:b/>
          <w:sz w:val="24"/>
          <w:szCs w:val="24"/>
          <w:lang w:eastAsia="zh-CN"/>
        </w:rPr>
      </w:pPr>
      <w:r>
        <w:rPr>
          <w:rFonts w:cs="宋体"/>
          <w:b/>
          <w:sz w:val="24"/>
          <w:lang w:eastAsia="zh-CN"/>
        </w:rPr>
        <w:br w:type="page"/>
      </w:r>
    </w:p>
    <w:p w14:paraId="72E2BD47">
      <w:pPr>
        <w:autoSpaceDE/>
        <w:autoSpaceDN/>
        <w:spacing w:before="120" w:beforeLines="50" w:line="300" w:lineRule="auto"/>
        <w:jc w:val="center"/>
        <w:rPr>
          <w:rFonts w:cs="Times New Roman"/>
          <w:b/>
          <w:sz w:val="44"/>
          <w:szCs w:val="44"/>
        </w:rPr>
      </w:pPr>
      <w:r>
        <w:rPr>
          <w:rFonts w:cs="宋体"/>
          <w:b/>
          <w:sz w:val="44"/>
        </w:rPr>
        <w:t>前言</w:t>
      </w:r>
    </w:p>
    <w:p w14:paraId="7F844F2A">
      <w:pPr>
        <w:autoSpaceDE/>
        <w:autoSpaceDN/>
        <w:spacing w:before="120" w:beforeLines="50" w:line="300" w:lineRule="auto"/>
        <w:rPr>
          <w:rFonts w:cs="Times New Roman"/>
          <w:b/>
          <w:sz w:val="32"/>
          <w:szCs w:val="32"/>
        </w:rPr>
      </w:pPr>
      <w:r>
        <w:rPr>
          <w:rFonts w:cs="宋体"/>
          <w:b/>
          <w:sz w:val="32"/>
        </w:rPr>
        <w:t>公众意见</w:t>
      </w:r>
    </w:p>
    <w:p w14:paraId="11DE0090">
      <w:pPr>
        <w:autoSpaceDE/>
        <w:autoSpaceDN/>
        <w:spacing w:before="120" w:beforeLines="50" w:line="300" w:lineRule="auto"/>
        <w:rPr>
          <w:rFonts w:cs="Times New Roman"/>
          <w:sz w:val="24"/>
          <w:szCs w:val="24"/>
        </w:rPr>
      </w:pPr>
      <w:r>
        <w:rPr>
          <w:rFonts w:cs="宋体"/>
          <w:sz w:val="24"/>
        </w:rPr>
        <w:t>您可随时将电子版意见和建议提交至</w:t>
      </w:r>
      <w:r>
        <w:rPr>
          <w:rFonts w:cs="宋体"/>
          <w:color w:val="0000FF"/>
          <w:sz w:val="24"/>
          <w:u w:val="single"/>
        </w:rPr>
        <w:t>http://www.regulations.gov</w:t>
      </w:r>
      <w:r>
        <w:rPr>
          <w:rFonts w:cs="宋体"/>
          <w:sz w:val="24"/>
        </w:rPr>
        <w:t>，供</w:t>
      </w:r>
      <w:r>
        <w:rPr>
          <w:rFonts w:hint="eastAsia" w:cs="宋体"/>
          <w:sz w:val="24"/>
          <w:lang w:eastAsia="zh-CN"/>
        </w:rPr>
        <w:t>FDA</w:t>
      </w:r>
      <w:r>
        <w:rPr>
          <w:rFonts w:cs="宋体"/>
          <w:sz w:val="24"/>
        </w:rPr>
        <w:t>考虑。您亦可将书面意见提交至：美国食品药品监督管理局备案文件管理部（HFA-305）, 5630 Fishers Lane, rm. 1061, Rockville, MD 20852。所有意见或建议均应注明文件编号</w:t>
      </w:r>
      <w:r>
        <w:rPr>
          <w:rFonts w:cs="宋体"/>
          <w:color w:val="0000FF"/>
          <w:sz w:val="24"/>
          <w:u w:val="single"/>
        </w:rPr>
        <w:t>FDA-2019-D-3769</w:t>
      </w:r>
      <w:r>
        <w:rPr>
          <w:rFonts w:cs="宋体"/>
          <w:sz w:val="24"/>
        </w:rPr>
        <w:t>。在下次修订或更新本文件时，FDA将考虑实施该意见。</w:t>
      </w:r>
    </w:p>
    <w:p w14:paraId="0CC842FF">
      <w:pPr>
        <w:autoSpaceDE/>
        <w:autoSpaceDN/>
        <w:spacing w:before="120" w:beforeLines="50" w:line="300" w:lineRule="auto"/>
        <w:rPr>
          <w:rFonts w:cs="Times New Roman"/>
          <w:b/>
          <w:sz w:val="32"/>
          <w:szCs w:val="32"/>
          <w:lang w:eastAsia="zh-CN"/>
        </w:rPr>
      </w:pPr>
      <w:r>
        <w:rPr>
          <w:rFonts w:cs="宋体"/>
          <w:b/>
          <w:sz w:val="32"/>
          <w:lang w:eastAsia="zh-CN"/>
        </w:rPr>
        <w:t>更多副本</w:t>
      </w:r>
    </w:p>
    <w:p w14:paraId="79BEEA54">
      <w:pPr>
        <w:autoSpaceDE/>
        <w:autoSpaceDN/>
        <w:spacing w:before="120" w:beforeLines="50" w:line="300" w:lineRule="auto"/>
        <w:rPr>
          <w:rFonts w:cs="Times New Roman"/>
          <w:b/>
          <w:sz w:val="32"/>
          <w:szCs w:val="32"/>
          <w:lang w:eastAsia="zh-CN"/>
        </w:rPr>
      </w:pPr>
      <w:r>
        <w:rPr>
          <w:rFonts w:cs="宋体"/>
          <w:b/>
          <w:sz w:val="32"/>
          <w:lang w:eastAsia="zh-CN"/>
        </w:rPr>
        <w:t>CDRH</w:t>
      </w:r>
    </w:p>
    <w:p w14:paraId="2C309379">
      <w:pPr>
        <w:autoSpaceDE/>
        <w:autoSpaceDN/>
        <w:spacing w:before="120" w:beforeLines="50" w:line="300" w:lineRule="auto"/>
        <w:rPr>
          <w:rFonts w:cs="Times New Roman"/>
          <w:sz w:val="24"/>
          <w:szCs w:val="24"/>
          <w:lang w:eastAsia="zh-CN"/>
        </w:rPr>
      </w:pPr>
      <w:r>
        <w:rPr>
          <w:rFonts w:cs="宋体"/>
          <w:sz w:val="24"/>
          <w:lang w:eastAsia="zh-CN"/>
        </w:rPr>
        <w:t>更多副本可通过互联网获得。您也可以通过电子邮件发送请求至</w:t>
      </w:r>
      <w:r>
        <w:rPr>
          <w:rFonts w:cs="宋体"/>
          <w:color w:val="0000FF"/>
          <w:sz w:val="24"/>
          <w:u w:val="single"/>
          <w:lang w:eastAsia="zh-CN"/>
        </w:rPr>
        <w:t>CDRH-Guidance@fda.hhs.gov</w:t>
      </w:r>
      <w:r>
        <w:rPr>
          <w:rFonts w:cs="宋体"/>
          <w:sz w:val="24"/>
          <w:lang w:eastAsia="zh-CN"/>
        </w:rPr>
        <w:t>获取本指南的副本。请在申请中注明文件编号19031和指南的完整标题。</w:t>
      </w:r>
    </w:p>
    <w:p w14:paraId="5E9665A4">
      <w:pPr>
        <w:autoSpaceDE/>
        <w:autoSpaceDN/>
        <w:spacing w:before="120" w:beforeLines="50" w:line="300" w:lineRule="auto"/>
        <w:rPr>
          <w:rFonts w:cs="Times New Roman"/>
          <w:b/>
          <w:sz w:val="32"/>
          <w:szCs w:val="32"/>
        </w:rPr>
      </w:pPr>
      <w:r>
        <w:rPr>
          <w:rFonts w:cs="宋体"/>
          <w:b/>
          <w:sz w:val="32"/>
        </w:rPr>
        <w:t>CBER</w:t>
      </w:r>
    </w:p>
    <w:p w14:paraId="4AC638DE">
      <w:pPr>
        <w:autoSpaceDE/>
        <w:autoSpaceDN/>
        <w:spacing w:before="120" w:beforeLines="50" w:line="300" w:lineRule="auto"/>
        <w:rPr>
          <w:rFonts w:cs="Times New Roman"/>
          <w:sz w:val="24"/>
          <w:szCs w:val="24"/>
        </w:rPr>
      </w:pPr>
      <w:r>
        <w:rPr>
          <w:rFonts w:cs="宋体"/>
          <w:sz w:val="24"/>
        </w:rPr>
        <w:t>您可以提交书面申请至如下地址获得本指南的副本：生物制品评价</w:t>
      </w:r>
      <w:r>
        <w:rPr>
          <w:rFonts w:hint="eastAsia" w:cs="宋体"/>
          <w:sz w:val="24"/>
          <w:lang w:eastAsia="zh-CN"/>
        </w:rPr>
        <w:t>与</w:t>
      </w:r>
      <w:r>
        <w:rPr>
          <w:rFonts w:cs="宋体"/>
          <w:sz w:val="24"/>
        </w:rPr>
        <w:t>研究中心（CBER），交流、外联和发展办公室（OCOD），地址：10903 New Hampshire Ave., Bldg. 71, Room 3128, Silver Spring, MD 20993-0002，或致电1-800-835-4709或240-402- 8010，或发送电子邮件至</w:t>
      </w:r>
      <w:r>
        <w:rPr>
          <w:rFonts w:cs="宋体"/>
          <w:color w:val="0000FF"/>
          <w:sz w:val="24"/>
          <w:u w:val="single"/>
        </w:rPr>
        <w:t>ocod@fda.hhs.gov</w:t>
      </w:r>
      <w:r>
        <w:rPr>
          <w:rFonts w:cs="宋体"/>
          <w:sz w:val="24"/>
        </w:rPr>
        <w:t>，或登录网址：</w:t>
      </w:r>
      <w:r>
        <w:rPr>
          <w:rFonts w:cs="宋体"/>
          <w:color w:val="0000FF"/>
          <w:sz w:val="24"/>
          <w:u w:val="single"/>
        </w:rPr>
        <w:t>https://www.fda.gov/vaccines-blood-biologics/guidance-compliance-regulatory-information-biologics/biologics-guidances</w:t>
      </w:r>
      <w:r>
        <w:rPr>
          <w:rFonts w:cs="宋体"/>
          <w:sz w:val="24"/>
        </w:rPr>
        <w:t>。</w:t>
      </w:r>
    </w:p>
    <w:p w14:paraId="318072E4">
      <w:pPr>
        <w:autoSpaceDE/>
        <w:autoSpaceDN/>
        <w:spacing w:before="120" w:beforeLines="50" w:line="300" w:lineRule="auto"/>
        <w:rPr>
          <w:rFonts w:cs="Times New Roman"/>
          <w:sz w:val="24"/>
          <w:szCs w:val="24"/>
        </w:rPr>
      </w:pPr>
      <w:r>
        <w:rPr>
          <w:rFonts w:cs="宋体"/>
          <w:sz w:val="24"/>
        </w:rPr>
        <w:br w:type="page"/>
      </w:r>
    </w:p>
    <w:p w14:paraId="27C4714B">
      <w:pPr>
        <w:autoSpaceDE/>
        <w:autoSpaceDN/>
        <w:spacing w:before="120" w:beforeLines="50" w:line="300" w:lineRule="auto"/>
        <w:jc w:val="center"/>
        <w:rPr>
          <w:rFonts w:cs="Times New Roman"/>
          <w:sz w:val="24"/>
          <w:szCs w:val="24"/>
        </w:rPr>
      </w:pPr>
      <w:r>
        <w:rPr>
          <w:rFonts w:cs="宋体"/>
          <w:sz w:val="24"/>
        </w:rPr>
        <w:t>目录</w:t>
      </w:r>
    </w:p>
    <w:p w14:paraId="363B0344">
      <w:pPr>
        <w:pStyle w:val="10"/>
        <w:autoSpaceDE/>
        <w:autoSpaceDN/>
        <w:adjustRightInd w:val="0"/>
        <w:snapToGrid w:val="0"/>
        <w:rPr>
          <w:rFonts w:cs="Times New Roman"/>
          <w:kern w:val="2"/>
          <w:lang w:eastAsia="zh-CN"/>
        </w:rPr>
      </w:pPr>
      <w:bookmarkStart w:id="0" w:name="Introduction"/>
      <w:bookmarkEnd w:id="0"/>
      <w:r>
        <w:rPr>
          <w:rFonts w:cs="Times New Roman"/>
          <w:lang w:eastAsia="zh-CN"/>
        </w:rPr>
        <w:fldChar w:fldCharType="begin"/>
      </w:r>
      <w:r>
        <w:rPr>
          <w:rFonts w:cs="Times New Roman"/>
          <w:lang w:eastAsia="zh-CN"/>
        </w:rPr>
        <w:instrText xml:space="preserve"> TOC \o "1-3" \h \z \u </w:instrText>
      </w:r>
      <w:r>
        <w:rPr>
          <w:rFonts w:cs="Times New Roman"/>
          <w:lang w:eastAsia="zh-CN"/>
        </w:rPr>
        <w:fldChar w:fldCharType="separate"/>
      </w:r>
      <w:r>
        <w:fldChar w:fldCharType="begin"/>
      </w:r>
      <w:r>
        <w:instrText xml:space="preserve"> HYPERLINK \l "_Toc91261611" </w:instrText>
      </w:r>
      <w:r>
        <w:fldChar w:fldCharType="separate"/>
      </w:r>
      <w:r>
        <w:rPr>
          <w:rStyle w:val="15"/>
          <w:rFonts w:cs="Times New Roman"/>
          <w:lang w:eastAsia="zh-CN"/>
        </w:rPr>
        <w:t>I.</w:t>
      </w:r>
      <w:r>
        <w:rPr>
          <w:rFonts w:cs="Times New Roman"/>
          <w:kern w:val="2"/>
          <w:lang w:eastAsia="zh-CN"/>
        </w:rPr>
        <w:tab/>
      </w:r>
      <w:r>
        <w:rPr>
          <w:rStyle w:val="15"/>
          <w:rFonts w:cs="Times New Roman"/>
          <w:lang w:eastAsia="zh-CN"/>
        </w:rPr>
        <w:t>引言</w:t>
      </w:r>
      <w:r>
        <w:rPr>
          <w:rFonts w:cs="Times New Roman"/>
        </w:rPr>
        <w:tab/>
      </w:r>
      <w:r>
        <w:rPr>
          <w:rFonts w:cs="Times New Roman"/>
        </w:rPr>
        <w:fldChar w:fldCharType="begin"/>
      </w:r>
      <w:r>
        <w:rPr>
          <w:rFonts w:cs="Times New Roman"/>
        </w:rPr>
        <w:instrText xml:space="preserve"> PAGEREF _Toc91261611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14:paraId="10F92A50">
      <w:pPr>
        <w:pStyle w:val="10"/>
        <w:autoSpaceDE/>
        <w:autoSpaceDN/>
        <w:adjustRightInd w:val="0"/>
        <w:snapToGrid w:val="0"/>
        <w:rPr>
          <w:rFonts w:cs="Times New Roman"/>
          <w:kern w:val="2"/>
          <w:lang w:eastAsia="zh-CN"/>
        </w:rPr>
      </w:pPr>
      <w:r>
        <w:fldChar w:fldCharType="begin"/>
      </w:r>
      <w:r>
        <w:instrText xml:space="preserve"> HYPERLINK \l "_Toc91261612" </w:instrText>
      </w:r>
      <w:r>
        <w:fldChar w:fldCharType="separate"/>
      </w:r>
      <w:r>
        <w:rPr>
          <w:rStyle w:val="15"/>
          <w:rFonts w:cs="Times New Roman"/>
          <w:lang w:eastAsia="zh-CN"/>
        </w:rPr>
        <w:t>II.</w:t>
      </w:r>
      <w:r>
        <w:rPr>
          <w:rFonts w:cs="Times New Roman"/>
          <w:kern w:val="2"/>
          <w:lang w:eastAsia="zh-CN"/>
        </w:rPr>
        <w:tab/>
      </w:r>
      <w:r>
        <w:rPr>
          <w:rStyle w:val="15"/>
          <w:rFonts w:cs="Times New Roman"/>
          <w:lang w:eastAsia="zh-CN"/>
        </w:rPr>
        <w:t>背景</w:t>
      </w:r>
      <w:r>
        <w:rPr>
          <w:rFonts w:cs="Times New Roman"/>
        </w:rPr>
        <w:tab/>
      </w:r>
      <w:r>
        <w:rPr>
          <w:rFonts w:cs="Times New Roman"/>
        </w:rPr>
        <w:fldChar w:fldCharType="begin"/>
      </w:r>
      <w:r>
        <w:rPr>
          <w:rFonts w:cs="Times New Roman"/>
        </w:rPr>
        <w:instrText xml:space="preserve"> PAGEREF _Toc91261612 \h </w:instrText>
      </w:r>
      <w:r>
        <w:rPr>
          <w:rFonts w:cs="Times New Roman"/>
        </w:rPr>
        <w:fldChar w:fldCharType="separate"/>
      </w:r>
      <w:r>
        <w:rPr>
          <w:rFonts w:cs="Times New Roman"/>
        </w:rPr>
        <w:t>3</w:t>
      </w:r>
      <w:r>
        <w:rPr>
          <w:rFonts w:cs="Times New Roman"/>
        </w:rPr>
        <w:fldChar w:fldCharType="end"/>
      </w:r>
      <w:r>
        <w:rPr>
          <w:rFonts w:cs="Times New Roman"/>
        </w:rPr>
        <w:fldChar w:fldCharType="end"/>
      </w:r>
    </w:p>
    <w:p w14:paraId="41D8F409">
      <w:pPr>
        <w:pStyle w:val="10"/>
        <w:autoSpaceDE/>
        <w:autoSpaceDN/>
        <w:adjustRightInd w:val="0"/>
        <w:snapToGrid w:val="0"/>
        <w:rPr>
          <w:rFonts w:cs="Times New Roman"/>
          <w:kern w:val="2"/>
          <w:lang w:eastAsia="zh-CN"/>
        </w:rPr>
      </w:pPr>
      <w:r>
        <w:fldChar w:fldCharType="begin"/>
      </w:r>
      <w:r>
        <w:instrText xml:space="preserve"> HYPERLINK \l "_Toc91261613" </w:instrText>
      </w:r>
      <w:r>
        <w:fldChar w:fldCharType="separate"/>
      </w:r>
      <w:r>
        <w:rPr>
          <w:rStyle w:val="15"/>
          <w:rFonts w:cs="Times New Roman"/>
        </w:rPr>
        <w:t>III.</w:t>
      </w:r>
      <w:r>
        <w:rPr>
          <w:rFonts w:cs="Times New Roman"/>
          <w:kern w:val="2"/>
          <w:lang w:eastAsia="zh-CN"/>
        </w:rPr>
        <w:tab/>
      </w:r>
      <w:r>
        <w:rPr>
          <w:rStyle w:val="15"/>
          <w:rFonts w:cs="Times New Roman"/>
        </w:rPr>
        <w:t>《FD&amp;C法案》第745A(b)节规定的申报资料</w:t>
      </w:r>
      <w:r>
        <w:rPr>
          <w:rStyle w:val="15"/>
          <w:rFonts w:hint="eastAsia" w:cs="Times New Roman"/>
          <w:lang w:eastAsia="zh-CN"/>
        </w:rPr>
        <w:t>要求</w:t>
      </w:r>
      <w:r>
        <w:rPr>
          <w:rFonts w:cs="Times New Roman"/>
        </w:rPr>
        <w:tab/>
      </w:r>
      <w:r>
        <w:rPr>
          <w:rFonts w:cs="Times New Roman"/>
        </w:rPr>
        <w:fldChar w:fldCharType="begin"/>
      </w:r>
      <w:r>
        <w:rPr>
          <w:rFonts w:cs="Times New Roman"/>
        </w:rPr>
        <w:instrText xml:space="preserve"> PAGEREF _Toc91261613 \h </w:instrText>
      </w:r>
      <w:r>
        <w:rPr>
          <w:rFonts w:cs="Times New Roman"/>
        </w:rPr>
        <w:fldChar w:fldCharType="separate"/>
      </w:r>
      <w:r>
        <w:rPr>
          <w:rFonts w:cs="Times New Roman"/>
        </w:rPr>
        <w:t>3</w:t>
      </w:r>
      <w:r>
        <w:rPr>
          <w:rFonts w:cs="Times New Roman"/>
        </w:rPr>
        <w:fldChar w:fldCharType="end"/>
      </w:r>
      <w:r>
        <w:rPr>
          <w:rFonts w:cs="Times New Roman"/>
        </w:rPr>
        <w:fldChar w:fldCharType="end"/>
      </w:r>
    </w:p>
    <w:p w14:paraId="3B16E738">
      <w:pPr>
        <w:pStyle w:val="11"/>
        <w:rPr>
          <w:kern w:val="2"/>
          <w:lang w:eastAsia="zh-CN"/>
        </w:rPr>
      </w:pPr>
      <w:r>
        <w:fldChar w:fldCharType="begin"/>
      </w:r>
      <w:r>
        <w:instrText xml:space="preserve"> HYPERLINK \l "_Toc91261614" </w:instrText>
      </w:r>
      <w:r>
        <w:fldChar w:fldCharType="separate"/>
      </w:r>
      <w:r>
        <w:rPr>
          <w:rStyle w:val="15"/>
          <w:rFonts w:cs="Times New Roman"/>
          <w:lang w:eastAsia="zh-CN"/>
        </w:rPr>
        <w:t>A.</w:t>
      </w:r>
      <w:r>
        <w:rPr>
          <w:kern w:val="2"/>
          <w:lang w:eastAsia="zh-CN"/>
        </w:rPr>
        <w:tab/>
      </w:r>
      <w:r>
        <w:rPr>
          <w:rStyle w:val="15"/>
          <w:rFonts w:cs="Times New Roman"/>
          <w:lang w:eastAsia="zh-CN"/>
        </w:rPr>
        <w:t>哪些申报资料必须以电子</w:t>
      </w:r>
      <w:r>
        <w:rPr>
          <w:rStyle w:val="15"/>
          <w:rFonts w:hint="eastAsia" w:cs="Times New Roman"/>
          <w:lang w:eastAsia="zh-CN"/>
        </w:rPr>
        <w:t>形式</w:t>
      </w:r>
      <w:r>
        <w:rPr>
          <w:rStyle w:val="15"/>
          <w:rFonts w:cs="Times New Roman"/>
          <w:lang w:eastAsia="zh-CN"/>
        </w:rPr>
        <w:t>提交？</w:t>
      </w:r>
      <w:r>
        <w:tab/>
      </w:r>
      <w:r>
        <w:fldChar w:fldCharType="begin"/>
      </w:r>
      <w:r>
        <w:instrText xml:space="preserve"> PAGEREF _Toc91261614 \h </w:instrText>
      </w:r>
      <w:r>
        <w:fldChar w:fldCharType="separate"/>
      </w:r>
      <w:r>
        <w:t>4</w:t>
      </w:r>
      <w:r>
        <w:fldChar w:fldCharType="end"/>
      </w:r>
      <w:r>
        <w:fldChar w:fldCharType="end"/>
      </w:r>
    </w:p>
    <w:p w14:paraId="78B12309">
      <w:pPr>
        <w:pStyle w:val="11"/>
        <w:rPr>
          <w:kern w:val="2"/>
          <w:lang w:eastAsia="zh-CN"/>
        </w:rPr>
      </w:pPr>
      <w:r>
        <w:fldChar w:fldCharType="begin"/>
      </w:r>
      <w:r>
        <w:instrText xml:space="preserve"> HYPERLINK \l "_Toc91261615" </w:instrText>
      </w:r>
      <w:r>
        <w:fldChar w:fldCharType="separate"/>
      </w:r>
      <w:r>
        <w:rPr>
          <w:rStyle w:val="15"/>
          <w:rFonts w:cs="Times New Roman"/>
          <w:lang w:eastAsia="zh-CN"/>
        </w:rPr>
        <w:t>B.</w:t>
      </w:r>
      <w:r>
        <w:rPr>
          <w:kern w:val="2"/>
          <w:lang w:eastAsia="zh-CN"/>
        </w:rPr>
        <w:tab/>
      </w:r>
      <w:r>
        <w:rPr>
          <w:rStyle w:val="15"/>
          <w:rFonts w:hint="eastAsia" w:cs="Times New Roman"/>
          <w:lang w:eastAsia="zh-CN"/>
        </w:rPr>
        <w:t>FDA是否会发布豁免提交电子申报资料的要求</w:t>
      </w:r>
      <w:r>
        <w:rPr>
          <w:rStyle w:val="15"/>
          <w:rFonts w:cs="Times New Roman"/>
          <w:lang w:eastAsia="zh-CN"/>
        </w:rPr>
        <w:t>？</w:t>
      </w:r>
      <w:r>
        <w:tab/>
      </w:r>
      <w:r>
        <w:fldChar w:fldCharType="begin"/>
      </w:r>
      <w:r>
        <w:instrText xml:space="preserve"> PAGEREF _Toc91261615 \h </w:instrText>
      </w:r>
      <w:r>
        <w:fldChar w:fldCharType="separate"/>
      </w:r>
      <w:r>
        <w:t>5</w:t>
      </w:r>
      <w:r>
        <w:fldChar w:fldCharType="end"/>
      </w:r>
      <w:r>
        <w:fldChar w:fldCharType="end"/>
      </w:r>
    </w:p>
    <w:p w14:paraId="3E9A0C5A">
      <w:pPr>
        <w:pStyle w:val="11"/>
        <w:rPr>
          <w:kern w:val="2"/>
          <w:lang w:eastAsia="zh-CN"/>
        </w:rPr>
      </w:pPr>
      <w:r>
        <w:fldChar w:fldCharType="begin"/>
      </w:r>
      <w:r>
        <w:instrText xml:space="preserve"> HYPERLINK \l "_Toc91261616" </w:instrText>
      </w:r>
      <w:r>
        <w:fldChar w:fldCharType="separate"/>
      </w:r>
      <w:r>
        <w:rPr>
          <w:rStyle w:val="15"/>
          <w:rFonts w:cs="Times New Roman"/>
          <w:lang w:eastAsia="zh-CN"/>
        </w:rPr>
        <w:t>C.</w:t>
      </w:r>
      <w:r>
        <w:rPr>
          <w:kern w:val="2"/>
          <w:lang w:eastAsia="zh-CN"/>
        </w:rPr>
        <w:tab/>
      </w:r>
      <w:r>
        <w:rPr>
          <w:rStyle w:val="15"/>
          <w:rFonts w:cs="Times New Roman"/>
          <w:lang w:eastAsia="zh-CN"/>
        </w:rPr>
        <w:t>哪些申报资料可申请豁免电子资料？</w:t>
      </w:r>
      <w:r>
        <w:tab/>
      </w:r>
      <w:r>
        <w:fldChar w:fldCharType="begin"/>
      </w:r>
      <w:r>
        <w:instrText xml:space="preserve"> PAGEREF _Toc91261616 \h </w:instrText>
      </w:r>
      <w:r>
        <w:fldChar w:fldCharType="separate"/>
      </w:r>
      <w:r>
        <w:t>5</w:t>
      </w:r>
      <w:r>
        <w:fldChar w:fldCharType="end"/>
      </w:r>
      <w:r>
        <w:fldChar w:fldCharType="end"/>
      </w:r>
    </w:p>
    <w:p w14:paraId="36D8AABE">
      <w:pPr>
        <w:pStyle w:val="11"/>
        <w:rPr>
          <w:kern w:val="2"/>
          <w:lang w:eastAsia="zh-CN"/>
        </w:rPr>
      </w:pPr>
      <w:r>
        <w:fldChar w:fldCharType="begin"/>
      </w:r>
      <w:r>
        <w:instrText xml:space="preserve"> HYPERLINK \l "_Toc91261617" </w:instrText>
      </w:r>
      <w:r>
        <w:fldChar w:fldCharType="separate"/>
      </w:r>
      <w:r>
        <w:rPr>
          <w:rStyle w:val="15"/>
          <w:rFonts w:cs="Times New Roman"/>
          <w:lang w:eastAsia="zh-CN"/>
        </w:rPr>
        <w:t>D.</w:t>
      </w:r>
      <w:r>
        <w:rPr>
          <w:kern w:val="2"/>
          <w:lang w:eastAsia="zh-CN"/>
        </w:rPr>
        <w:tab/>
      </w:r>
      <w:r>
        <w:rPr>
          <w:rFonts w:cs="宋体"/>
          <w:lang w:eastAsia="zh-CN"/>
        </w:rPr>
        <w:t>FDA如何对特定申报资料实施“仅限于电子提交要求”？</w:t>
      </w:r>
      <w:r>
        <w:tab/>
      </w:r>
      <w:r>
        <w:fldChar w:fldCharType="begin"/>
      </w:r>
      <w:r>
        <w:instrText xml:space="preserve"> PAGEREF _Toc91261617 \h </w:instrText>
      </w:r>
      <w:r>
        <w:fldChar w:fldCharType="separate"/>
      </w:r>
      <w:r>
        <w:t>6</w:t>
      </w:r>
      <w:r>
        <w:fldChar w:fldCharType="end"/>
      </w:r>
      <w:r>
        <w:fldChar w:fldCharType="end"/>
      </w:r>
    </w:p>
    <w:p w14:paraId="311B10E4">
      <w:pPr>
        <w:pStyle w:val="11"/>
        <w:rPr>
          <w:kern w:val="2"/>
          <w:lang w:eastAsia="zh-CN"/>
        </w:rPr>
      </w:pPr>
      <w:r>
        <w:fldChar w:fldCharType="begin"/>
      </w:r>
      <w:r>
        <w:instrText xml:space="preserve"> HYPERLINK \l "_Toc91261618" </w:instrText>
      </w:r>
      <w:r>
        <w:fldChar w:fldCharType="separate"/>
      </w:r>
      <w:r>
        <w:rPr>
          <w:rStyle w:val="15"/>
          <w:rFonts w:cs="Times New Roman"/>
          <w:lang w:eastAsia="zh-CN"/>
        </w:rPr>
        <w:t>E.</w:t>
      </w:r>
      <w:r>
        <w:rPr>
          <w:kern w:val="2"/>
          <w:lang w:eastAsia="zh-CN"/>
        </w:rPr>
        <w:tab/>
      </w:r>
      <w:r>
        <w:rPr>
          <w:rStyle w:val="15"/>
          <w:rFonts w:cs="Times New Roman"/>
          <w:lang w:eastAsia="zh-CN"/>
        </w:rPr>
        <w:t>何时要求</w:t>
      </w:r>
      <w:r>
        <w:rPr>
          <w:rStyle w:val="15"/>
          <w:rFonts w:hint="eastAsia" w:cs="Times New Roman"/>
          <w:lang w:eastAsia="zh-CN"/>
        </w:rPr>
        <w:t>仅需提交电子申报资料</w:t>
      </w:r>
      <w:r>
        <w:rPr>
          <w:rStyle w:val="15"/>
          <w:rFonts w:cs="Times New Roman"/>
          <w:lang w:eastAsia="zh-CN"/>
        </w:rPr>
        <w:t>？</w:t>
      </w:r>
      <w:r>
        <w:tab/>
      </w:r>
      <w:r>
        <w:fldChar w:fldCharType="begin"/>
      </w:r>
      <w:r>
        <w:instrText xml:space="preserve"> PAGEREF _Toc91261618 \h </w:instrText>
      </w:r>
      <w:r>
        <w:fldChar w:fldCharType="separate"/>
      </w:r>
      <w:r>
        <w:t>7</w:t>
      </w:r>
      <w:r>
        <w:fldChar w:fldCharType="end"/>
      </w:r>
      <w:r>
        <w:fldChar w:fldCharType="end"/>
      </w:r>
    </w:p>
    <w:p w14:paraId="7663DACF">
      <w:pPr>
        <w:tabs>
          <w:tab w:val="left" w:pos="630"/>
        </w:tabs>
        <w:autoSpaceDE/>
        <w:autoSpaceDN/>
        <w:adjustRightInd w:val="0"/>
        <w:snapToGrid w:val="0"/>
        <w:spacing w:before="50" w:line="300" w:lineRule="auto"/>
        <w:rPr>
          <w:lang w:eastAsia="zh-CN"/>
        </w:rPr>
      </w:pPr>
      <w:r>
        <w:rPr>
          <w:rFonts w:cs="Times New Roman"/>
          <w:sz w:val="24"/>
          <w:szCs w:val="24"/>
          <w:lang w:eastAsia="zh-CN"/>
        </w:rPr>
        <w:fldChar w:fldCharType="end"/>
      </w:r>
    </w:p>
    <w:p w14:paraId="6FCE2B30">
      <w:pPr>
        <w:autoSpaceDE/>
        <w:autoSpaceDN/>
        <w:rPr>
          <w:lang w:eastAsia="zh-CN"/>
        </w:rPr>
      </w:pPr>
    </w:p>
    <w:p w14:paraId="535BB12B">
      <w:pPr>
        <w:pBdr>
          <w:bottom w:val="single" w:color="auto" w:sz="4" w:space="1"/>
        </w:pBdr>
        <w:autoSpaceDE/>
        <w:autoSpaceDN/>
        <w:spacing w:before="120" w:beforeLines="50" w:line="300" w:lineRule="auto"/>
        <w:jc w:val="center"/>
        <w:rPr>
          <w:rFonts w:cs="Times New Roman"/>
          <w:b/>
          <w:sz w:val="32"/>
          <w:szCs w:val="32"/>
          <w:lang w:eastAsia="zh-CN"/>
        </w:rPr>
        <w:sectPr>
          <w:headerReference r:id="rId3" w:type="default"/>
          <w:footerReference r:id="rId4" w:type="default"/>
          <w:pgSz w:w="11907" w:h="16839"/>
          <w:pgMar w:top="1418" w:right="1418" w:bottom="1418" w:left="1418" w:header="720" w:footer="720" w:gutter="0"/>
          <w:cols w:space="720" w:num="1"/>
          <w:docGrid w:linePitch="286" w:charSpace="0"/>
        </w:sectPr>
      </w:pPr>
    </w:p>
    <w:p w14:paraId="7FA8ABA3">
      <w:pPr>
        <w:pBdr>
          <w:bottom w:val="single" w:color="auto" w:sz="4" w:space="1"/>
        </w:pBdr>
        <w:autoSpaceDE/>
        <w:autoSpaceDN/>
        <w:spacing w:before="120" w:beforeLines="50" w:line="300" w:lineRule="auto"/>
        <w:jc w:val="center"/>
        <w:rPr>
          <w:rFonts w:cs="Times New Roman"/>
          <w:b/>
          <w:sz w:val="32"/>
          <w:szCs w:val="32"/>
          <w:lang w:eastAsia="zh-CN"/>
        </w:rPr>
      </w:pPr>
      <w:r>
        <w:rPr>
          <w:rFonts w:cs="宋体"/>
          <w:b/>
          <w:sz w:val="32"/>
          <w:lang w:eastAsia="zh-CN"/>
        </w:rPr>
        <w:t>医疗器械注册电子申报资料 —《联邦食品、药品和化妆品法案》第745A(b)节规定的要求</w:t>
      </w:r>
    </w:p>
    <w:p w14:paraId="04CD9770">
      <w:pPr>
        <w:autoSpaceDE/>
        <w:autoSpaceDN/>
        <w:spacing w:before="120" w:beforeLines="50" w:line="300" w:lineRule="auto"/>
        <w:jc w:val="center"/>
        <w:rPr>
          <w:rFonts w:cs="Times New Roman"/>
          <w:b/>
          <w:sz w:val="32"/>
          <w:szCs w:val="32"/>
          <w:lang w:eastAsia="zh-CN"/>
        </w:rPr>
      </w:pPr>
      <w:r>
        <w:rPr>
          <w:rFonts w:cs="宋体"/>
          <w:b/>
          <w:sz w:val="32"/>
          <w:lang w:eastAsia="zh-CN"/>
        </w:rPr>
        <w:t>行业和美国食品药品监督管理局工作人员指南</w:t>
      </w:r>
    </w:p>
    <w:p w14:paraId="5E3743AE">
      <w:pPr>
        <w:pBdr>
          <w:top w:val="thinThickThinSmallGap" w:color="auto" w:sz="24" w:space="1"/>
          <w:left w:val="thinThickThinSmallGap" w:color="auto" w:sz="24" w:space="4"/>
          <w:bottom w:val="thinThickThinSmallGap" w:color="auto" w:sz="24" w:space="1"/>
          <w:right w:val="thinThickThinSmallGap" w:color="auto" w:sz="24" w:space="4"/>
        </w:pBdr>
        <w:autoSpaceDE/>
        <w:autoSpaceDN/>
        <w:spacing w:before="120" w:beforeLines="50" w:line="300" w:lineRule="auto"/>
        <w:rPr>
          <w:rFonts w:cs="Times New Roman"/>
          <w:b/>
          <w:i/>
          <w:sz w:val="24"/>
          <w:szCs w:val="24"/>
          <w:lang w:eastAsia="zh-CN"/>
        </w:rPr>
      </w:pPr>
      <w:r>
        <w:rPr>
          <w:rFonts w:hint="eastAsia" w:cs="宋体"/>
          <w:b/>
          <w:i/>
          <w:lang w:eastAsia="zh-CN"/>
        </w:rPr>
        <w:t>本指南代表美国食品药品监督管理局（以下简称“FDA”或“本机构”）目前关于该主题的观点。本指南并不对任何人赋予任何法律权利，也不对FDA或公众产生约束力。如有其他适用方法可以满足适用法令和法规的要求，则亦可使用其他替代方法。如需讨论替代方法，请联系标题页列出的FDA负责实施本指南的工作人员或办公室。</w:t>
      </w:r>
    </w:p>
    <w:p w14:paraId="092C598F">
      <w:pPr>
        <w:pStyle w:val="2"/>
        <w:tabs>
          <w:tab w:val="left" w:pos="709"/>
        </w:tabs>
        <w:autoSpaceDE/>
        <w:autoSpaceDN/>
        <w:rPr>
          <w:lang w:eastAsia="zh-CN"/>
        </w:rPr>
      </w:pPr>
      <w:bookmarkStart w:id="1" w:name="_Toc91261611"/>
      <w:r>
        <w:rPr>
          <w:rFonts w:cs="宋体"/>
          <w:lang w:eastAsia="zh-CN"/>
        </w:rPr>
        <w:t>I.</w:t>
      </w:r>
      <w:r>
        <w:rPr>
          <w:rFonts w:cs="宋体"/>
          <w:lang w:eastAsia="zh-CN"/>
        </w:rPr>
        <w:tab/>
      </w:r>
      <w:r>
        <w:rPr>
          <w:rFonts w:cs="宋体"/>
          <w:lang w:eastAsia="zh-CN"/>
        </w:rPr>
        <w:t>引言</w:t>
      </w:r>
      <w:bookmarkEnd w:id="1"/>
    </w:p>
    <w:p w14:paraId="05747348">
      <w:pPr>
        <w:autoSpaceDE/>
        <w:autoSpaceDN/>
        <w:spacing w:before="120" w:beforeLines="50" w:line="300" w:lineRule="auto"/>
        <w:rPr>
          <w:rFonts w:cs="宋体"/>
          <w:sz w:val="24"/>
          <w:lang w:eastAsia="zh-CN"/>
        </w:rPr>
      </w:pPr>
      <w:r>
        <w:rPr>
          <w:rFonts w:cs="宋体"/>
          <w:sz w:val="24"/>
          <w:lang w:eastAsia="zh-CN"/>
        </w:rPr>
        <w:t>根据《2017年FDA再授权法案》（FDARA）(</w:t>
      </w:r>
      <w:r>
        <w:rPr>
          <w:rFonts w:cs="宋体"/>
          <w:color w:val="0000FF"/>
          <w:sz w:val="24"/>
          <w:u w:val="single"/>
          <w:lang w:eastAsia="zh-CN"/>
        </w:rPr>
        <w:t>公法115-52</w:t>
      </w:r>
      <w:r>
        <w:rPr>
          <w:rFonts w:cs="宋体"/>
          <w:sz w:val="24"/>
          <w:vertAlign w:val="superscript"/>
          <w:lang w:eastAsia="zh-CN"/>
        </w:rPr>
        <w:t>1</w:t>
      </w:r>
      <w:r>
        <w:rPr>
          <w:rFonts w:cs="宋体"/>
          <w:sz w:val="24"/>
          <w:lang w:eastAsia="zh-CN"/>
        </w:rPr>
        <w:t>）第207节对《联邦食品、药品和化妆品法案》（《FD&amp;C法案》）第745A(b)节进行了修订，该法案要求根据《FD&amp;C法案》第510(k)、513(f)(2)(A)、515(c)、515(d)、515(f)、520(g)、520(m)或564节或《公共健康服务法案》第351节的规定，按照美国食品药品监督管理局（FDA或本机构）规定的电子，在FDA最终指南规定的日期，提交医疗器械的受理前沟通流程资料和申报资料，以及此类受理前沟通流程资料和申报资料的任何补充文件，包括此类申报资料的诉求书。此外，该法案还要求FDA在2019年10月1日前发布本指南草案，并在公众意见征询期结束后1年内发布最终版指南，其中规定以电子申报资料的详细标准、建立此类详细标准的时间表以及免除和豁免相关要求的标准。</w:t>
      </w:r>
      <w:r>
        <w:rPr>
          <w:rFonts w:cs="宋体"/>
          <w:sz w:val="24"/>
          <w:vertAlign w:val="superscript"/>
          <w:lang w:eastAsia="zh-CN"/>
        </w:rPr>
        <w:t>2</w:t>
      </w:r>
      <w:r>
        <w:rPr>
          <w:rFonts w:cs="宋体"/>
          <w:sz w:val="24"/>
          <w:lang w:eastAsia="zh-CN"/>
        </w:rPr>
        <w:t>另外，在美国卫生与公众服务部部长致国会的《</w:t>
      </w:r>
      <w:r>
        <w:rPr>
          <w:rFonts w:cs="宋体"/>
          <w:color w:val="0000FF"/>
          <w:sz w:val="24"/>
          <w:u w:val="single"/>
          <w:lang w:eastAsia="zh-CN"/>
        </w:rPr>
        <w:t>2017年医疗器械用户费用修正案（MDUFA IV）承诺信</w:t>
      </w:r>
      <w:r>
        <w:rPr>
          <w:rFonts w:cs="宋体"/>
          <w:sz w:val="24"/>
          <w:lang w:eastAsia="zh-CN"/>
        </w:rPr>
        <w:t>》</w:t>
      </w:r>
      <w:r>
        <w:rPr>
          <w:rFonts w:cs="宋体"/>
          <w:sz w:val="24"/>
          <w:vertAlign w:val="superscript"/>
          <w:lang w:eastAsia="zh-CN"/>
        </w:rPr>
        <w:t>3</w:t>
      </w:r>
      <w:r>
        <w:rPr>
          <w:rFonts w:cs="宋体"/>
          <w:sz w:val="24"/>
          <w:lang w:eastAsia="zh-CN"/>
        </w:rPr>
        <w:t>中，FDA承诺制定“电子版提交模板，作为行业的指导申报资料编制工具，以提高申报资料的一致性，并提高审查过程效率”以及“在2020[财年][之前]，本机构将发布关于使用电子版提交模板的指导文件草案。”《承诺信》还指出，“在公众意见征询期结束后[不]晚于12个月，本机构将发布最终版指南”。本指南旨在满足第745A(b)(3)节和《MDUFA IV承诺信》中所述最终版指导文件的相关要求。</w:t>
      </w:r>
    </w:p>
    <w:p w14:paraId="5F774AB3">
      <w:pPr>
        <w:autoSpaceDE/>
        <w:autoSpaceDN/>
        <w:spacing w:before="120" w:beforeLines="50" w:line="300" w:lineRule="auto"/>
        <w:rPr>
          <w:rFonts w:cs="宋体"/>
          <w:sz w:val="24"/>
          <w:lang w:eastAsia="zh-CN"/>
        </w:rPr>
      </w:pPr>
    </w:p>
    <w:p w14:paraId="7E79A20B">
      <w:pPr>
        <w:autoSpaceDE/>
        <w:autoSpaceDN/>
        <w:spacing w:before="120" w:beforeLines="50" w:line="300" w:lineRule="auto"/>
        <w:rPr>
          <w:rFonts w:cs="宋体"/>
          <w:sz w:val="24"/>
          <w:lang w:eastAsia="zh-CN"/>
        </w:rPr>
      </w:pPr>
    </w:p>
    <w:p w14:paraId="1B4A8B37">
      <w:pPr>
        <w:autoSpaceDE/>
        <w:autoSpaceDN/>
        <w:spacing w:before="120" w:beforeLines="50" w:line="300" w:lineRule="auto"/>
        <w:rPr>
          <w:rFonts w:cs="Times New Roman"/>
          <w:sz w:val="24"/>
          <w:szCs w:val="24"/>
          <w:lang w:eastAsia="zh-CN"/>
        </w:rPr>
      </w:pPr>
    </w:p>
    <w:p w14:paraId="15CB8357">
      <w:pPr>
        <w:autoSpaceDE/>
        <w:autoSpaceDN/>
        <w:spacing w:before="120" w:beforeLines="50" w:line="300" w:lineRule="auto"/>
        <w:rPr>
          <w:rFonts w:cs="Times New Roman"/>
          <w:sz w:val="24"/>
          <w:szCs w:val="24"/>
          <w:lang w:eastAsia="zh-CN"/>
        </w:rPr>
      </w:pPr>
      <w:r>
        <w:rPr>
          <w:rFonts w:cs="宋体"/>
          <w:sz w:val="24"/>
        </w:rPr>
        <w:t>___________________</w:t>
      </w:r>
    </w:p>
    <w:p w14:paraId="3B7A6996">
      <w:pPr>
        <w:autoSpaceDE/>
        <w:autoSpaceDN/>
        <w:spacing w:before="36" w:beforeLines="15" w:line="276" w:lineRule="auto"/>
        <w:rPr>
          <w:rFonts w:cs="Times New Roman"/>
          <w:szCs w:val="24"/>
        </w:rPr>
      </w:pPr>
      <w:r>
        <w:rPr>
          <w:rFonts w:cs="Times New Roman"/>
          <w:szCs w:val="24"/>
          <w:vertAlign w:val="superscript"/>
        </w:rPr>
        <w:t>1</w:t>
      </w:r>
      <w:bookmarkStart w:id="2" w:name="_bookmark1"/>
      <w:bookmarkEnd w:id="2"/>
      <w:bookmarkStart w:id="3" w:name="_bookmark2"/>
      <w:bookmarkEnd w:id="3"/>
      <w:r>
        <w:rPr>
          <w:rFonts w:cs="Times New Roman"/>
          <w:szCs w:val="24"/>
          <w:vertAlign w:val="superscript"/>
        </w:rPr>
        <w:t xml:space="preserve"> </w:t>
      </w:r>
      <w:r>
        <w:rPr>
          <w:rFonts w:cs="Times New Roman"/>
          <w:color w:val="0000FF"/>
          <w:szCs w:val="24"/>
          <w:u w:val="single" w:color="0000FF"/>
        </w:rPr>
        <w:t>https://www.govinfo.gov/content/pkg/PLAW-115publ52/html/PLAW-115publ52.htm</w:t>
      </w:r>
      <w:r>
        <w:rPr>
          <w:rFonts w:cs="Times New Roman"/>
          <w:szCs w:val="24"/>
        </w:rPr>
        <w:t>.</w:t>
      </w:r>
    </w:p>
    <w:p w14:paraId="6231762F">
      <w:pPr>
        <w:pStyle w:val="21"/>
        <w:autoSpaceDE/>
        <w:autoSpaceDN/>
      </w:pPr>
      <w:r>
        <w:rPr>
          <w:rFonts w:cs="宋体"/>
          <w:vertAlign w:val="superscript"/>
        </w:rPr>
        <w:t xml:space="preserve">2 </w:t>
      </w:r>
      <w:r>
        <w:rPr>
          <w:rFonts w:cs="宋体"/>
        </w:rPr>
        <w:t>参见745A(b)(3)(b)。</w:t>
      </w:r>
    </w:p>
    <w:p w14:paraId="1E8FC8FC">
      <w:pPr>
        <w:autoSpaceDE/>
        <w:autoSpaceDN/>
        <w:spacing w:before="36" w:beforeLines="15" w:line="276" w:lineRule="auto"/>
        <w:rPr>
          <w:rFonts w:cs="Times New Roman"/>
          <w:szCs w:val="24"/>
        </w:rPr>
      </w:pPr>
      <w:r>
        <w:rPr>
          <w:rFonts w:cs="宋体"/>
          <w:vertAlign w:val="superscript"/>
        </w:rPr>
        <w:t xml:space="preserve">3 </w:t>
      </w:r>
      <w:r>
        <w:rPr>
          <w:rFonts w:cs="宋体"/>
        </w:rPr>
        <w:t>参见163 CONG。REC.S4729-S4736（每日版，2017年8月2日）（美国食品药品监督管理局用户费用再授权法案），也可登录网址获取：</w:t>
      </w:r>
      <w:r>
        <w:rPr>
          <w:rFonts w:cs="宋体"/>
          <w:color w:val="0000FF"/>
          <w:u w:val="single"/>
        </w:rPr>
        <w:t>https://www.fda.gov/media/102699/download</w:t>
      </w:r>
      <w:r>
        <w:rPr>
          <w:rFonts w:cs="宋体"/>
        </w:rPr>
        <w:t>。</w:t>
      </w:r>
    </w:p>
    <w:p w14:paraId="0D1E3235">
      <w:pPr>
        <w:autoSpaceDE/>
        <w:autoSpaceDN/>
        <w:spacing w:before="120" w:beforeLines="50" w:line="300" w:lineRule="auto"/>
        <w:rPr>
          <w:rFonts w:cs="Times New Roman"/>
          <w:sz w:val="24"/>
          <w:szCs w:val="24"/>
        </w:rPr>
      </w:pPr>
      <w:r>
        <w:rPr>
          <w:rFonts w:cs="宋体"/>
          <w:sz w:val="24"/>
        </w:rPr>
        <w:br w:type="page"/>
      </w:r>
    </w:p>
    <w:p w14:paraId="5A78D9BE">
      <w:pPr>
        <w:autoSpaceDE/>
        <w:autoSpaceDN/>
        <w:spacing w:before="120" w:beforeLines="50" w:line="300" w:lineRule="auto"/>
        <w:rPr>
          <w:rFonts w:cs="Times New Roman"/>
          <w:sz w:val="24"/>
          <w:szCs w:val="24"/>
          <w:lang w:eastAsia="zh-CN"/>
        </w:rPr>
      </w:pPr>
      <w:r>
        <w:rPr>
          <w:rFonts w:cs="宋体"/>
          <w:sz w:val="24"/>
          <w:lang w:eastAsia="zh-CN"/>
        </w:rPr>
        <w:t>本机构的结论为，在一份指导文件中描述和实施适用于第745A(b)(3)节涵盖的所有申报资料电子不具备可行性。对此，本指南描述了FDA解读和计划实施第745A(b)(3)节相关要求的方式，同时将制定单独指南，以规定具体申报资料的格式和相应的实施时间表。具体而言，本指南讨论了（1）必须以电子版方式提交的申报资料类型，（2）实施要求的时间表和流程，以及（3）免除和豁免电子提交要求的标准。</w:t>
      </w:r>
    </w:p>
    <w:p w14:paraId="69463A98">
      <w:pPr>
        <w:autoSpaceDE/>
        <w:autoSpaceDN/>
        <w:spacing w:before="120" w:beforeLines="50" w:line="300" w:lineRule="auto"/>
        <w:rPr>
          <w:rFonts w:cs="Times New Roman"/>
          <w:sz w:val="24"/>
          <w:szCs w:val="24"/>
          <w:lang w:eastAsia="zh-CN"/>
        </w:rPr>
      </w:pPr>
      <w:r>
        <w:rPr>
          <w:rFonts w:cs="宋体"/>
          <w:sz w:val="24"/>
          <w:lang w:eastAsia="zh-CN"/>
        </w:rPr>
        <w:t>根据本指南所述流程，FDA将定期向医疗器械和</w:t>
      </w:r>
      <w:r>
        <w:rPr>
          <w:rFonts w:hint="eastAsia" w:cs="宋体"/>
          <w:sz w:val="24"/>
          <w:lang w:eastAsia="zh-CN"/>
        </w:rPr>
        <w:t>辐射</w:t>
      </w:r>
      <w:r>
        <w:rPr>
          <w:rFonts w:cs="宋体"/>
          <w:sz w:val="24"/>
          <w:lang w:eastAsia="zh-CN"/>
        </w:rPr>
        <w:t>健康中心（CDRH）或生物制品评价与研究中心（CBER）发布与某些申报资料类型的电子指南相关的指导文件。关于上述申报资料类型，请参见本指南第III.A节。FDA认为，发布仅与电子申报资料相关的指南，能够统一和简化根据《FD&amp;C法案》第745A(b)节中电子申报资料各种要求的实施流程。同时，本指南中所述流程也旨在为公众提供宝贵机会，就本机构打算对根据《FD&amp;C法案》第745A(b)节发布的指南提出评论意见。</w:t>
      </w:r>
    </w:p>
    <w:p w14:paraId="4642BAA0">
      <w:pPr>
        <w:autoSpaceDE/>
        <w:autoSpaceDN/>
        <w:spacing w:before="120" w:beforeLines="50" w:line="300" w:lineRule="auto"/>
        <w:rPr>
          <w:rFonts w:cs="Times New Roman"/>
          <w:sz w:val="24"/>
          <w:szCs w:val="24"/>
          <w:lang w:eastAsia="zh-CN"/>
        </w:rPr>
      </w:pPr>
      <w:r>
        <w:rPr>
          <w:rFonts w:cs="宋体"/>
          <w:sz w:val="24"/>
          <w:lang w:eastAsia="zh-CN"/>
        </w:rPr>
        <w:t>在《FD&amp;C法案》第745A(b)(3)节中，美国国会授予FDA明确的法定授权，通过提供相关标准、免除和豁免标准以及此类申报资料的时间表，在本指南中具体说明电子版申报资料的相关要求。因此，就本文件根据第745A(b)(3)节提供的要求而言，通过使用强制性词语（如“</w:t>
      </w:r>
      <w:r>
        <w:rPr>
          <w:rFonts w:cs="宋体"/>
          <w:i/>
          <w:sz w:val="24"/>
          <w:lang w:eastAsia="zh-CN"/>
        </w:rPr>
        <w:t>必须</w:t>
      </w:r>
      <w:r>
        <w:rPr>
          <w:rFonts w:cs="宋体"/>
          <w:sz w:val="24"/>
          <w:lang w:eastAsia="zh-CN"/>
        </w:rPr>
        <w:t>”或“</w:t>
      </w:r>
      <w:r>
        <w:rPr>
          <w:rFonts w:cs="宋体"/>
          <w:i/>
          <w:sz w:val="24"/>
          <w:lang w:eastAsia="zh-CN"/>
        </w:rPr>
        <w:t>要求</w:t>
      </w:r>
      <w:r>
        <w:rPr>
          <w:rFonts w:cs="宋体"/>
          <w:sz w:val="24"/>
          <w:lang w:eastAsia="zh-CN"/>
        </w:rPr>
        <w:t>”）来表明，本文件不受《FD&amp;C法案》第701(h)节和FDA良好指导实践（GGP）条例中通用限制条件的约束，例如本指南不会确立法律强制责任的要求。参见21 CFR 10.115(d)。</w:t>
      </w:r>
    </w:p>
    <w:p w14:paraId="08FE6B10">
      <w:pPr>
        <w:autoSpaceDE/>
        <w:autoSpaceDN/>
        <w:spacing w:before="120" w:beforeLines="50" w:line="300" w:lineRule="auto"/>
        <w:rPr>
          <w:rFonts w:cs="Times New Roman"/>
          <w:sz w:val="24"/>
          <w:szCs w:val="24"/>
          <w:lang w:eastAsia="zh-CN"/>
        </w:rPr>
      </w:pPr>
      <w:r>
        <w:rPr>
          <w:rFonts w:cs="宋体"/>
          <w:sz w:val="24"/>
          <w:lang w:eastAsia="zh-CN"/>
        </w:rPr>
        <w:t>本文件为FDA解读电子申报资料的法定要求提供了相关指导；本文件还包含关于其他申报资料类型（预计会推荐采用电子提交方式）的指南。因此，就本指南中不属于第745A(b)(3)节下的“标准”、“时间表”或“免除标准”和“豁免标准”的建议而言，本文件不为任何人或向任何人授予任何权利，也不对FDA或公众构成约束，本文件仅代表本机构目前关于该主题的意见。如果其他备选方法符合适用法规和规定的要求，贵方也可采用该方法。如果您想讨论替代方法，请联系本指南扉页上列出的FDA工作人员。</w:t>
      </w:r>
    </w:p>
    <w:p w14:paraId="235DFD9C">
      <w:pPr>
        <w:autoSpaceDE/>
        <w:autoSpaceDN/>
        <w:rPr>
          <w:rFonts w:cs="Times New Roman"/>
          <w:sz w:val="24"/>
          <w:szCs w:val="24"/>
          <w:lang w:eastAsia="zh-CN"/>
        </w:rPr>
      </w:pPr>
      <w:r>
        <w:rPr>
          <w:rFonts w:cs="宋体"/>
          <w:sz w:val="24"/>
          <w:lang w:eastAsia="zh-CN"/>
        </w:rPr>
        <w:br w:type="page"/>
      </w:r>
    </w:p>
    <w:p w14:paraId="67D7175F">
      <w:pPr>
        <w:autoSpaceDE/>
        <w:autoSpaceDN/>
        <w:spacing w:before="120" w:beforeLines="50" w:line="300" w:lineRule="auto"/>
        <w:rPr>
          <w:rFonts w:cs="Times New Roman"/>
          <w:sz w:val="24"/>
          <w:szCs w:val="24"/>
          <w:lang w:eastAsia="zh-CN"/>
        </w:rPr>
      </w:pPr>
      <w:r>
        <w:rPr>
          <w:rFonts w:cs="宋体"/>
          <w:sz w:val="24"/>
          <w:lang w:eastAsia="zh-CN"/>
        </w:rPr>
        <w:t>为满足GGP条例中的相关要求，并确保受监管实体和公众理解本指导文件不具备约束力，FDA指南通常包含规范用语，用以说明除非引用具体的监管或法律要求，否则应仅将本指南视作建议。FDA未将此类规范用语纳入本指南，因为其并未准确描述本指南的所有作用。本指南包含约束性和非约束性条款。只要本指南根据《FD&amp;C法案》第745A(b)节提供了“标准”、“时间表”或“免除标准”和“豁免标准”，其便具有约束力。</w:t>
      </w:r>
    </w:p>
    <w:p w14:paraId="41A87F36">
      <w:pPr>
        <w:pStyle w:val="2"/>
        <w:tabs>
          <w:tab w:val="left" w:pos="709"/>
        </w:tabs>
        <w:autoSpaceDE/>
        <w:autoSpaceDN/>
        <w:rPr>
          <w:lang w:eastAsia="zh-CN"/>
        </w:rPr>
      </w:pPr>
      <w:bookmarkStart w:id="4" w:name="_Toc91261612"/>
      <w:r>
        <w:rPr>
          <w:rFonts w:cs="宋体"/>
          <w:lang w:eastAsia="zh-CN"/>
        </w:rPr>
        <w:t>II.</w:t>
      </w:r>
      <w:r>
        <w:rPr>
          <w:rFonts w:cs="宋体"/>
          <w:lang w:eastAsia="zh-CN"/>
        </w:rPr>
        <w:tab/>
      </w:r>
      <w:r>
        <w:rPr>
          <w:rFonts w:cs="宋体"/>
          <w:lang w:eastAsia="zh-CN"/>
        </w:rPr>
        <w:t>背景</w:t>
      </w:r>
      <w:bookmarkEnd w:id="4"/>
    </w:p>
    <w:p w14:paraId="78252370">
      <w:pPr>
        <w:autoSpaceDE/>
        <w:autoSpaceDN/>
        <w:spacing w:before="120" w:beforeLines="50" w:line="300" w:lineRule="auto"/>
        <w:rPr>
          <w:rFonts w:cs="Times New Roman"/>
          <w:sz w:val="24"/>
          <w:szCs w:val="24"/>
          <w:lang w:eastAsia="zh-CN"/>
        </w:rPr>
      </w:pPr>
      <w:r>
        <w:rPr>
          <w:rFonts w:cs="宋体"/>
          <w:sz w:val="24"/>
          <w:lang w:eastAsia="zh-CN"/>
        </w:rPr>
        <w:t>《美国食品药品监督管理局安全和创新法案》（FDASIA）于2012年7月9日颁布，通过增加第745A节（电子申报资料的说明）对《FD&amp;C法案》进行了修订。第745A(b)节说明了医疗器械申报资料，而第745A(A)节适用于药品和生物制品申报资料。</w:t>
      </w:r>
      <w:r>
        <w:rPr>
          <w:rFonts w:cs="宋体"/>
          <w:sz w:val="24"/>
          <w:vertAlign w:val="superscript"/>
          <w:lang w:eastAsia="zh-CN"/>
        </w:rPr>
        <w:t>4</w:t>
      </w:r>
      <w:r>
        <w:rPr>
          <w:rFonts w:cs="宋体"/>
          <w:sz w:val="24"/>
          <w:lang w:eastAsia="zh-CN"/>
        </w:rPr>
        <w:t>FDARA通过增加第745A(b)(3)节，对《FD&amp;C法案》第745A(b)节进行了修订。</w:t>
      </w:r>
    </w:p>
    <w:p w14:paraId="43CD8450">
      <w:pPr>
        <w:autoSpaceDE/>
        <w:autoSpaceDN/>
        <w:spacing w:before="120" w:beforeLines="50" w:line="300" w:lineRule="auto"/>
        <w:rPr>
          <w:rFonts w:cs="Times New Roman"/>
          <w:sz w:val="24"/>
          <w:szCs w:val="24"/>
          <w:lang w:eastAsia="zh-CN"/>
        </w:rPr>
      </w:pPr>
      <w:r>
        <w:rPr>
          <w:rFonts w:cs="宋体"/>
          <w:sz w:val="24"/>
          <w:lang w:eastAsia="zh-CN"/>
        </w:rPr>
        <w:t>《FD&amp;C法案》第745A(b)(3)(A)节授权FDA在本指南中规定，申报资料（如第III.A节所述）仅允许采用电子</w:t>
      </w:r>
      <w:r>
        <w:rPr>
          <w:rFonts w:hint="eastAsia" w:cs="宋体"/>
          <w:sz w:val="24"/>
          <w:lang w:eastAsia="zh-CN"/>
        </w:rPr>
        <w:t>版格式</w:t>
      </w:r>
      <w:r>
        <w:rPr>
          <w:rFonts w:cs="宋体"/>
          <w:sz w:val="24"/>
          <w:lang w:eastAsia="zh-CN"/>
        </w:rPr>
        <w:t>。</w:t>
      </w:r>
    </w:p>
    <w:p w14:paraId="3E59B805">
      <w:pPr>
        <w:autoSpaceDE/>
        <w:autoSpaceDN/>
        <w:spacing w:before="120" w:beforeLines="50" w:line="300" w:lineRule="auto"/>
        <w:rPr>
          <w:rFonts w:cs="Times New Roman"/>
          <w:sz w:val="24"/>
          <w:szCs w:val="24"/>
          <w:lang w:eastAsia="zh-CN"/>
        </w:rPr>
      </w:pPr>
      <w:r>
        <w:rPr>
          <w:rFonts w:cs="宋体"/>
          <w:sz w:val="24"/>
          <w:lang w:eastAsia="zh-CN"/>
        </w:rPr>
        <w:t>《FD&amp;C法案》第745A(b)(3)(b)节规定，FDA应发布指南草案，其中规定以电子申报资料的下列附加标准、此类后续标准的时间表以及免除和豁免标准：</w:t>
      </w:r>
    </w:p>
    <w:p w14:paraId="12F5722F">
      <w:pPr>
        <w:autoSpaceDE/>
        <w:autoSpaceDN/>
        <w:spacing w:before="120" w:beforeLines="50" w:line="300" w:lineRule="auto"/>
        <w:ind w:left="900" w:leftChars="200" w:hanging="480" w:hangingChars="200"/>
        <w:rPr>
          <w:rFonts w:cs="Times New Roman"/>
          <w:sz w:val="24"/>
          <w:szCs w:val="24"/>
          <w:lang w:eastAsia="zh-CN"/>
        </w:rPr>
      </w:pPr>
      <w:r>
        <w:rPr>
          <w:rFonts w:cs="宋体"/>
          <w:sz w:val="24"/>
          <w:lang w:eastAsia="zh-CN"/>
        </w:rPr>
        <w:t>（i）</w:t>
      </w:r>
      <w:r>
        <w:rPr>
          <w:rFonts w:cs="宋体"/>
          <w:sz w:val="24"/>
          <w:lang w:eastAsia="zh-CN"/>
        </w:rPr>
        <w:tab/>
      </w:r>
      <w:r>
        <w:rPr>
          <w:rFonts w:cs="宋体"/>
          <w:sz w:val="24"/>
          <w:lang w:eastAsia="zh-CN"/>
        </w:rPr>
        <w:t>第(A)项要求的以电子申报资料的任何详细标准；</w:t>
      </w:r>
    </w:p>
    <w:p w14:paraId="6D2A2ACC">
      <w:pPr>
        <w:autoSpaceDE/>
        <w:autoSpaceDN/>
        <w:spacing w:before="120" w:beforeLines="50" w:line="300" w:lineRule="auto"/>
        <w:ind w:left="900" w:leftChars="200" w:hanging="480" w:hangingChars="200"/>
        <w:rPr>
          <w:rFonts w:cs="Times New Roman"/>
          <w:sz w:val="24"/>
          <w:szCs w:val="24"/>
          <w:lang w:eastAsia="zh-CN"/>
        </w:rPr>
      </w:pPr>
      <w:r>
        <w:rPr>
          <w:rFonts w:cs="宋体"/>
          <w:sz w:val="24"/>
          <w:lang w:eastAsia="zh-CN"/>
        </w:rPr>
        <w:t>（ii）</w:t>
      </w:r>
      <w:r>
        <w:rPr>
          <w:rFonts w:cs="宋体"/>
          <w:sz w:val="24"/>
          <w:lang w:eastAsia="zh-CN"/>
        </w:rPr>
        <w:tab/>
      </w:r>
      <w:r>
        <w:rPr>
          <w:rFonts w:cs="宋体"/>
          <w:sz w:val="24"/>
          <w:lang w:eastAsia="zh-CN"/>
        </w:rPr>
        <w:t>美国卫生与公众服务部部长建立此类详细标准的时间表；以及</w:t>
      </w:r>
    </w:p>
    <w:p w14:paraId="05B8B705">
      <w:pPr>
        <w:autoSpaceDE/>
        <w:autoSpaceDN/>
        <w:spacing w:before="120" w:beforeLines="50" w:line="300" w:lineRule="auto"/>
        <w:ind w:left="900" w:leftChars="200" w:hanging="480" w:hangingChars="200"/>
        <w:rPr>
          <w:rFonts w:cs="Times New Roman"/>
          <w:sz w:val="24"/>
          <w:szCs w:val="24"/>
          <w:lang w:eastAsia="zh-CN"/>
        </w:rPr>
      </w:pPr>
      <w:r>
        <w:rPr>
          <w:rFonts w:cs="宋体"/>
          <w:sz w:val="24"/>
          <w:lang w:eastAsia="zh-CN"/>
        </w:rPr>
        <w:t>（iii）</w:t>
      </w:r>
      <w:r>
        <w:rPr>
          <w:rFonts w:cs="宋体"/>
          <w:sz w:val="24"/>
          <w:lang w:eastAsia="zh-CN"/>
        </w:rPr>
        <w:tab/>
      </w:r>
      <w:r>
        <w:rPr>
          <w:rFonts w:cs="宋体"/>
          <w:sz w:val="24"/>
          <w:lang w:eastAsia="zh-CN"/>
        </w:rPr>
        <w:t>免除和豁免本小节要求的标准。</w:t>
      </w:r>
    </w:p>
    <w:p w14:paraId="1A51E54E">
      <w:pPr>
        <w:autoSpaceDE/>
        <w:autoSpaceDN/>
        <w:spacing w:before="120" w:beforeLines="50" w:line="300" w:lineRule="auto"/>
        <w:rPr>
          <w:rFonts w:cs="Times New Roman"/>
          <w:sz w:val="24"/>
          <w:szCs w:val="24"/>
          <w:lang w:eastAsia="zh-CN"/>
        </w:rPr>
      </w:pPr>
      <w:r>
        <w:rPr>
          <w:rFonts w:cs="宋体"/>
          <w:sz w:val="24"/>
          <w:lang w:eastAsia="zh-CN"/>
        </w:rPr>
        <w:t>《FD&amp;C法案》第745A(b)(3)(c)节规定，FDA应在指南草案公众意见征询期结束后1年内发布最终版指南。</w:t>
      </w:r>
    </w:p>
    <w:p w14:paraId="52D69470">
      <w:pPr>
        <w:pStyle w:val="2"/>
        <w:tabs>
          <w:tab w:val="left" w:pos="709"/>
        </w:tabs>
        <w:autoSpaceDE/>
        <w:autoSpaceDN/>
      </w:pPr>
      <w:bookmarkStart w:id="5" w:name="_Toc91261613"/>
      <w:r>
        <w:rPr>
          <w:rFonts w:cs="宋体"/>
        </w:rPr>
        <w:t>III.</w:t>
      </w:r>
      <w:r>
        <w:rPr>
          <w:rFonts w:cs="宋体"/>
        </w:rPr>
        <w:tab/>
      </w:r>
      <w:r>
        <w:rPr>
          <w:rFonts w:cs="宋体"/>
        </w:rPr>
        <w:t>《FD&amp;C法案》第745A(b)节规定的</w:t>
      </w:r>
      <w:bookmarkEnd w:id="5"/>
      <w:r>
        <w:rPr>
          <w:rFonts w:cs="宋体"/>
        </w:rPr>
        <w:t>申报资料</w:t>
      </w:r>
      <w:r>
        <w:rPr>
          <w:rFonts w:hint="eastAsia" w:cs="宋体"/>
          <w:lang w:eastAsia="zh-CN"/>
        </w:rPr>
        <w:t>要求</w:t>
      </w:r>
    </w:p>
    <w:p w14:paraId="0D0961E2">
      <w:pPr>
        <w:autoSpaceDE/>
        <w:autoSpaceDN/>
        <w:spacing w:before="120" w:beforeLines="50" w:line="300" w:lineRule="auto"/>
        <w:rPr>
          <w:rFonts w:cs="宋体"/>
          <w:sz w:val="24"/>
          <w:lang w:eastAsia="zh-CN"/>
        </w:rPr>
      </w:pPr>
      <w:r>
        <w:rPr>
          <w:rFonts w:cs="宋体"/>
          <w:sz w:val="24"/>
        </w:rPr>
        <w:t>如本指南上文第II节所述，《FD&amp;C法案》第745A(b)节的要求适用于下文第A节列出的所有申报资料。</w:t>
      </w:r>
      <w:r>
        <w:rPr>
          <w:rFonts w:cs="宋体"/>
          <w:sz w:val="24"/>
          <w:lang w:eastAsia="zh-CN"/>
        </w:rPr>
        <w:t>在本节中，我们讨论了关于第745A(b)节的解读；具体而言，包含下列内容：其范围、实施第745A(b)节相关要求的时间表和流程，以及免除和豁免以电子</w:t>
      </w:r>
      <w:r>
        <w:rPr>
          <w:rFonts w:hint="eastAsia" w:cs="宋体"/>
          <w:sz w:val="24"/>
          <w:lang w:eastAsia="zh-CN"/>
        </w:rPr>
        <w:t>申报</w:t>
      </w:r>
      <w:r>
        <w:rPr>
          <w:rFonts w:cs="宋体"/>
          <w:sz w:val="24"/>
          <w:lang w:eastAsia="zh-CN"/>
        </w:rPr>
        <w:t>资料的要求。</w:t>
      </w:r>
    </w:p>
    <w:p w14:paraId="3BFCE2BC">
      <w:pPr>
        <w:autoSpaceDE/>
        <w:autoSpaceDN/>
        <w:spacing w:before="120" w:beforeLines="50" w:line="300" w:lineRule="auto"/>
        <w:rPr>
          <w:rFonts w:cs="宋体"/>
          <w:sz w:val="24"/>
          <w:lang w:eastAsia="zh-CN"/>
        </w:rPr>
      </w:pPr>
    </w:p>
    <w:p w14:paraId="6F9312A5">
      <w:pPr>
        <w:autoSpaceDE/>
        <w:autoSpaceDN/>
        <w:spacing w:before="120" w:beforeLines="50" w:line="300" w:lineRule="auto"/>
        <w:rPr>
          <w:rFonts w:cs="宋体"/>
          <w:sz w:val="24"/>
          <w:lang w:eastAsia="zh-CN"/>
        </w:rPr>
      </w:pPr>
    </w:p>
    <w:p w14:paraId="783F47AA">
      <w:pPr>
        <w:autoSpaceDE/>
        <w:autoSpaceDN/>
        <w:spacing w:before="120" w:beforeLines="50" w:line="300" w:lineRule="auto"/>
        <w:rPr>
          <w:rFonts w:cs="宋体"/>
          <w:sz w:val="24"/>
          <w:lang w:eastAsia="zh-CN"/>
        </w:rPr>
      </w:pPr>
    </w:p>
    <w:p w14:paraId="2EAD2B30">
      <w:pPr>
        <w:autoSpaceDE/>
        <w:autoSpaceDN/>
        <w:spacing w:before="120" w:beforeLines="50" w:line="300" w:lineRule="auto"/>
        <w:rPr>
          <w:rFonts w:cs="Times New Roman"/>
          <w:sz w:val="24"/>
          <w:szCs w:val="24"/>
          <w:lang w:eastAsia="zh-CN"/>
        </w:rPr>
      </w:pPr>
    </w:p>
    <w:p w14:paraId="445E8F9A">
      <w:pPr>
        <w:autoSpaceDE/>
        <w:autoSpaceDN/>
        <w:spacing w:before="120" w:beforeLines="50" w:line="300" w:lineRule="auto"/>
        <w:rPr>
          <w:rFonts w:cs="Times New Roman"/>
          <w:sz w:val="24"/>
          <w:szCs w:val="24"/>
          <w:lang w:eastAsia="zh-CN"/>
        </w:rPr>
      </w:pPr>
      <w:r>
        <w:rPr>
          <w:rFonts w:cs="宋体"/>
          <w:sz w:val="24"/>
          <w:lang w:eastAsia="zh-CN"/>
        </w:rPr>
        <w:t>___________________</w:t>
      </w:r>
    </w:p>
    <w:p w14:paraId="7AB7E580">
      <w:pPr>
        <w:pStyle w:val="21"/>
        <w:autoSpaceDE/>
        <w:autoSpaceDN/>
        <w:rPr>
          <w:lang w:eastAsia="zh-CN"/>
        </w:rPr>
      </w:pPr>
      <w:r>
        <w:rPr>
          <w:rFonts w:cs="宋体"/>
          <w:vertAlign w:val="superscript"/>
          <w:lang w:eastAsia="zh-CN"/>
        </w:rPr>
        <w:t xml:space="preserve">4 </w:t>
      </w:r>
      <w:r>
        <w:rPr>
          <w:rFonts w:cs="宋体"/>
          <w:lang w:eastAsia="zh-CN"/>
        </w:rPr>
        <w:t>第745A(A)节电子申报资料的要求不在本指南范围内，因此本指南对其不予讨论。</w:t>
      </w:r>
    </w:p>
    <w:p w14:paraId="7BEC688A">
      <w:pPr>
        <w:autoSpaceDE/>
        <w:autoSpaceDN/>
        <w:spacing w:before="120" w:beforeLines="50" w:line="300" w:lineRule="auto"/>
        <w:rPr>
          <w:rFonts w:cs="Times New Roman"/>
          <w:sz w:val="24"/>
          <w:szCs w:val="24"/>
          <w:lang w:eastAsia="zh-CN"/>
        </w:rPr>
      </w:pPr>
      <w:r>
        <w:rPr>
          <w:rFonts w:cs="宋体"/>
          <w:sz w:val="24"/>
          <w:lang w:eastAsia="zh-CN"/>
        </w:rPr>
        <w:br w:type="page"/>
      </w:r>
    </w:p>
    <w:p w14:paraId="37737EE1">
      <w:pPr>
        <w:pStyle w:val="3"/>
        <w:autoSpaceDE/>
        <w:autoSpaceDN/>
        <w:ind w:left="1417" w:leftChars="407"/>
        <w:rPr>
          <w:lang w:eastAsia="zh-CN"/>
        </w:rPr>
      </w:pPr>
      <w:bookmarkStart w:id="6" w:name="_Toc91261614"/>
      <w:r>
        <w:rPr>
          <w:rFonts w:cs="宋体"/>
          <w:lang w:eastAsia="zh-CN"/>
        </w:rPr>
        <w:t>A.</w:t>
      </w:r>
      <w:r>
        <w:rPr>
          <w:rFonts w:cs="宋体"/>
          <w:lang w:eastAsia="zh-CN"/>
        </w:rPr>
        <w:tab/>
      </w:r>
      <w:r>
        <w:rPr>
          <w:rFonts w:cs="宋体"/>
          <w:lang w:eastAsia="zh-CN"/>
        </w:rPr>
        <w:t>哪些申报资料必须以电子</w:t>
      </w:r>
      <w:r>
        <w:rPr>
          <w:rFonts w:hint="eastAsia" w:cs="宋体"/>
          <w:lang w:eastAsia="zh-CN"/>
        </w:rPr>
        <w:t>形式</w:t>
      </w:r>
      <w:r>
        <w:rPr>
          <w:rFonts w:cs="宋体"/>
          <w:lang w:eastAsia="zh-CN"/>
        </w:rPr>
        <w:t>提交？</w:t>
      </w:r>
      <w:bookmarkEnd w:id="6"/>
    </w:p>
    <w:p w14:paraId="64D7443E">
      <w:pPr>
        <w:autoSpaceDE/>
        <w:autoSpaceDN/>
        <w:spacing w:before="120" w:beforeLines="50" w:line="300" w:lineRule="auto"/>
        <w:rPr>
          <w:rFonts w:cs="Times New Roman"/>
          <w:sz w:val="24"/>
          <w:szCs w:val="24"/>
          <w:lang w:eastAsia="zh-CN"/>
        </w:rPr>
      </w:pPr>
      <w:r>
        <w:rPr>
          <w:rFonts w:cs="宋体"/>
          <w:sz w:val="24"/>
          <w:lang w:eastAsia="zh-CN"/>
        </w:rPr>
        <w:t>根据《FD&amp;C法案》第745A(b)(3)节的规定，要求仅以电子</w:t>
      </w:r>
      <w:r>
        <w:rPr>
          <w:rFonts w:hint="eastAsia" w:cs="宋体"/>
          <w:sz w:val="24"/>
          <w:lang w:eastAsia="zh-CN"/>
        </w:rPr>
        <w:t>版</w:t>
      </w:r>
      <w:r>
        <w:rPr>
          <w:rFonts w:cs="宋体"/>
          <w:sz w:val="24"/>
          <w:lang w:eastAsia="zh-CN"/>
        </w:rPr>
        <w:t>提交下列申报资料类型：</w:t>
      </w:r>
    </w:p>
    <w:p w14:paraId="3161FBCE">
      <w:pPr>
        <w:autoSpaceDE/>
        <w:autoSpaceDN/>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根据第510(k)节提交上市前通知（510(k)）；</w:t>
      </w:r>
    </w:p>
    <w:p w14:paraId="1705DC4A">
      <w:pPr>
        <w:autoSpaceDE/>
        <w:autoSpaceDN/>
        <w:spacing w:before="36" w:beforeLines="15"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根据第513(f)(2)节的规定，提交III类器械自动认定评价申请（创新产品重新注册过程）；</w:t>
      </w:r>
    </w:p>
    <w:p w14:paraId="56E0BD2D">
      <w:pPr>
        <w:autoSpaceDE/>
        <w:autoSpaceDN/>
        <w:spacing w:before="36" w:beforeLines="15"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上市前审批申请（PMA），包括第515(c)节和第515(d)节规定的过渡性审批申请；</w:t>
      </w:r>
    </w:p>
    <w:p w14:paraId="06C64D54">
      <w:pPr>
        <w:autoSpaceDE/>
        <w:autoSpaceDN/>
        <w:spacing w:before="36" w:beforeLines="15" w:line="300" w:lineRule="auto"/>
        <w:ind w:left="1559" w:leftChars="514"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包括所有PMA申报资料类型，包括但不限于原始PMA、专题研讨会补充资料、180天补充资料、实时审查补充资料、制造场地变更补充资料、30天通知、135天补充资料和批准后研究补充资料和报告，以及涉及联系人或所有权变更的修订和延期申请。</w:t>
      </w:r>
    </w:p>
    <w:p w14:paraId="00914B2A">
      <w:pPr>
        <w:autoSpaceDE/>
        <w:autoSpaceDN/>
        <w:spacing w:before="36" w:beforeLines="15"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第515(c)（4）节规定的模块化PMA；</w:t>
      </w:r>
    </w:p>
    <w:p w14:paraId="60FD2DD9">
      <w:pPr>
        <w:autoSpaceDE/>
        <w:autoSpaceDN/>
        <w:spacing w:before="36" w:beforeLines="15"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第515(f)节规定的产品开发协议（PDP）；</w:t>
      </w:r>
    </w:p>
    <w:p w14:paraId="6BD4C262">
      <w:pPr>
        <w:autoSpaceDE/>
        <w:autoSpaceDN/>
        <w:spacing w:before="36" w:beforeLines="15"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第520(g)节规定的研究用器械豁免（IDE）申请；</w:t>
      </w:r>
    </w:p>
    <w:p w14:paraId="5C322C20">
      <w:pPr>
        <w:autoSpaceDE/>
        <w:autoSpaceDN/>
        <w:spacing w:before="36" w:beforeLines="15" w:line="300" w:lineRule="auto"/>
        <w:ind w:left="1559" w:leftChars="514"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这包括所有IDE申请类型，包括原始IDE、IDE报告、IDE补充资料和各种IDE类型的修正[参见下文的</w:t>
      </w:r>
      <w:r>
        <w:rPr>
          <w:rFonts w:cs="宋体"/>
          <w:color w:val="0000FF"/>
          <w:sz w:val="24"/>
          <w:u w:val="single"/>
          <w:lang w:eastAsia="zh-CN"/>
        </w:rPr>
        <w:t>豁免</w:t>
      </w:r>
      <w:r>
        <w:rPr>
          <w:rFonts w:cs="宋体"/>
          <w:sz w:val="24"/>
          <w:lang w:eastAsia="zh-CN"/>
        </w:rPr>
        <w:t>]。</w:t>
      </w:r>
      <w:r>
        <w:rPr>
          <w:rFonts w:cs="宋体"/>
          <w:sz w:val="24"/>
          <w:vertAlign w:val="superscript"/>
          <w:lang w:eastAsia="zh-CN"/>
        </w:rPr>
        <w:t>5</w:t>
      </w:r>
    </w:p>
    <w:p w14:paraId="0BD3B1A7">
      <w:pPr>
        <w:autoSpaceDE/>
        <w:autoSpaceDN/>
        <w:spacing w:before="36" w:beforeLines="15"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第520(m)节规定的人道主义器械豁免申请（HDE）；</w:t>
      </w:r>
    </w:p>
    <w:p w14:paraId="535307F8">
      <w:pPr>
        <w:autoSpaceDE/>
        <w:autoSpaceDN/>
        <w:spacing w:before="36" w:beforeLines="15" w:line="300" w:lineRule="auto"/>
        <w:ind w:left="1559" w:leftChars="514"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这包括所有HDE申请类型，包括但不限于原始HDE、180天补充资料、制造场地变更补充、30天通知、135天补充资料、批准后研究补充资料和报告，以及涉及联系人或所有权变更的修订和延期申请。</w:t>
      </w:r>
    </w:p>
    <w:p w14:paraId="336586B1">
      <w:pPr>
        <w:autoSpaceDE/>
        <w:autoSpaceDN/>
        <w:spacing w:before="36" w:beforeLines="15"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第564节规定的紧急使用授权（EUA）</w:t>
      </w:r>
      <w:r>
        <w:rPr>
          <w:rFonts w:cs="宋体"/>
          <w:sz w:val="24"/>
          <w:vertAlign w:val="superscript"/>
          <w:lang w:eastAsia="zh-CN"/>
        </w:rPr>
        <w:t>6</w:t>
      </w:r>
      <w:r>
        <w:rPr>
          <w:rFonts w:cs="宋体"/>
          <w:sz w:val="24"/>
          <w:lang w:eastAsia="zh-CN"/>
        </w:rPr>
        <w:t>；</w:t>
      </w:r>
    </w:p>
    <w:p w14:paraId="58ED06B9">
      <w:pPr>
        <w:autoSpaceDE/>
        <w:autoSpaceDN/>
        <w:spacing w:before="36" w:beforeLines="15"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《公共健康服务法案》（PHS）第351节规定的某些新药临床试验申请（IND）；</w:t>
      </w:r>
    </w:p>
    <w:p w14:paraId="1827B98E">
      <w:pPr>
        <w:autoSpaceDE/>
        <w:autoSpaceDN/>
        <w:spacing w:before="36" w:beforeLines="15" w:line="300" w:lineRule="auto"/>
        <w:ind w:left="1559" w:leftChars="514" w:hanging="480" w:hangingChars="200"/>
        <w:rPr>
          <w:rFonts w:cs="宋体"/>
          <w:sz w:val="24"/>
          <w:lang w:eastAsia="zh-CN"/>
        </w:rPr>
      </w:pPr>
      <w:r>
        <w:rPr>
          <w:rFonts w:cs="宋体"/>
          <w:sz w:val="24"/>
          <w:lang w:eastAsia="zh-CN"/>
        </w:rPr>
        <w:t>●</w:t>
      </w:r>
      <w:r>
        <w:rPr>
          <w:rFonts w:cs="宋体"/>
          <w:sz w:val="24"/>
          <w:lang w:eastAsia="zh-CN"/>
        </w:rPr>
        <w:tab/>
      </w:r>
      <w:r>
        <w:rPr>
          <w:rFonts w:cs="宋体"/>
          <w:sz w:val="24"/>
          <w:lang w:eastAsia="zh-CN"/>
        </w:rPr>
        <w:t>仅适用于在提交生物制品许可申请（BLA）之前提交的IND，该BLA主要针对作为生物制品受到CBER监管的器械。此类IND通常用于筛查捐献血液中的输血传播疾病。</w:t>
      </w:r>
    </w:p>
    <w:p w14:paraId="470647F7">
      <w:pPr>
        <w:autoSpaceDE/>
        <w:autoSpaceDN/>
        <w:spacing w:before="36" w:beforeLines="15" w:line="300" w:lineRule="auto"/>
        <w:ind w:left="1559" w:leftChars="514" w:hanging="480" w:hangingChars="200"/>
        <w:rPr>
          <w:rFonts w:cs="宋体"/>
          <w:sz w:val="24"/>
          <w:lang w:eastAsia="zh-CN"/>
        </w:rPr>
      </w:pPr>
    </w:p>
    <w:p w14:paraId="57039E3A">
      <w:pPr>
        <w:autoSpaceDE/>
        <w:autoSpaceDN/>
        <w:spacing w:before="120" w:beforeLines="50" w:line="300" w:lineRule="auto"/>
        <w:rPr>
          <w:rFonts w:cs="Times New Roman"/>
          <w:sz w:val="24"/>
          <w:szCs w:val="24"/>
          <w:lang w:eastAsia="zh-CN"/>
        </w:rPr>
      </w:pPr>
      <w:r>
        <w:rPr>
          <w:rFonts w:cs="宋体"/>
          <w:sz w:val="24"/>
        </w:rPr>
        <w:t>___________________</w:t>
      </w:r>
    </w:p>
    <w:p w14:paraId="40DA0C8F">
      <w:pPr>
        <w:autoSpaceDE/>
        <w:autoSpaceDN/>
        <w:spacing w:before="36" w:beforeLines="15" w:line="276" w:lineRule="auto"/>
        <w:rPr>
          <w:rFonts w:cs="Times New Roman"/>
          <w:szCs w:val="24"/>
        </w:rPr>
      </w:pPr>
      <w:r>
        <w:rPr>
          <w:rFonts w:cs="宋体"/>
          <w:vertAlign w:val="superscript"/>
        </w:rPr>
        <w:t xml:space="preserve">5 </w:t>
      </w:r>
      <w:r>
        <w:rPr>
          <w:rFonts w:cs="宋体"/>
        </w:rPr>
        <w:t>有关IDE申请类型的描述，请参阅FDA指南第9节《</w:t>
      </w:r>
      <w:r>
        <w:rPr>
          <w:rFonts w:cs="宋体"/>
          <w:color w:val="0000FF"/>
          <w:u w:val="single"/>
        </w:rPr>
        <w:t>FDA关于研究用器械豁免临床研究的决定</w:t>
      </w:r>
      <w:r>
        <w:rPr>
          <w:rFonts w:cs="宋体"/>
        </w:rPr>
        <w:t>》，网址为：</w:t>
      </w:r>
      <w:r>
        <w:rPr>
          <w:rFonts w:cs="宋体"/>
          <w:color w:val="0000FF"/>
          <w:u w:val="single"/>
        </w:rPr>
        <w:t>https://www.fda.gov/regulatory-information/search-fda-guidance-documents/fda-decisions-investigational-device-exemption-clinical-investigations</w:t>
      </w:r>
      <w:r>
        <w:rPr>
          <w:rFonts w:cs="宋体"/>
        </w:rPr>
        <w:t>。</w:t>
      </w:r>
    </w:p>
    <w:p w14:paraId="08209C99">
      <w:pPr>
        <w:autoSpaceDE/>
        <w:autoSpaceDN/>
        <w:spacing w:before="36" w:beforeLines="15" w:line="276" w:lineRule="auto"/>
        <w:rPr>
          <w:rFonts w:cs="Times New Roman"/>
          <w:sz w:val="24"/>
          <w:szCs w:val="24"/>
        </w:rPr>
      </w:pPr>
      <w:r>
        <w:rPr>
          <w:rFonts w:cs="宋体"/>
          <w:vertAlign w:val="superscript"/>
        </w:rPr>
        <w:t xml:space="preserve">6 </w:t>
      </w:r>
      <w:r>
        <w:rPr>
          <w:rFonts w:cs="宋体"/>
        </w:rPr>
        <w:t>关于紧急使用授权的更多信息，请参阅FDA指南《</w:t>
      </w:r>
      <w:r>
        <w:rPr>
          <w:rFonts w:cs="宋体"/>
          <w:color w:val="0000FF"/>
          <w:u w:val="single"/>
        </w:rPr>
        <w:t>医疗产品紧急使用授权</w:t>
      </w:r>
      <w:r>
        <w:rPr>
          <w:rFonts w:cs="宋体"/>
        </w:rPr>
        <w:t>》，网址为：</w:t>
      </w:r>
      <w:r>
        <w:rPr>
          <w:rFonts w:cs="宋体"/>
          <w:color w:val="0000FF"/>
          <w:u w:val="single"/>
        </w:rPr>
        <w:t>https://www.fda.gov/regulatory-information/search-fda-guidance-documents/emergency-use-authorization-medical-products-and-related-authorities</w:t>
      </w:r>
      <w:r>
        <w:rPr>
          <w:rFonts w:cs="宋体"/>
        </w:rPr>
        <w:t>。</w:t>
      </w:r>
      <w:r>
        <w:rPr>
          <w:rFonts w:cs="宋体"/>
          <w:sz w:val="24"/>
        </w:rPr>
        <w:br w:type="page"/>
      </w:r>
    </w:p>
    <w:p w14:paraId="66245A78">
      <w:pPr>
        <w:autoSpaceDE/>
        <w:autoSpaceDN/>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《PHS法案》第351节规定的某些BLA；</w:t>
      </w:r>
    </w:p>
    <w:p w14:paraId="1BAF92F9">
      <w:pPr>
        <w:autoSpaceDE/>
        <w:autoSpaceDN/>
        <w:spacing w:before="120" w:beforeLines="50" w:line="300" w:lineRule="auto"/>
        <w:ind w:left="1559" w:leftChars="514"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仅适用于作为生物制品受CBER监管的器械，无论其是否需要在提交BLA前提交IND。通常，此类器械预期用于筛查捐献血液是否有输血传播性疾病和开展血液兼容性试验。包括原始申请、疗效补充资料、预先批准补充资料（PAS）、30天生效变更（CBE-30）、生效变更（CBE）、标签补充资料和年度报告；以及</w:t>
      </w:r>
    </w:p>
    <w:p w14:paraId="39A62B15">
      <w:pPr>
        <w:autoSpaceDE/>
        <w:autoSpaceDN/>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受理前沟通流程</w:t>
      </w:r>
    </w:p>
    <w:p w14:paraId="36CF8930">
      <w:pPr>
        <w:autoSpaceDE/>
        <w:autoSpaceDN/>
        <w:spacing w:before="120" w:beforeLines="50" w:line="300" w:lineRule="auto"/>
        <w:ind w:left="1559" w:leftChars="514"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虽然第745A(b)节并未要求以电子</w:t>
      </w:r>
      <w:r>
        <w:rPr>
          <w:rFonts w:hint="eastAsia" w:cs="宋体"/>
          <w:sz w:val="24"/>
          <w:lang w:eastAsia="zh-CN"/>
        </w:rPr>
        <w:t>形式</w:t>
      </w:r>
      <w:r>
        <w:rPr>
          <w:rFonts w:cs="宋体"/>
          <w:sz w:val="24"/>
          <w:lang w:eastAsia="zh-CN"/>
        </w:rPr>
        <w:t>提交Q-申请类型（受理前沟通流程资料除外），但FDA建议应采用电子</w:t>
      </w:r>
      <w:r>
        <w:rPr>
          <w:rFonts w:hint="eastAsia" w:cs="宋体"/>
          <w:sz w:val="24"/>
          <w:lang w:eastAsia="zh-CN"/>
        </w:rPr>
        <w:t>形式</w:t>
      </w:r>
      <w:r>
        <w:rPr>
          <w:rFonts w:cs="宋体"/>
          <w:sz w:val="24"/>
          <w:lang w:eastAsia="zh-CN"/>
        </w:rPr>
        <w:t>提交所有Q-申请，以提高审查效率。有关更多信息，请参阅</w:t>
      </w:r>
      <w:r>
        <w:rPr>
          <w:rFonts w:cs="宋体"/>
          <w:color w:val="0000FF"/>
          <w:sz w:val="24"/>
          <w:u w:val="single"/>
          <w:lang w:eastAsia="zh-CN"/>
        </w:rPr>
        <w:t>Q-申请指南</w:t>
      </w:r>
      <w:r>
        <w:rPr>
          <w:rFonts w:cs="宋体"/>
          <w:sz w:val="24"/>
          <w:vertAlign w:val="superscript"/>
          <w:lang w:eastAsia="zh-CN"/>
        </w:rPr>
        <w:t>7</w:t>
      </w:r>
      <w:r>
        <w:rPr>
          <w:rFonts w:cs="宋体"/>
          <w:sz w:val="24"/>
          <w:lang w:eastAsia="zh-CN"/>
        </w:rPr>
        <w:t>。</w:t>
      </w:r>
    </w:p>
    <w:p w14:paraId="52CED7FE">
      <w:pPr>
        <w:autoSpaceDE/>
        <w:autoSpaceDN/>
        <w:spacing w:before="120" w:beforeLines="50" w:line="300" w:lineRule="auto"/>
        <w:rPr>
          <w:rFonts w:cs="Times New Roman"/>
          <w:sz w:val="24"/>
          <w:szCs w:val="24"/>
          <w:lang w:eastAsia="zh-CN"/>
        </w:rPr>
      </w:pPr>
      <w:r>
        <w:rPr>
          <w:rFonts w:cs="宋体"/>
          <w:sz w:val="24"/>
          <w:lang w:eastAsia="zh-CN"/>
        </w:rPr>
        <w:t>还需提供原始申报资料的所有后续电子申报资料，包括上述申报资料类型的修订（修订包括添加到文件和诉求）、补充资料和报告（报告包括年度/定期和批准后报告），以及对补充资料和报告的修订。请注意，《FD&amp;C法案》第745A(b)节不适用于根据21 CFR第803部分提交的医疗器械报告。</w:t>
      </w:r>
    </w:p>
    <w:p w14:paraId="64411824">
      <w:pPr>
        <w:autoSpaceDE/>
        <w:autoSpaceDN/>
        <w:spacing w:before="120" w:beforeLines="50" w:line="300" w:lineRule="auto"/>
        <w:rPr>
          <w:rFonts w:cs="Times New Roman"/>
          <w:sz w:val="24"/>
          <w:szCs w:val="24"/>
          <w:lang w:eastAsia="zh-CN"/>
        </w:rPr>
      </w:pPr>
      <w:r>
        <w:rPr>
          <w:rFonts w:cs="宋体"/>
          <w:sz w:val="24"/>
          <w:lang w:eastAsia="zh-CN"/>
        </w:rPr>
        <w:t>无论是单页提交（如变更联系人）还是多卷提交，电子</w:t>
      </w:r>
      <w:r>
        <w:rPr>
          <w:rFonts w:hint="eastAsia" w:cs="宋体"/>
          <w:sz w:val="24"/>
          <w:lang w:eastAsia="zh-CN"/>
        </w:rPr>
        <w:t>申报资料</w:t>
      </w:r>
      <w:r>
        <w:rPr>
          <w:rFonts w:cs="宋体"/>
          <w:sz w:val="24"/>
          <w:lang w:eastAsia="zh-CN"/>
        </w:rPr>
        <w:t>要求均适用。未采用相关指导文件中所述电子申报资料将不予归档或接收，除非已豁免该申报资料的电子版提交要求或已免除该申报资料的电子版提交要求。</w:t>
      </w:r>
    </w:p>
    <w:p w14:paraId="30481A5C">
      <w:pPr>
        <w:pStyle w:val="3"/>
        <w:autoSpaceDE/>
        <w:autoSpaceDN/>
        <w:ind w:left="1417" w:leftChars="407"/>
        <w:rPr>
          <w:lang w:eastAsia="zh-CN"/>
        </w:rPr>
      </w:pPr>
      <w:bookmarkStart w:id="7" w:name="_Toc91261615"/>
      <w:r>
        <w:rPr>
          <w:rFonts w:cs="宋体"/>
          <w:lang w:eastAsia="zh-CN"/>
        </w:rPr>
        <w:t>B.</w:t>
      </w:r>
      <w:r>
        <w:rPr>
          <w:rFonts w:cs="宋体"/>
          <w:lang w:eastAsia="zh-CN"/>
        </w:rPr>
        <w:tab/>
      </w:r>
      <w:r>
        <w:rPr>
          <w:rFonts w:cs="宋体"/>
          <w:lang w:eastAsia="zh-CN"/>
        </w:rPr>
        <w:t>FDA是否会发布豁免</w:t>
      </w:r>
      <w:r>
        <w:rPr>
          <w:rFonts w:hint="eastAsia" w:cs="宋体"/>
          <w:lang w:eastAsia="zh-CN"/>
        </w:rPr>
        <w:t>提交</w:t>
      </w:r>
      <w:r>
        <w:rPr>
          <w:rFonts w:cs="宋体"/>
          <w:lang w:eastAsia="zh-CN"/>
        </w:rPr>
        <w:t>电子申报资料</w:t>
      </w:r>
      <w:r>
        <w:rPr>
          <w:rFonts w:hint="eastAsia" w:cs="宋体"/>
          <w:lang w:eastAsia="zh-CN"/>
        </w:rPr>
        <w:t>的</w:t>
      </w:r>
      <w:r>
        <w:rPr>
          <w:rFonts w:cs="宋体"/>
          <w:lang w:eastAsia="zh-CN"/>
        </w:rPr>
        <w:t>要求？</w:t>
      </w:r>
      <w:bookmarkEnd w:id="7"/>
    </w:p>
    <w:p w14:paraId="592809DF">
      <w:pPr>
        <w:autoSpaceDE/>
        <w:autoSpaceDN/>
        <w:spacing w:before="120" w:beforeLines="50" w:line="300" w:lineRule="auto"/>
        <w:rPr>
          <w:rFonts w:cs="Times New Roman"/>
          <w:sz w:val="24"/>
          <w:szCs w:val="24"/>
          <w:lang w:eastAsia="zh-CN"/>
        </w:rPr>
      </w:pPr>
      <w:r>
        <w:rPr>
          <w:rFonts w:cs="宋体"/>
          <w:sz w:val="24"/>
          <w:lang w:eastAsia="zh-CN"/>
        </w:rPr>
        <w:t>相关法规允许FDA制定免除电子版提交要求的标准。将在具体提交的单独指南中讨论任何类型的豁免标准（如适用）。</w:t>
      </w:r>
    </w:p>
    <w:p w14:paraId="700F90AB">
      <w:pPr>
        <w:pStyle w:val="3"/>
        <w:autoSpaceDE/>
        <w:autoSpaceDN/>
        <w:ind w:left="1417" w:leftChars="407"/>
        <w:rPr>
          <w:lang w:eastAsia="zh-CN"/>
        </w:rPr>
      </w:pPr>
      <w:bookmarkStart w:id="8" w:name="_Toc91261616"/>
      <w:r>
        <w:rPr>
          <w:rFonts w:cs="宋体"/>
          <w:lang w:eastAsia="zh-CN"/>
        </w:rPr>
        <w:t>C.</w:t>
      </w:r>
      <w:r>
        <w:rPr>
          <w:rFonts w:cs="宋体"/>
          <w:lang w:eastAsia="zh-CN"/>
        </w:rPr>
        <w:tab/>
      </w:r>
      <w:r>
        <w:rPr>
          <w:rFonts w:cs="宋体"/>
          <w:lang w:eastAsia="zh-CN"/>
        </w:rPr>
        <w:t>哪些申报资料可申请豁免电子</w:t>
      </w:r>
      <w:r>
        <w:rPr>
          <w:rFonts w:hint="eastAsia" w:cs="宋体"/>
          <w:lang w:eastAsia="zh-CN"/>
        </w:rPr>
        <w:t>资料</w:t>
      </w:r>
      <w:r>
        <w:rPr>
          <w:rFonts w:cs="宋体"/>
          <w:lang w:eastAsia="zh-CN"/>
        </w:rPr>
        <w:t>？</w:t>
      </w:r>
      <w:bookmarkEnd w:id="8"/>
    </w:p>
    <w:p w14:paraId="202DD61A">
      <w:pPr>
        <w:pStyle w:val="21"/>
        <w:autoSpaceDE/>
        <w:autoSpaceDN/>
        <w:rPr>
          <w:rFonts w:cs="宋体"/>
          <w:lang w:eastAsia="zh-CN"/>
        </w:rPr>
      </w:pPr>
    </w:p>
    <w:p w14:paraId="197B5F2A">
      <w:pPr>
        <w:rPr>
          <w:lang w:eastAsia="zh-CN"/>
        </w:rPr>
      </w:pPr>
    </w:p>
    <w:p w14:paraId="2CFE9F2F">
      <w:pPr>
        <w:rPr>
          <w:lang w:eastAsia="zh-CN"/>
        </w:rPr>
      </w:pPr>
    </w:p>
    <w:p w14:paraId="3F2D8825">
      <w:pPr>
        <w:rPr>
          <w:lang w:eastAsia="zh-CN"/>
        </w:rPr>
      </w:pPr>
    </w:p>
    <w:p w14:paraId="50CCC483">
      <w:pPr>
        <w:rPr>
          <w:lang w:eastAsia="zh-CN"/>
        </w:rPr>
      </w:pPr>
    </w:p>
    <w:p w14:paraId="5A9BC3F5">
      <w:pPr>
        <w:rPr>
          <w:lang w:eastAsia="zh-CN"/>
        </w:rPr>
      </w:pPr>
    </w:p>
    <w:p w14:paraId="24B97D33">
      <w:pPr>
        <w:rPr>
          <w:lang w:eastAsia="zh-CN"/>
        </w:rPr>
      </w:pPr>
    </w:p>
    <w:p w14:paraId="7B04D648">
      <w:pPr>
        <w:rPr>
          <w:lang w:eastAsia="zh-CN"/>
        </w:rPr>
      </w:pPr>
    </w:p>
    <w:p w14:paraId="039D7050">
      <w:pPr>
        <w:rPr>
          <w:lang w:eastAsia="zh-CN"/>
        </w:rPr>
      </w:pPr>
    </w:p>
    <w:p w14:paraId="49EA4CC2">
      <w:pPr>
        <w:rPr>
          <w:lang w:eastAsia="zh-CN"/>
        </w:rPr>
      </w:pPr>
    </w:p>
    <w:p w14:paraId="3C8F81F2">
      <w:pPr>
        <w:rPr>
          <w:lang w:eastAsia="zh-CN"/>
        </w:rPr>
      </w:pPr>
    </w:p>
    <w:p w14:paraId="68790817">
      <w:pPr>
        <w:rPr>
          <w:lang w:eastAsia="zh-CN"/>
        </w:rPr>
      </w:pPr>
    </w:p>
    <w:p w14:paraId="063838C5">
      <w:pPr>
        <w:rPr>
          <w:lang w:eastAsia="zh-CN"/>
        </w:rPr>
      </w:pPr>
    </w:p>
    <w:p w14:paraId="35E68BF3">
      <w:pPr>
        <w:pStyle w:val="21"/>
        <w:autoSpaceDE/>
        <w:autoSpaceDN/>
        <w:rPr>
          <w:lang w:eastAsia="zh-CN"/>
        </w:rPr>
      </w:pPr>
      <w:r>
        <w:rPr>
          <w:rFonts w:cs="宋体"/>
        </w:rPr>
        <w:t>___________________</w:t>
      </w:r>
    </w:p>
    <w:p w14:paraId="6893AD76">
      <w:pPr>
        <w:pStyle w:val="21"/>
        <w:autoSpaceDE/>
        <w:autoSpaceDN/>
      </w:pPr>
      <w:r>
        <w:rPr>
          <w:vertAlign w:val="superscript"/>
        </w:rPr>
        <w:t>7</w:t>
      </w:r>
      <w:bookmarkStart w:id="9" w:name="_bookmark12"/>
      <w:bookmarkEnd w:id="9"/>
      <w:r>
        <w:rPr>
          <w:color w:val="0000FF"/>
          <w:u w:val="single" w:color="0000FF"/>
        </w:rPr>
        <w:t>https://www.fda.gov/regulatory-information/search-fda-guidance-documents/requests-feedback-and-meetings-medical-device-submissions-q-submission-program</w:t>
      </w:r>
      <w:r>
        <w:t>.</w:t>
      </w:r>
    </w:p>
    <w:p w14:paraId="04726CF3">
      <w:pPr>
        <w:autoSpaceDE/>
        <w:autoSpaceDN/>
        <w:spacing w:before="120" w:beforeLines="50" w:line="300" w:lineRule="auto"/>
        <w:rPr>
          <w:rFonts w:cs="Times New Roman"/>
          <w:sz w:val="24"/>
          <w:szCs w:val="24"/>
        </w:rPr>
      </w:pPr>
      <w:r>
        <w:rPr>
          <w:rFonts w:cs="宋体"/>
          <w:sz w:val="24"/>
        </w:rPr>
        <w:br w:type="page"/>
      </w:r>
    </w:p>
    <w:p w14:paraId="34CA5B07">
      <w:pPr>
        <w:autoSpaceDE/>
        <w:autoSpaceDN/>
        <w:spacing w:before="120" w:beforeLines="50" w:line="300" w:lineRule="auto"/>
        <w:rPr>
          <w:rFonts w:cs="Times New Roman"/>
          <w:sz w:val="24"/>
          <w:szCs w:val="24"/>
          <w:lang w:eastAsia="zh-CN"/>
        </w:rPr>
      </w:pPr>
      <w:r>
        <w:rPr>
          <w:rFonts w:cs="宋体"/>
          <w:sz w:val="24"/>
          <w:lang w:eastAsia="zh-CN"/>
        </w:rPr>
        <w:t>第745A(b)(3)(b)节授权FDA针对“仅以电子提交要求”制定豁免标准。一般而言，下列类型的IDE申报资料不受第745A(b)(3)节相关要求的约束：</w:t>
      </w:r>
    </w:p>
    <w:p w14:paraId="5212F096">
      <w:pPr>
        <w:overflowPunct w:val="0"/>
        <w:autoSpaceDE/>
        <w:autoSpaceDN/>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扩大使用同情使用申请和紧急使用报告；不良事件报告（所有类型，例如严重、器械故障等）。</w:t>
      </w:r>
    </w:p>
    <w:p w14:paraId="3BA48A8D">
      <w:pPr>
        <w:autoSpaceDE/>
        <w:autoSpaceDN/>
        <w:spacing w:before="120" w:beforeLines="50" w:line="300" w:lineRule="auto"/>
        <w:rPr>
          <w:rFonts w:cs="Times New Roman"/>
          <w:sz w:val="24"/>
          <w:szCs w:val="24"/>
          <w:lang w:eastAsia="zh-CN"/>
        </w:rPr>
      </w:pPr>
      <w:r>
        <w:rPr>
          <w:rFonts w:cs="宋体"/>
          <w:sz w:val="24"/>
          <w:lang w:eastAsia="zh-CN"/>
        </w:rPr>
        <w:t>尽管根据本豁免条款的规定，此类申报资料无需采用电子</w:t>
      </w:r>
      <w:r>
        <w:rPr>
          <w:rFonts w:hint="eastAsia" w:cs="宋体"/>
          <w:sz w:val="24"/>
          <w:lang w:eastAsia="zh-CN"/>
        </w:rPr>
        <w:t>形式</w:t>
      </w:r>
      <w:r>
        <w:rPr>
          <w:rFonts w:cs="宋体"/>
          <w:sz w:val="24"/>
          <w:lang w:eastAsia="zh-CN"/>
        </w:rPr>
        <w:t>，但FDA仍提倡在可获取提交模板的情况下，以电子提交此类资料，以便促进审查流程的推进。</w:t>
      </w:r>
    </w:p>
    <w:p w14:paraId="326417D1">
      <w:pPr>
        <w:autoSpaceDE/>
        <w:autoSpaceDN/>
        <w:spacing w:before="120" w:beforeLines="50" w:line="300" w:lineRule="auto"/>
        <w:rPr>
          <w:rFonts w:cs="Times New Roman"/>
          <w:sz w:val="24"/>
          <w:szCs w:val="24"/>
          <w:lang w:eastAsia="zh-CN"/>
        </w:rPr>
      </w:pPr>
      <w:r>
        <w:rPr>
          <w:rFonts w:cs="宋体"/>
          <w:sz w:val="24"/>
          <w:lang w:eastAsia="zh-CN"/>
        </w:rPr>
        <w:t>将在具体申报资料的单独指南中讨论其他豁免条款（如适用）。</w:t>
      </w:r>
    </w:p>
    <w:p w14:paraId="44F2898A">
      <w:pPr>
        <w:autoSpaceDE/>
        <w:autoSpaceDN/>
        <w:spacing w:before="120" w:beforeLines="50" w:line="300" w:lineRule="auto"/>
        <w:rPr>
          <w:rFonts w:cs="Times New Roman"/>
          <w:sz w:val="24"/>
          <w:szCs w:val="24"/>
          <w:lang w:eastAsia="zh-CN"/>
        </w:rPr>
      </w:pPr>
      <w:r>
        <w:rPr>
          <w:rFonts w:cs="宋体"/>
          <w:sz w:val="24"/>
          <w:lang w:eastAsia="zh-CN"/>
        </w:rPr>
        <w:t>尽管根据《FD&amp;C法案》第745A(b)节的规定，电子提交并非必要，但FDA也可为下列资料内容确定和推荐适用的电子版提交格式：</w:t>
      </w:r>
    </w:p>
    <w:p w14:paraId="27933A17">
      <w:pPr>
        <w:autoSpaceDE/>
        <w:autoSpaceDN/>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主访问文件（MAF）；</w:t>
      </w:r>
    </w:p>
    <w:p w14:paraId="56285EB8">
      <w:pPr>
        <w:autoSpaceDE/>
        <w:autoSpaceDN/>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513(g)信息请求（513(g)）；以及</w:t>
      </w:r>
    </w:p>
    <w:p w14:paraId="65C694EE">
      <w:pPr>
        <w:autoSpaceDE/>
        <w:autoSpaceDN/>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《1988年临床实验室改进修正案》（CLIA）分类申请（CLIA记录；CR）和CLIA豁免申请（CW）。</w:t>
      </w:r>
      <w:r>
        <w:rPr>
          <w:rFonts w:cs="宋体"/>
          <w:sz w:val="24"/>
          <w:vertAlign w:val="superscript"/>
          <w:lang w:eastAsia="zh-CN"/>
        </w:rPr>
        <w:t>8</w:t>
      </w:r>
    </w:p>
    <w:p w14:paraId="0E4C515F">
      <w:pPr>
        <w:autoSpaceDE/>
        <w:autoSpaceDN/>
        <w:spacing w:before="120" w:beforeLines="50" w:line="300" w:lineRule="auto"/>
        <w:rPr>
          <w:rFonts w:cs="Times New Roman"/>
          <w:sz w:val="24"/>
          <w:szCs w:val="24"/>
          <w:lang w:eastAsia="zh-CN"/>
        </w:rPr>
      </w:pPr>
      <w:r>
        <w:rPr>
          <w:rFonts w:cs="宋体"/>
          <w:sz w:val="24"/>
          <w:lang w:eastAsia="zh-CN"/>
        </w:rPr>
        <w:t>在可获取提交模板的情况下，对于此类申报资料类型，您可自愿选择是否采用电子提交。</w:t>
      </w:r>
    </w:p>
    <w:p w14:paraId="20DA5400">
      <w:pPr>
        <w:pStyle w:val="3"/>
        <w:autoSpaceDE/>
        <w:autoSpaceDN/>
        <w:ind w:left="1417" w:leftChars="407"/>
        <w:rPr>
          <w:lang w:eastAsia="zh-CN"/>
        </w:rPr>
      </w:pPr>
      <w:bookmarkStart w:id="10" w:name="_Toc91261617"/>
      <w:r>
        <w:rPr>
          <w:rFonts w:cs="宋体"/>
          <w:lang w:eastAsia="zh-CN"/>
        </w:rPr>
        <w:t>D.</w:t>
      </w:r>
      <w:r>
        <w:rPr>
          <w:rFonts w:cs="宋体"/>
          <w:lang w:eastAsia="zh-CN"/>
        </w:rPr>
        <w:tab/>
      </w:r>
      <w:r>
        <w:rPr>
          <w:rFonts w:hint="eastAsia" w:cs="宋体"/>
          <w:lang w:eastAsia="zh-CN"/>
        </w:rPr>
        <w:tab/>
      </w:r>
      <w:r>
        <w:rPr>
          <w:rFonts w:cs="宋体"/>
          <w:lang w:eastAsia="zh-CN"/>
        </w:rPr>
        <w:t>FDA如何对特定申报资料实施“仅限于电子提交要求”？</w:t>
      </w:r>
      <w:bookmarkEnd w:id="10"/>
    </w:p>
    <w:p w14:paraId="72D53719">
      <w:pPr>
        <w:autoSpaceDE/>
        <w:autoSpaceDN/>
        <w:spacing w:before="120" w:beforeLines="50" w:line="300" w:lineRule="auto"/>
        <w:rPr>
          <w:rFonts w:cs="Times New Roman"/>
          <w:sz w:val="24"/>
          <w:szCs w:val="24"/>
          <w:lang w:eastAsia="zh-CN"/>
        </w:rPr>
      </w:pPr>
      <w:r>
        <w:rPr>
          <w:rFonts w:cs="宋体"/>
          <w:sz w:val="24"/>
          <w:lang w:eastAsia="zh-CN"/>
        </w:rPr>
        <w:t>FDA</w:t>
      </w:r>
      <w:r>
        <w:rPr>
          <w:rFonts w:hint="eastAsia" w:cs="宋体"/>
          <w:sz w:val="24"/>
          <w:lang w:eastAsia="zh-CN"/>
        </w:rPr>
        <w:t>计划</w:t>
      </w:r>
      <w:r>
        <w:rPr>
          <w:rFonts w:cs="宋体"/>
          <w:sz w:val="24"/>
          <w:lang w:eastAsia="zh-CN"/>
        </w:rPr>
        <w:t>采用下列流程来规定第745A(b)节所述电子申报资料：</w:t>
      </w:r>
    </w:p>
    <w:p w14:paraId="78AFB5A3">
      <w:pPr>
        <w:autoSpaceDE/>
        <w:autoSpaceDN/>
        <w:spacing w:before="120" w:beforeLines="50" w:line="300" w:lineRule="auto"/>
        <w:rPr>
          <w:rFonts w:cs="Times New Roman"/>
          <w:sz w:val="24"/>
          <w:szCs w:val="24"/>
          <w:lang w:eastAsia="zh-CN"/>
        </w:rPr>
      </w:pPr>
      <w:r>
        <w:rPr>
          <w:rFonts w:cs="宋体"/>
          <w:sz w:val="24"/>
          <w:lang w:eastAsia="zh-CN"/>
        </w:rPr>
        <w:t>1. 将制定单独的指导文件草案，以规定第745A(b)节所述的电子申报资料、主题和适用范围。</w:t>
      </w:r>
      <w:r>
        <w:rPr>
          <w:rFonts w:hint="eastAsia" w:cs="宋体"/>
          <w:sz w:val="24"/>
          <w:lang w:eastAsia="zh-CN"/>
        </w:rPr>
        <w:t>F</w:t>
      </w:r>
      <w:r>
        <w:rPr>
          <w:rFonts w:cs="宋体"/>
          <w:sz w:val="24"/>
          <w:lang w:eastAsia="zh-CN"/>
        </w:rPr>
        <w:t>DA</w:t>
      </w:r>
      <w:r>
        <w:rPr>
          <w:rFonts w:hint="eastAsia" w:cs="宋体"/>
          <w:sz w:val="24"/>
          <w:lang w:eastAsia="zh-CN"/>
        </w:rPr>
        <w:t>将</w:t>
      </w:r>
      <w:r>
        <w:rPr>
          <w:rFonts w:cs="宋体"/>
          <w:sz w:val="24"/>
          <w:lang w:eastAsia="zh-CN"/>
        </w:rPr>
        <w:t>按顺序发布</w:t>
      </w:r>
      <w:r>
        <w:rPr>
          <w:rFonts w:hint="eastAsia" w:cs="宋体"/>
          <w:sz w:val="24"/>
          <w:lang w:eastAsia="zh-CN"/>
        </w:rPr>
        <w:t>此类</w:t>
      </w:r>
      <w:r>
        <w:rPr>
          <w:rFonts w:cs="宋体"/>
          <w:sz w:val="24"/>
          <w:lang w:eastAsia="zh-CN"/>
        </w:rPr>
        <w:t>指导文件，以便最终分阶段实施。指导文件草案将</w:t>
      </w:r>
      <w:r>
        <w:rPr>
          <w:rFonts w:hint="eastAsia" w:cs="宋体"/>
          <w:sz w:val="24"/>
          <w:lang w:eastAsia="zh-CN"/>
        </w:rPr>
        <w:t>发布在</w:t>
      </w:r>
      <w:r>
        <w:rPr>
          <w:rFonts w:cs="宋体"/>
          <w:sz w:val="24"/>
          <w:lang w:eastAsia="zh-CN"/>
        </w:rPr>
        <w:t>FDA网站。</w:t>
      </w:r>
    </w:p>
    <w:p w14:paraId="07D81C4A">
      <w:pPr>
        <w:autoSpaceDE/>
        <w:autoSpaceDN/>
        <w:spacing w:before="120" w:beforeLines="50" w:line="300" w:lineRule="auto"/>
        <w:rPr>
          <w:rFonts w:cs="宋体"/>
          <w:sz w:val="24"/>
          <w:lang w:eastAsia="zh-CN"/>
        </w:rPr>
      </w:pPr>
      <w:r>
        <w:rPr>
          <w:rFonts w:cs="宋体"/>
          <w:sz w:val="24"/>
          <w:lang w:eastAsia="zh-CN"/>
        </w:rPr>
        <w:t>2. FDA将在《联邦公报》上发布公告，宣布FDA网站上电子</w:t>
      </w:r>
      <w:r>
        <w:rPr>
          <w:rFonts w:hint="eastAsia" w:cs="宋体"/>
          <w:sz w:val="24"/>
          <w:lang w:eastAsia="zh-CN"/>
        </w:rPr>
        <w:t>申报资料</w:t>
      </w:r>
      <w:r>
        <w:rPr>
          <w:rFonts w:cs="宋体"/>
          <w:sz w:val="24"/>
          <w:lang w:eastAsia="zh-CN"/>
        </w:rPr>
        <w:t>指南的新版本或修订版本的可用性。该公告将确定指南草案的意见征询期。</w:t>
      </w:r>
    </w:p>
    <w:p w14:paraId="08C1EFEB">
      <w:pPr>
        <w:autoSpaceDE/>
        <w:autoSpaceDN/>
        <w:spacing w:before="120" w:beforeLines="50" w:line="300" w:lineRule="auto"/>
        <w:ind w:left="840" w:leftChars="200" w:hanging="420"/>
        <w:rPr>
          <w:rFonts w:cs="宋体"/>
          <w:sz w:val="24"/>
          <w:lang w:eastAsia="zh-CN"/>
        </w:rPr>
      </w:pPr>
    </w:p>
    <w:p w14:paraId="131DC438">
      <w:pPr>
        <w:autoSpaceDE/>
        <w:autoSpaceDN/>
        <w:spacing w:before="120" w:beforeLines="50" w:line="300" w:lineRule="auto"/>
        <w:ind w:left="840" w:leftChars="200" w:hanging="420"/>
        <w:rPr>
          <w:rFonts w:cs="宋体"/>
          <w:sz w:val="24"/>
          <w:lang w:eastAsia="zh-CN"/>
        </w:rPr>
      </w:pPr>
    </w:p>
    <w:p w14:paraId="77FD5482">
      <w:pPr>
        <w:autoSpaceDE/>
        <w:autoSpaceDN/>
        <w:spacing w:before="120" w:beforeLines="50" w:line="300" w:lineRule="auto"/>
        <w:ind w:left="840" w:leftChars="200" w:hanging="420"/>
        <w:rPr>
          <w:rFonts w:cs="宋体"/>
          <w:sz w:val="24"/>
          <w:lang w:eastAsia="zh-CN"/>
        </w:rPr>
      </w:pPr>
    </w:p>
    <w:p w14:paraId="4C9FF9F5">
      <w:pPr>
        <w:autoSpaceDE/>
        <w:autoSpaceDN/>
        <w:spacing w:before="120" w:beforeLines="50" w:line="300" w:lineRule="auto"/>
        <w:ind w:left="840" w:leftChars="200" w:hanging="420"/>
        <w:rPr>
          <w:rFonts w:cs="Times New Roman"/>
          <w:sz w:val="24"/>
          <w:szCs w:val="24"/>
          <w:lang w:eastAsia="zh-CN"/>
        </w:rPr>
      </w:pPr>
    </w:p>
    <w:p w14:paraId="30451A3A">
      <w:pPr>
        <w:pStyle w:val="21"/>
        <w:autoSpaceDE/>
        <w:autoSpaceDN/>
        <w:rPr>
          <w:lang w:eastAsia="zh-CN"/>
        </w:rPr>
      </w:pPr>
      <w:r>
        <w:rPr>
          <w:rFonts w:cs="宋体"/>
        </w:rPr>
        <w:t>___________________</w:t>
      </w:r>
    </w:p>
    <w:p w14:paraId="660BDDF6">
      <w:pPr>
        <w:pStyle w:val="21"/>
        <w:autoSpaceDE/>
        <w:autoSpaceDN/>
      </w:pPr>
      <w:r>
        <w:rPr>
          <w:rFonts w:cs="宋体"/>
          <w:vertAlign w:val="superscript"/>
        </w:rPr>
        <w:t xml:space="preserve">8 </w:t>
      </w:r>
      <w:r>
        <w:rPr>
          <w:rFonts w:cs="宋体"/>
        </w:rPr>
        <w:t>有关CR和CW申报资料的更多信息，请参阅FDA指南《</w:t>
      </w:r>
      <w:r>
        <w:rPr>
          <w:rFonts w:cs="宋体"/>
          <w:color w:val="0000FF"/>
          <w:u w:val="single"/>
        </w:rPr>
        <w:t>CLIA分类的管理程序</w:t>
      </w:r>
      <w:r>
        <w:rPr>
          <w:rFonts w:cs="宋体"/>
        </w:rPr>
        <w:t>》，网址为：</w:t>
      </w:r>
      <w:r>
        <w:rPr>
          <w:rFonts w:cs="宋体"/>
          <w:color w:val="0000FF"/>
          <w:u w:val="single"/>
        </w:rPr>
        <w:t>https://www.fda.gov/regulatory-information/search-fda-guidance- documents/administrative-procedures-clia-categorization</w:t>
      </w:r>
      <w:r>
        <w:rPr>
          <w:rFonts w:cs="宋体"/>
        </w:rPr>
        <w:t>。</w:t>
      </w:r>
    </w:p>
    <w:p w14:paraId="704F1DBA">
      <w:pPr>
        <w:autoSpaceDE/>
        <w:autoSpaceDN/>
        <w:spacing w:before="120" w:beforeLines="50" w:line="300" w:lineRule="auto"/>
        <w:rPr>
          <w:rFonts w:cs="Times New Roman"/>
          <w:sz w:val="24"/>
          <w:szCs w:val="24"/>
        </w:rPr>
      </w:pPr>
      <w:r>
        <w:rPr>
          <w:rFonts w:cs="宋体"/>
          <w:sz w:val="24"/>
        </w:rPr>
        <w:br w:type="page"/>
      </w:r>
    </w:p>
    <w:p w14:paraId="26344FF9">
      <w:pPr>
        <w:autoSpaceDE/>
        <w:autoSpaceDN/>
        <w:spacing w:before="120" w:beforeLines="50" w:line="300" w:lineRule="auto"/>
        <w:ind w:left="840" w:leftChars="200" w:hanging="420"/>
        <w:rPr>
          <w:rFonts w:cs="Times New Roman"/>
          <w:sz w:val="24"/>
          <w:szCs w:val="24"/>
          <w:lang w:eastAsia="zh-CN"/>
        </w:rPr>
      </w:pPr>
      <w:r>
        <w:rPr>
          <w:rFonts w:cs="宋体"/>
          <w:sz w:val="24"/>
          <w:lang w:eastAsia="zh-CN"/>
        </w:rPr>
        <w:t>3.</w:t>
      </w:r>
      <w:r>
        <w:rPr>
          <w:rFonts w:cs="宋体"/>
          <w:sz w:val="24"/>
          <w:lang w:eastAsia="zh-CN"/>
        </w:rPr>
        <w:tab/>
      </w:r>
      <w:r>
        <w:rPr>
          <w:rFonts w:cs="宋体"/>
          <w:sz w:val="24"/>
          <w:lang w:eastAsia="zh-CN"/>
        </w:rPr>
        <w:t>一旦FDA完成指南草案的审查，包括提交意见（如有）的审议，FDA便会在《联邦公报》上发布公告，宣布FDA网站上以电子申报资料最终版指南的可用性。该公告和/或指南将提供相关日期，自该日期起，对于指导文件中确定的提交类型，新申报资料则需提供电子</w:t>
      </w:r>
      <w:r>
        <w:rPr>
          <w:rFonts w:hint="eastAsia" w:cs="宋体"/>
          <w:sz w:val="24"/>
          <w:lang w:eastAsia="zh-CN"/>
        </w:rPr>
        <w:t>形式</w:t>
      </w:r>
      <w:r>
        <w:rPr>
          <w:rFonts w:cs="宋体"/>
          <w:sz w:val="24"/>
          <w:lang w:eastAsia="zh-CN"/>
        </w:rPr>
        <w:t>。</w:t>
      </w:r>
      <w:r>
        <w:rPr>
          <w:rFonts w:hint="eastAsia" w:cs="宋体"/>
          <w:sz w:val="24"/>
          <w:lang w:eastAsia="zh-CN"/>
        </w:rPr>
        <w:t>F</w:t>
      </w:r>
      <w:r>
        <w:rPr>
          <w:rFonts w:cs="宋体"/>
          <w:sz w:val="24"/>
          <w:lang w:eastAsia="zh-CN"/>
        </w:rPr>
        <w:t>DA</w:t>
      </w:r>
      <w:r>
        <w:rPr>
          <w:rFonts w:hint="eastAsia" w:cs="宋体"/>
          <w:sz w:val="24"/>
          <w:lang w:eastAsia="zh-CN"/>
        </w:rPr>
        <w:t>计划</w:t>
      </w:r>
      <w:r>
        <w:rPr>
          <w:rFonts w:cs="宋体"/>
          <w:sz w:val="24"/>
          <w:lang w:eastAsia="zh-CN"/>
        </w:rPr>
        <w:t>在确定要求电子</w:t>
      </w:r>
      <w:r>
        <w:rPr>
          <w:rFonts w:hint="eastAsia" w:cs="宋体"/>
          <w:sz w:val="24"/>
          <w:lang w:eastAsia="zh-CN"/>
        </w:rPr>
        <w:t>申报资料</w:t>
      </w:r>
      <w:r>
        <w:rPr>
          <w:rFonts w:cs="宋体"/>
          <w:sz w:val="24"/>
          <w:lang w:eastAsia="zh-CN"/>
        </w:rPr>
        <w:t>的日期时，</w:t>
      </w:r>
      <w:r>
        <w:rPr>
          <w:rFonts w:hint="eastAsia" w:cs="宋体"/>
          <w:sz w:val="24"/>
          <w:lang w:eastAsia="zh-CN"/>
        </w:rPr>
        <w:t>已</w:t>
      </w:r>
      <w:r>
        <w:rPr>
          <w:rFonts w:cs="宋体"/>
          <w:sz w:val="24"/>
          <w:lang w:eastAsia="zh-CN"/>
        </w:rPr>
        <w:t>将</w:t>
      </w:r>
      <w:r>
        <w:rPr>
          <w:rFonts w:hint="eastAsia" w:cs="宋体"/>
          <w:sz w:val="24"/>
          <w:lang w:eastAsia="zh-CN"/>
        </w:rPr>
        <w:t>资料</w:t>
      </w:r>
      <w:r>
        <w:rPr>
          <w:rFonts w:cs="宋体"/>
          <w:sz w:val="24"/>
          <w:lang w:eastAsia="zh-CN"/>
        </w:rPr>
        <w:t>转换</w:t>
      </w:r>
      <w:r>
        <w:rPr>
          <w:rFonts w:hint="eastAsia" w:cs="宋体"/>
          <w:sz w:val="24"/>
          <w:lang w:eastAsia="zh-CN"/>
        </w:rPr>
        <w:t>为</w:t>
      </w:r>
      <w:r>
        <w:rPr>
          <w:rFonts w:cs="宋体"/>
          <w:sz w:val="24"/>
          <w:lang w:eastAsia="zh-CN"/>
        </w:rPr>
        <w:t>电子所需的时间考虑在内。FDA将在其指南网页上发布最终版指南。</w:t>
      </w:r>
    </w:p>
    <w:p w14:paraId="3FECD069">
      <w:pPr>
        <w:autoSpaceDE/>
        <w:autoSpaceDN/>
        <w:spacing w:before="120" w:beforeLines="50" w:line="300" w:lineRule="auto"/>
        <w:ind w:left="840" w:leftChars="200" w:hanging="420"/>
        <w:rPr>
          <w:rFonts w:cs="Times New Roman"/>
          <w:sz w:val="24"/>
          <w:szCs w:val="24"/>
          <w:lang w:eastAsia="zh-CN"/>
        </w:rPr>
      </w:pPr>
      <w:r>
        <w:rPr>
          <w:rFonts w:cs="宋体"/>
          <w:sz w:val="24"/>
          <w:lang w:eastAsia="zh-CN"/>
        </w:rPr>
        <w:t>4.</w:t>
      </w:r>
      <w:r>
        <w:rPr>
          <w:rFonts w:cs="宋体"/>
          <w:sz w:val="24"/>
          <w:lang w:eastAsia="zh-CN"/>
        </w:rPr>
        <w:tab/>
      </w:r>
      <w:r>
        <w:rPr>
          <w:rFonts w:cs="宋体"/>
          <w:sz w:val="24"/>
          <w:lang w:eastAsia="zh-CN"/>
        </w:rPr>
        <w:t>FDA网站上将公布对指定格式的后续修订或更新，并将结果发布于《联邦公报》。该公告和/或指南将提供相关日期，自该日期起，对于指南中确定的提交类型，申报资料则需采用修订或更新后的电子。</w:t>
      </w:r>
    </w:p>
    <w:p w14:paraId="7B041486">
      <w:pPr>
        <w:pStyle w:val="3"/>
        <w:autoSpaceDE/>
        <w:autoSpaceDN/>
        <w:ind w:left="1417" w:leftChars="407"/>
        <w:rPr>
          <w:lang w:eastAsia="zh-CN"/>
        </w:rPr>
      </w:pPr>
      <w:bookmarkStart w:id="11" w:name="_Toc91261618"/>
      <w:r>
        <w:rPr>
          <w:rFonts w:cs="宋体"/>
          <w:lang w:eastAsia="zh-CN"/>
        </w:rPr>
        <w:t>E.</w:t>
      </w:r>
      <w:r>
        <w:rPr>
          <w:rFonts w:cs="宋体"/>
          <w:lang w:eastAsia="zh-CN"/>
        </w:rPr>
        <w:tab/>
      </w:r>
      <w:r>
        <w:rPr>
          <w:rFonts w:cs="宋体"/>
          <w:lang w:eastAsia="zh-CN"/>
        </w:rPr>
        <w:t>何时要求</w:t>
      </w:r>
      <w:r>
        <w:rPr>
          <w:rFonts w:hint="eastAsia" w:cs="宋体"/>
          <w:lang w:eastAsia="zh-CN"/>
        </w:rPr>
        <w:t>仅需提交</w:t>
      </w:r>
      <w:r>
        <w:rPr>
          <w:rFonts w:cs="宋体"/>
          <w:lang w:eastAsia="zh-CN"/>
        </w:rPr>
        <w:t>电子申报资料？</w:t>
      </w:r>
      <w:bookmarkEnd w:id="11"/>
    </w:p>
    <w:p w14:paraId="6694445A">
      <w:pPr>
        <w:autoSpaceDE/>
        <w:autoSpaceDN/>
        <w:spacing w:before="120" w:beforeLines="50" w:line="300" w:lineRule="auto"/>
        <w:rPr>
          <w:rFonts w:cs="Times New Roman"/>
          <w:sz w:val="24"/>
          <w:szCs w:val="24"/>
          <w:lang w:eastAsia="zh-CN"/>
        </w:rPr>
      </w:pPr>
      <w:r>
        <w:rPr>
          <w:rFonts w:cs="宋体"/>
          <w:sz w:val="24"/>
          <w:lang w:eastAsia="zh-CN"/>
        </w:rPr>
        <w:t>如上所述，</w:t>
      </w:r>
      <w:r>
        <w:rPr>
          <w:rFonts w:hint="eastAsia" w:cs="宋体"/>
          <w:sz w:val="24"/>
          <w:lang w:eastAsia="zh-CN"/>
        </w:rPr>
        <w:t>F</w:t>
      </w:r>
      <w:r>
        <w:rPr>
          <w:rFonts w:cs="宋体"/>
          <w:sz w:val="24"/>
          <w:lang w:eastAsia="zh-CN"/>
        </w:rPr>
        <w:t>DA将制定单独的指导文件，以规定第745A(b)节所述或本指南中确定的各种电子申报资料类型。此类单独指南中将规定具体申报资料所需的格式和相应的实施时间表。一旦最终确定单独指南并将其发布于FDA网站，且已通过该指南中所述的实施时间表，则将该指南视作具有约束力的文件，同时该指南中规定的电子</w:t>
      </w:r>
      <w:r>
        <w:rPr>
          <w:rFonts w:hint="eastAsia" w:cs="宋体"/>
          <w:sz w:val="24"/>
          <w:lang w:eastAsia="zh-CN"/>
        </w:rPr>
        <w:t>形式</w:t>
      </w:r>
      <w:r>
        <w:rPr>
          <w:rFonts w:cs="宋体"/>
          <w:sz w:val="24"/>
          <w:lang w:eastAsia="zh-CN"/>
        </w:rPr>
        <w:t>必须用于上述第III.A节中确定的申报资料。</w:t>
      </w:r>
    </w:p>
    <w:p w14:paraId="0552F6C9">
      <w:pPr>
        <w:pBdr>
          <w:bottom w:val="single" w:color="auto" w:sz="4" w:space="1"/>
        </w:pBdr>
        <w:autoSpaceDE/>
        <w:autoSpaceDN/>
        <w:spacing w:before="120" w:beforeLines="50" w:line="300" w:lineRule="auto"/>
        <w:jc w:val="center"/>
        <w:rPr>
          <w:rFonts w:hint="eastAsia" w:eastAsia="宋体"/>
          <w:lang w:eastAsia="zh-CN"/>
        </w:rPr>
      </w:pPr>
    </w:p>
    <w:p w14:paraId="3C215526">
      <w:pPr>
        <w:pBdr>
          <w:bottom w:val="single" w:color="auto" w:sz="4" w:space="1"/>
        </w:pBdr>
        <w:autoSpaceDE/>
        <w:autoSpaceDN/>
        <w:spacing w:before="120" w:beforeLines="50" w:line="300" w:lineRule="auto"/>
        <w:jc w:val="center"/>
        <w:rPr>
          <w:rFonts w:hint="eastAsia" w:eastAsia="宋体"/>
          <w:lang w:eastAsia="zh-CN"/>
        </w:rPr>
      </w:pPr>
    </w:p>
    <w:p w14:paraId="3946712E">
      <w:pPr>
        <w:pBdr>
          <w:bottom w:val="single" w:color="auto" w:sz="4" w:space="1"/>
        </w:pBdr>
        <w:autoSpaceDE/>
        <w:autoSpaceDN/>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1907" w:h="16839"/>
      <w:pgMar w:top="1418" w:right="1418" w:bottom="1418" w:left="1418" w:header="720" w:footer="720"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0659E">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58E25">
    <w:pPr>
      <w:pStyle w:val="8"/>
      <w:jc w:val="right"/>
      <w:rPr>
        <w:sz w:val="21"/>
        <w:szCs w:val="21"/>
      </w:rPr>
    </w:pPr>
    <w:r>
      <w:rPr>
        <w:rStyle w:val="14"/>
        <w:sz w:val="21"/>
        <w:szCs w:val="21"/>
      </w:rPr>
      <w:fldChar w:fldCharType="begin"/>
    </w:r>
    <w:r>
      <w:rPr>
        <w:rStyle w:val="14"/>
        <w:sz w:val="21"/>
        <w:szCs w:val="21"/>
      </w:rPr>
      <w:instrText xml:space="preserve"> PAGE </w:instrText>
    </w:r>
    <w:r>
      <w:rPr>
        <w:rStyle w:val="14"/>
        <w:sz w:val="21"/>
        <w:szCs w:val="21"/>
      </w:rPr>
      <w:fldChar w:fldCharType="separate"/>
    </w:r>
    <w:r>
      <w:rPr>
        <w:rStyle w:val="14"/>
        <w:sz w:val="21"/>
        <w:szCs w:val="21"/>
      </w:rPr>
      <w:t>4</w:t>
    </w:r>
    <w:r>
      <w:rPr>
        <w:rStyle w:val="14"/>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1A28D">
    <w:pPr>
      <w:pStyle w:val="9"/>
    </w:pPr>
    <w:r>
      <w:rPr>
        <w:rFonts w:hint="eastAsia" w:cs="宋体"/>
        <w:b/>
        <w:i/>
        <w:sz w:val="21"/>
        <w:szCs w:val="21"/>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95"/>
    <w:rsid w:val="00072D83"/>
    <w:rsid w:val="00076366"/>
    <w:rsid w:val="00081B9A"/>
    <w:rsid w:val="0009106C"/>
    <w:rsid w:val="000A64DE"/>
    <w:rsid w:val="000B0003"/>
    <w:rsid w:val="000D7600"/>
    <w:rsid w:val="000E629D"/>
    <w:rsid w:val="001212BA"/>
    <w:rsid w:val="00143DE5"/>
    <w:rsid w:val="00157DCA"/>
    <w:rsid w:val="001629B5"/>
    <w:rsid w:val="00190329"/>
    <w:rsid w:val="001D795A"/>
    <w:rsid w:val="001E00D8"/>
    <w:rsid w:val="0020018E"/>
    <w:rsid w:val="00212B78"/>
    <w:rsid w:val="00213ECB"/>
    <w:rsid w:val="002352FC"/>
    <w:rsid w:val="00295D77"/>
    <w:rsid w:val="002A4E87"/>
    <w:rsid w:val="002A66EC"/>
    <w:rsid w:val="002D2ED1"/>
    <w:rsid w:val="002E391E"/>
    <w:rsid w:val="002E3B89"/>
    <w:rsid w:val="002F56B9"/>
    <w:rsid w:val="003036C1"/>
    <w:rsid w:val="00323966"/>
    <w:rsid w:val="003368A8"/>
    <w:rsid w:val="0035521A"/>
    <w:rsid w:val="0036072F"/>
    <w:rsid w:val="00380C8B"/>
    <w:rsid w:val="0039425F"/>
    <w:rsid w:val="003A0449"/>
    <w:rsid w:val="003A5FB2"/>
    <w:rsid w:val="003C6FE3"/>
    <w:rsid w:val="004334F2"/>
    <w:rsid w:val="00445F58"/>
    <w:rsid w:val="004676FF"/>
    <w:rsid w:val="004763DB"/>
    <w:rsid w:val="0048184C"/>
    <w:rsid w:val="00481DBF"/>
    <w:rsid w:val="00487ABD"/>
    <w:rsid w:val="004F6DAA"/>
    <w:rsid w:val="004F71D4"/>
    <w:rsid w:val="00521825"/>
    <w:rsid w:val="0054765D"/>
    <w:rsid w:val="00562673"/>
    <w:rsid w:val="005848BC"/>
    <w:rsid w:val="00692B42"/>
    <w:rsid w:val="006E1640"/>
    <w:rsid w:val="00703445"/>
    <w:rsid w:val="00703B2E"/>
    <w:rsid w:val="007178F4"/>
    <w:rsid w:val="007279BD"/>
    <w:rsid w:val="00743971"/>
    <w:rsid w:val="00752778"/>
    <w:rsid w:val="007613EE"/>
    <w:rsid w:val="00781DBA"/>
    <w:rsid w:val="007871F3"/>
    <w:rsid w:val="0078746F"/>
    <w:rsid w:val="007D52C1"/>
    <w:rsid w:val="00800317"/>
    <w:rsid w:val="00802122"/>
    <w:rsid w:val="00836EDE"/>
    <w:rsid w:val="00875501"/>
    <w:rsid w:val="008B18EB"/>
    <w:rsid w:val="008B2C5E"/>
    <w:rsid w:val="008B6376"/>
    <w:rsid w:val="008B6830"/>
    <w:rsid w:val="008C51B7"/>
    <w:rsid w:val="008C7CC3"/>
    <w:rsid w:val="008C7E22"/>
    <w:rsid w:val="008F758F"/>
    <w:rsid w:val="00906AC9"/>
    <w:rsid w:val="00917004"/>
    <w:rsid w:val="00935F6C"/>
    <w:rsid w:val="00943895"/>
    <w:rsid w:val="00946D9D"/>
    <w:rsid w:val="00947900"/>
    <w:rsid w:val="00955017"/>
    <w:rsid w:val="009C0D95"/>
    <w:rsid w:val="009D17FD"/>
    <w:rsid w:val="009D60F4"/>
    <w:rsid w:val="009F6931"/>
    <w:rsid w:val="00A153D4"/>
    <w:rsid w:val="00A17EB6"/>
    <w:rsid w:val="00A216EC"/>
    <w:rsid w:val="00A33701"/>
    <w:rsid w:val="00A60A9C"/>
    <w:rsid w:val="00A778A8"/>
    <w:rsid w:val="00A97BE3"/>
    <w:rsid w:val="00AA55CF"/>
    <w:rsid w:val="00AC2D13"/>
    <w:rsid w:val="00AC5FC9"/>
    <w:rsid w:val="00AC7D64"/>
    <w:rsid w:val="00AD32B6"/>
    <w:rsid w:val="00AE1D95"/>
    <w:rsid w:val="00B046B3"/>
    <w:rsid w:val="00B15F5C"/>
    <w:rsid w:val="00B65E60"/>
    <w:rsid w:val="00B77F55"/>
    <w:rsid w:val="00B824DA"/>
    <w:rsid w:val="00BA2BA3"/>
    <w:rsid w:val="00BB0F66"/>
    <w:rsid w:val="00BE03B7"/>
    <w:rsid w:val="00BE09F5"/>
    <w:rsid w:val="00C02C12"/>
    <w:rsid w:val="00C221A5"/>
    <w:rsid w:val="00C27FB3"/>
    <w:rsid w:val="00C5392F"/>
    <w:rsid w:val="00C6557C"/>
    <w:rsid w:val="00C82F71"/>
    <w:rsid w:val="00CE7A63"/>
    <w:rsid w:val="00D01E0F"/>
    <w:rsid w:val="00D12516"/>
    <w:rsid w:val="00D44D0C"/>
    <w:rsid w:val="00D73439"/>
    <w:rsid w:val="00D970CD"/>
    <w:rsid w:val="00DA2D91"/>
    <w:rsid w:val="00DA3140"/>
    <w:rsid w:val="00DC0D16"/>
    <w:rsid w:val="00DC0ECC"/>
    <w:rsid w:val="00DE2E57"/>
    <w:rsid w:val="00DE33F3"/>
    <w:rsid w:val="00DE3514"/>
    <w:rsid w:val="00E22D19"/>
    <w:rsid w:val="00E6227E"/>
    <w:rsid w:val="00E67F00"/>
    <w:rsid w:val="00EB730B"/>
    <w:rsid w:val="00EC4D45"/>
    <w:rsid w:val="00EE0DE2"/>
    <w:rsid w:val="00EE7538"/>
    <w:rsid w:val="00F16402"/>
    <w:rsid w:val="00F42593"/>
    <w:rsid w:val="00F7362F"/>
    <w:rsid w:val="00FA1A2C"/>
    <w:rsid w:val="00FC0160"/>
    <w:rsid w:val="00FF34ED"/>
    <w:rsid w:val="48AB2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1"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jc w:val="both"/>
    </w:pPr>
    <w:rPr>
      <w:rFonts w:ascii="Times New Roman" w:hAnsi="Times New Roman" w:eastAsia="宋体" w:cstheme="minorBidi"/>
      <w:sz w:val="21"/>
      <w:szCs w:val="21"/>
      <w:lang w:val="en-US" w:eastAsia="en-US" w:bidi="ar-SA"/>
    </w:rPr>
  </w:style>
  <w:style w:type="paragraph" w:styleId="2">
    <w:name w:val="heading 1"/>
    <w:basedOn w:val="1"/>
    <w:qFormat/>
    <w:uiPriority w:val="1"/>
    <w:pPr>
      <w:keepNext/>
      <w:spacing w:before="120" w:beforeLines="50" w:line="300" w:lineRule="auto"/>
      <w:outlineLvl w:val="0"/>
    </w:pPr>
    <w:rPr>
      <w:rFonts w:cs="Times New Roman"/>
      <w:b/>
      <w:sz w:val="32"/>
      <w:szCs w:val="32"/>
    </w:rPr>
  </w:style>
  <w:style w:type="paragraph" w:styleId="3">
    <w:name w:val="heading 2"/>
    <w:basedOn w:val="1"/>
    <w:qFormat/>
    <w:uiPriority w:val="1"/>
    <w:pPr>
      <w:keepNext/>
      <w:spacing w:before="120" w:beforeLines="50" w:line="300" w:lineRule="auto"/>
      <w:ind w:left="562" w:hanging="562" w:hangingChars="200"/>
      <w:outlineLvl w:val="1"/>
    </w:pPr>
    <w:rPr>
      <w:rFonts w:cs="Times New Roman"/>
      <w:b/>
      <w:sz w:val="28"/>
      <w:szCs w:val="24"/>
    </w:rPr>
  </w:style>
  <w:style w:type="paragraph" w:styleId="4">
    <w:name w:val="heading 3"/>
    <w:basedOn w:val="1"/>
    <w:qFormat/>
    <w:uiPriority w:val="1"/>
    <w:pPr>
      <w:spacing w:before="1"/>
      <w:ind w:left="780" w:right="816"/>
      <w:jc w:val="center"/>
      <w:outlineLvl w:val="2"/>
    </w:pPr>
    <w:rPr>
      <w:b/>
      <w:bCs/>
      <w:sz w:val="28"/>
      <w:szCs w:val="28"/>
    </w:rPr>
  </w:style>
  <w:style w:type="paragraph" w:styleId="5">
    <w:name w:val="heading 4"/>
    <w:basedOn w:val="1"/>
    <w:link w:val="17"/>
    <w:qFormat/>
    <w:uiPriority w:val="1"/>
    <w:pPr>
      <w:ind w:right="276"/>
      <w:jc w:val="right"/>
      <w:outlineLvl w:val="3"/>
    </w:pPr>
    <w:rPr>
      <w:b/>
      <w:bCs/>
      <w:sz w:val="24"/>
      <w:szCs w:val="24"/>
    </w:rPr>
  </w:style>
  <w:style w:type="paragraph" w:styleId="6">
    <w:name w:val="heading 5"/>
    <w:basedOn w:val="1"/>
    <w:link w:val="18"/>
    <w:qFormat/>
    <w:uiPriority w:val="1"/>
    <w:pPr>
      <w:ind w:left="960" w:hanging="360"/>
      <w:outlineLvl w:val="4"/>
    </w:pPr>
    <w:rPr>
      <w:b/>
      <w:bCs/>
      <w:sz w:val="24"/>
      <w:szCs w:val="2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6"/>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tabs>
        <w:tab w:val="left" w:pos="630"/>
        <w:tab w:val="right" w:leader="dot" w:pos="9061"/>
      </w:tabs>
      <w:spacing w:before="120" w:beforeLines="50" w:line="300" w:lineRule="auto"/>
    </w:pPr>
    <w:rPr>
      <w:sz w:val="24"/>
      <w:szCs w:val="24"/>
    </w:rPr>
  </w:style>
  <w:style w:type="paragraph" w:styleId="11">
    <w:name w:val="toc 2"/>
    <w:basedOn w:val="1"/>
    <w:next w:val="1"/>
    <w:autoRedefine/>
    <w:unhideWhenUsed/>
    <w:qFormat/>
    <w:uiPriority w:val="39"/>
    <w:pPr>
      <w:tabs>
        <w:tab w:val="left" w:pos="630"/>
        <w:tab w:val="right" w:leader="dot" w:pos="9061"/>
      </w:tabs>
      <w:autoSpaceDE/>
      <w:autoSpaceDN/>
      <w:adjustRightInd w:val="0"/>
      <w:snapToGrid w:val="0"/>
      <w:spacing w:before="120" w:beforeLines="50" w:line="300" w:lineRule="auto"/>
    </w:pPr>
    <w:rPr>
      <w:sz w:val="24"/>
      <w:szCs w:val="24"/>
    </w:rPr>
  </w:style>
  <w:style w:type="character" w:styleId="14">
    <w:name w:val="page number"/>
    <w:basedOn w:val="13"/>
    <w:semiHidden/>
    <w:unhideWhenUsed/>
    <w:qFormat/>
    <w:uiPriority w:val="99"/>
  </w:style>
  <w:style w:type="character" w:styleId="15">
    <w:name w:val="Hyperlink"/>
    <w:basedOn w:val="13"/>
    <w:unhideWhenUsed/>
    <w:uiPriority w:val="99"/>
    <w:rPr>
      <w:color w:val="0000FF" w:themeColor="hyperlink"/>
      <w:u w:val="single"/>
      <w14:textFill>
        <w14:solidFill>
          <w14:schemeClr w14:val="hlink"/>
        </w14:solidFill>
      </w14:textFill>
    </w:rPr>
  </w:style>
  <w:style w:type="character" w:customStyle="1" w:styleId="16">
    <w:name w:val="批注框文本 字符"/>
    <w:basedOn w:val="13"/>
    <w:link w:val="7"/>
    <w:semiHidden/>
    <w:qFormat/>
    <w:uiPriority w:val="99"/>
    <w:rPr>
      <w:sz w:val="18"/>
      <w:szCs w:val="18"/>
    </w:rPr>
  </w:style>
  <w:style w:type="character" w:customStyle="1" w:styleId="17">
    <w:name w:val="标题 4 字符"/>
    <w:basedOn w:val="13"/>
    <w:link w:val="5"/>
    <w:qFormat/>
    <w:uiPriority w:val="1"/>
    <w:rPr>
      <w:rFonts w:ascii="Times New Roman" w:hAnsi="Times New Roman" w:eastAsia="Times New Roman" w:cs="Times New Roman"/>
      <w:b/>
      <w:bCs/>
      <w:sz w:val="24"/>
      <w:szCs w:val="24"/>
      <w:lang w:bidi="en-US"/>
    </w:rPr>
  </w:style>
  <w:style w:type="character" w:customStyle="1" w:styleId="18">
    <w:name w:val="标题 5 字符"/>
    <w:basedOn w:val="13"/>
    <w:link w:val="6"/>
    <w:qFormat/>
    <w:uiPriority w:val="1"/>
    <w:rPr>
      <w:rFonts w:ascii="Times New Roman" w:hAnsi="Times New Roman" w:eastAsia="Times New Roman" w:cs="Times New Roman"/>
      <w:b/>
      <w:bCs/>
      <w:sz w:val="24"/>
      <w:szCs w:val="24"/>
      <w:lang w:bidi="en-US"/>
    </w:rPr>
  </w:style>
  <w:style w:type="character" w:customStyle="1" w:styleId="19">
    <w:name w:val="页眉 字符"/>
    <w:basedOn w:val="13"/>
    <w:link w:val="9"/>
    <w:uiPriority w:val="99"/>
    <w:rPr>
      <w:sz w:val="18"/>
      <w:szCs w:val="18"/>
    </w:rPr>
  </w:style>
  <w:style w:type="character" w:customStyle="1" w:styleId="20">
    <w:name w:val="页脚 字符"/>
    <w:basedOn w:val="13"/>
    <w:link w:val="8"/>
    <w:uiPriority w:val="99"/>
    <w:rPr>
      <w:sz w:val="18"/>
      <w:szCs w:val="18"/>
    </w:rPr>
  </w:style>
  <w:style w:type="paragraph" w:customStyle="1" w:styleId="21">
    <w:name w:val="脚注建"/>
    <w:basedOn w:val="1"/>
    <w:next w:val="1"/>
    <w:qFormat/>
    <w:uiPriority w:val="1"/>
    <w:pPr>
      <w:spacing w:before="36" w:beforeLines="15" w:line="276" w:lineRule="auto"/>
    </w:pPr>
    <w:rPr>
      <w:rFonts w:cs="Times New Roman"/>
      <w:szCs w:val="24"/>
    </w:rPr>
  </w:style>
  <w:style w:type="paragraph" w:customStyle="1" w:styleId="22">
    <w:name w:val="Revision"/>
    <w:hidden/>
    <w:semiHidden/>
    <w:qFormat/>
    <w:uiPriority w:val="99"/>
    <w:pPr>
      <w:widowControl/>
      <w:autoSpaceDE/>
      <w:autoSpaceDN/>
      <w:jc w:val="left"/>
    </w:pPr>
    <w:rPr>
      <w:rFonts w:ascii="Times New Roman" w:hAnsi="Times New Roman" w:eastAsia="宋体" w:cstheme="minorBidi"/>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10</Pages>
  <Words>5062</Words>
  <Characters>7010</Characters>
  <Lines>55</Lines>
  <Paragraphs>15</Paragraphs>
  <TotalTime>5</TotalTime>
  <ScaleCrop>false</ScaleCrop>
  <LinksUpToDate>false</LinksUpToDate>
  <CharactersWithSpaces>7100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2022-06-08T10:57:00Z</dcterms:created>
  <dc:creator>CDRH</dc:creator>
  <cp:lastModifiedBy>太极箫客</cp:lastModifiedBy>
  <dcterms:modified xsi:type="dcterms:W3CDTF">2025-08-14T06:41:17Z</dcterms:modified>
  <dc:title>Providing Regulatory Submissions for Medical Devices in Electronic Format - Submissions Under Section 745A(b) of the Federal Food, Drug, and Cosmetic Act - Guidance for Industry and Food and Drug Administration Staff</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CommonLook Office GlobalAccess-2.0.9.29</vt:lpwstr>
  </property>
  <property fmtid="{D5CDD505-2E9C-101B-9397-08002B2CF9AE}" pid="4" name="LastSaved">
    <vt:filetime>2021-11-08T00:00:00Z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7BAB241F874F47E3A88A35E81A1483FF_12</vt:lpwstr>
  </property>
</Properties>
</file>