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2FCCE">
      <w:pPr>
        <w:pBdr>
          <w:bottom w:val="single" w:color="auto" w:sz="4" w:space="1"/>
        </w:pBdr>
        <w:adjustRightInd w:val="0"/>
        <w:snapToGrid w:val="0"/>
        <w:spacing w:before="120" w:beforeLines="50" w:line="300" w:lineRule="auto"/>
        <w:jc w:val="center"/>
        <w:rPr>
          <w:rFonts w:ascii="Times New Roman" w:hAnsi="Times New Roman" w:eastAsia="宋体" w:cs="Times New Roman"/>
          <w:b/>
          <w:snapToGrid w:val="0"/>
          <w:sz w:val="44"/>
          <w:szCs w:val="44"/>
          <w:lang w:eastAsia="zh-CN"/>
        </w:rPr>
      </w:pPr>
      <w:bookmarkStart w:id="22" w:name="_GoBack"/>
      <w:bookmarkEnd w:id="22"/>
      <w:r>
        <w:rPr>
          <w:rFonts w:ascii="Times New Roman" w:hAnsi="Times New Roman" w:eastAsia="宋体" w:cs="宋体"/>
          <w:b/>
          <w:sz w:val="44"/>
          <w:lang w:eastAsia="zh-CN"/>
        </w:rPr>
        <w:t>医疗器械</w:t>
      </w:r>
      <w:r>
        <w:rPr>
          <w:rFonts w:hint="eastAsia" w:ascii="Times New Roman" w:hAnsi="Times New Roman" w:eastAsia="宋体" w:cs="宋体"/>
          <w:b/>
          <w:sz w:val="44"/>
          <w:lang w:eastAsia="zh-CN"/>
        </w:rPr>
        <w:t>独立</w:t>
      </w:r>
      <w:r>
        <w:rPr>
          <w:rFonts w:ascii="Times New Roman" w:hAnsi="Times New Roman" w:eastAsia="宋体" w:cs="宋体"/>
          <w:b/>
          <w:sz w:val="44"/>
          <w:lang w:eastAsia="zh-CN"/>
        </w:rPr>
        <w:t>软件（SAMD）：</w:t>
      </w:r>
      <w:r>
        <w:rPr>
          <w:rFonts w:ascii="Times New Roman" w:hAnsi="Times New Roman" w:eastAsia="宋体" w:cs="宋体"/>
          <w:lang w:eastAsia="zh-CN"/>
        </w:rPr>
        <w:br w:type="textWrapping"/>
      </w:r>
      <w:r>
        <w:rPr>
          <w:rFonts w:ascii="Times New Roman" w:hAnsi="Times New Roman" w:eastAsia="宋体" w:cs="宋体"/>
          <w:b/>
          <w:sz w:val="44"/>
          <w:lang w:eastAsia="zh-CN"/>
        </w:rPr>
        <w:t>临床评价</w:t>
      </w:r>
    </w:p>
    <w:p w14:paraId="2EF96E56">
      <w:pPr>
        <w:pStyle w:val="17"/>
        <w:adjustRightInd w:val="0"/>
        <w:snapToGrid w:val="0"/>
        <w:spacing w:before="120" w:beforeLines="50" w:after="0" w:line="300" w:lineRule="auto"/>
        <w:jc w:val="center"/>
        <w:rPr>
          <w:rFonts w:eastAsia="宋体"/>
          <w:b/>
          <w:snapToGrid w:val="0"/>
          <w:sz w:val="44"/>
          <w:szCs w:val="44"/>
          <w:lang w:eastAsia="zh-CN"/>
        </w:rPr>
      </w:pPr>
      <w:r>
        <w:rPr>
          <w:rFonts w:eastAsia="宋体" w:cs="宋体"/>
          <w:b/>
          <w:sz w:val="44"/>
          <w:lang w:eastAsia="zh-CN"/>
        </w:rPr>
        <w:t>行业和美国食品药品监督管理局工作人员指南</w:t>
      </w:r>
    </w:p>
    <w:p w14:paraId="320AAAB1">
      <w:pPr>
        <w:pStyle w:val="17"/>
        <w:adjustRightInd w:val="0"/>
        <w:snapToGrid w:val="0"/>
        <w:spacing w:before="120" w:beforeLines="50" w:after="0" w:line="300" w:lineRule="auto"/>
        <w:jc w:val="center"/>
        <w:rPr>
          <w:rFonts w:eastAsia="宋体"/>
          <w:b/>
          <w:bCs/>
          <w:snapToGrid w:val="0"/>
          <w:lang w:eastAsia="zh-CN"/>
        </w:rPr>
      </w:pPr>
    </w:p>
    <w:p w14:paraId="5E430CC9">
      <w:pPr>
        <w:pStyle w:val="17"/>
        <w:adjustRightInd w:val="0"/>
        <w:snapToGrid w:val="0"/>
        <w:spacing w:before="120" w:beforeLines="50" w:after="0" w:line="300" w:lineRule="auto"/>
        <w:jc w:val="center"/>
        <w:rPr>
          <w:rFonts w:eastAsia="宋体"/>
          <w:b/>
          <w:bCs/>
          <w:snapToGrid w:val="0"/>
          <w:lang w:eastAsia="zh-CN"/>
        </w:rPr>
      </w:pPr>
      <w:r>
        <w:rPr>
          <w:rFonts w:eastAsia="宋体" w:cs="宋体"/>
          <w:b/>
          <w:lang w:eastAsia="zh-CN"/>
        </w:rPr>
        <w:t>文件发布日期：2017年12月8日</w:t>
      </w:r>
    </w:p>
    <w:p w14:paraId="4D4E559B">
      <w:pPr>
        <w:pStyle w:val="17"/>
        <w:adjustRightInd w:val="0"/>
        <w:snapToGrid w:val="0"/>
        <w:spacing w:before="120" w:beforeLines="50" w:after="0" w:line="300" w:lineRule="auto"/>
        <w:jc w:val="center"/>
        <w:rPr>
          <w:rFonts w:eastAsia="宋体"/>
          <w:snapToGrid w:val="0"/>
          <w:lang w:eastAsia="zh-CN"/>
        </w:rPr>
      </w:pPr>
    </w:p>
    <w:p w14:paraId="51370C4D">
      <w:pPr>
        <w:pStyle w:val="17"/>
        <w:adjustRightInd w:val="0"/>
        <w:snapToGrid w:val="0"/>
        <w:spacing w:before="120" w:beforeLines="50" w:after="0" w:line="300" w:lineRule="auto"/>
        <w:jc w:val="center"/>
        <w:rPr>
          <w:rFonts w:eastAsia="宋体"/>
          <w:b/>
          <w:bCs/>
          <w:snapToGrid w:val="0"/>
          <w:lang w:eastAsia="zh-CN"/>
        </w:rPr>
      </w:pPr>
      <w:r>
        <w:rPr>
          <w:rFonts w:eastAsia="宋体" w:cs="宋体"/>
          <w:b/>
          <w:lang w:eastAsia="zh-CN"/>
        </w:rPr>
        <w:t>本文件草案发布日期：2016年10月14日</w:t>
      </w:r>
    </w:p>
    <w:p w14:paraId="47DFBC84">
      <w:pPr>
        <w:pStyle w:val="17"/>
        <w:adjustRightInd w:val="0"/>
        <w:snapToGrid w:val="0"/>
        <w:spacing w:before="120" w:beforeLines="50" w:after="0" w:line="300" w:lineRule="auto"/>
        <w:jc w:val="center"/>
        <w:rPr>
          <w:rFonts w:eastAsia="宋体"/>
          <w:snapToGrid w:val="0"/>
          <w:lang w:eastAsia="zh-CN"/>
        </w:rPr>
      </w:pPr>
    </w:p>
    <w:p w14:paraId="6D4FE5EC">
      <w:pPr>
        <w:adjustRightInd w:val="0"/>
        <w:snapToGrid w:val="0"/>
        <w:spacing w:before="120" w:beforeLines="50" w:line="300" w:lineRule="auto"/>
        <w:jc w:val="center"/>
        <w:rPr>
          <w:rFonts w:ascii="Times New Roman" w:hAnsi="Times New Roman" w:eastAsia="宋体" w:cs="Times New Roman"/>
          <w:snapToGrid w:val="0"/>
          <w:lang w:eastAsia="zh-CN"/>
        </w:rPr>
      </w:pPr>
      <w:r>
        <w:rPr>
          <w:rFonts w:ascii="Times New Roman" w:hAnsi="Times New Roman" w:eastAsia="宋体" w:cs="宋体"/>
        </w:rPr>
        <w:t>如对本文件有任何疑问，请致电301-796-6900联系中心主任办公室或发送电子邮件至</w:t>
      </w:r>
      <w:r>
        <w:fldChar w:fldCharType="begin"/>
      </w:r>
      <w:r>
        <w:instrText xml:space="preserve"> HYPERLINK "mailto:digitalhealth@fda.hhs.gov" </w:instrText>
      </w:r>
      <w:r>
        <w:fldChar w:fldCharType="separate"/>
      </w:r>
      <w:r>
        <w:rPr>
          <w:rFonts w:ascii="Times New Roman" w:hAnsi="Times New Roman" w:eastAsia="宋体" w:cs="宋体"/>
          <w:snapToGrid w:val="0"/>
          <w:color w:val="0000FF"/>
          <w:u w:val="single"/>
        </w:rPr>
        <w:t>digitalhealth@fda.hhs.gov</w:t>
      </w:r>
      <w:r>
        <w:rPr>
          <w:rFonts w:ascii="Times New Roman" w:hAnsi="Times New Roman" w:eastAsia="宋体" w:cs="宋体"/>
          <w:snapToGrid w:val="0"/>
          <w:color w:val="0000FF"/>
          <w:u w:val="single"/>
        </w:rPr>
        <w:fldChar w:fldCharType="end"/>
      </w:r>
      <w:r>
        <w:rPr>
          <w:rFonts w:ascii="Times New Roman" w:hAnsi="Times New Roman" w:eastAsia="宋体" w:cs="宋体"/>
        </w:rPr>
        <w:t>联系数字健康计划部门。</w:t>
      </w:r>
    </w:p>
    <w:p w14:paraId="2D348400">
      <w:pPr>
        <w:adjustRightInd w:val="0"/>
        <w:snapToGrid w:val="0"/>
        <w:spacing w:before="120" w:beforeLines="50" w:line="300" w:lineRule="auto"/>
        <w:jc w:val="center"/>
        <w:rPr>
          <w:rFonts w:ascii="Times New Roman" w:hAnsi="Times New Roman" w:eastAsia="宋体" w:cs="Times New Roman"/>
          <w:snapToGrid w:val="0"/>
          <w:lang w:eastAsia="zh-CN"/>
        </w:rPr>
      </w:pPr>
    </w:p>
    <w:p w14:paraId="52B8B1D1">
      <w:pPr>
        <w:adjustRightInd w:val="0"/>
        <w:snapToGrid w:val="0"/>
        <w:spacing w:before="120" w:beforeLines="50" w:line="300" w:lineRule="auto"/>
        <w:jc w:val="center"/>
        <w:rPr>
          <w:rFonts w:ascii="Times New Roman" w:hAnsi="Times New Roman" w:eastAsia="宋体" w:cs="Times New Roman"/>
          <w:snapToGrid w:val="0"/>
          <w:lang w:eastAsia="zh-CN"/>
        </w:rPr>
      </w:pPr>
    </w:p>
    <w:p w14:paraId="128A7326">
      <w:pPr>
        <w:adjustRightInd w:val="0"/>
        <w:snapToGrid w:val="0"/>
        <w:spacing w:before="120" w:beforeLines="50" w:line="300" w:lineRule="auto"/>
        <w:jc w:val="center"/>
        <w:rPr>
          <w:rFonts w:ascii="Times New Roman" w:hAnsi="Times New Roman" w:eastAsia="宋体" w:cs="Times New Roman"/>
          <w:snapToGrid w:val="0"/>
          <w:lang w:eastAsia="zh-CN"/>
        </w:rPr>
      </w:pPr>
    </w:p>
    <w:p w14:paraId="64703293">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3F510CF7">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236B3839">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6358AA09">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5B801879">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5C37C7CD">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62F8E840">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01F2C4DB">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5976C4B9">
      <w:pPr>
        <w:adjustRightInd w:val="0"/>
        <w:snapToGrid w:val="0"/>
        <w:spacing w:before="120" w:beforeLines="50" w:line="300" w:lineRule="auto"/>
        <w:jc w:val="both"/>
        <w:rPr>
          <w:rFonts w:ascii="Times New Roman" w:hAnsi="Times New Roman" w:eastAsia="宋体" w:cs="Times New Roman"/>
          <w:b/>
          <w:bCs/>
          <w:snapToGrid w:val="0"/>
          <w:lang w:eastAsia="zh-CN"/>
        </w:rPr>
      </w:pPr>
    </w:p>
    <w:p w14:paraId="3C65CBC5">
      <w:pPr>
        <w:adjustRightInd w:val="0"/>
        <w:snapToGrid w:val="0"/>
        <w:spacing w:before="120" w:beforeLines="50" w:line="300" w:lineRule="auto"/>
        <w:jc w:val="both"/>
        <w:rPr>
          <w:rFonts w:ascii="Times New Roman" w:hAnsi="Times New Roman" w:eastAsia="宋体" w:cs="Times New Roman"/>
          <w:b/>
          <w:bCs/>
          <w:snapToGrid w:val="0"/>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1FF6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84717E3">
            <w:pPr>
              <w:adjustRightInd w:val="0"/>
              <w:snapToGrid w:val="0"/>
              <w:spacing w:line="300" w:lineRule="auto"/>
              <w:jc w:val="both"/>
              <w:rPr>
                <w:rFonts w:ascii="Times New Roman" w:hAnsi="Times New Roman" w:cs="Times New Roman"/>
                <w:b/>
                <w:bCs/>
                <w:snapToGrid w:val="0"/>
                <w:sz w:val="21"/>
                <w:szCs w:val="21"/>
                <w:lang w:eastAsia="zh-CN"/>
              </w:rPr>
            </w:pPr>
            <w:r>
              <w:rPr>
                <w:rFonts w:ascii="宋体" w:hAnsi="宋体" w:eastAsia="宋体" w:cs="宋体"/>
                <w:lang w:eastAsia="zh-CN" w:bidi="ar-SA"/>
              </w:rPr>
              <w:drawing>
                <wp:inline distT="0" distB="0" distL="0" distR="0">
                  <wp:extent cx="2609215" cy="723265"/>
                  <wp:effectExtent l="0" t="0" r="635" b="63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6"/>
                          <a:stretch>
                            <a:fillRect/>
                          </a:stretch>
                        </pic:blipFill>
                        <pic:spPr>
                          <a:xfrm>
                            <a:off x="0" y="0"/>
                            <a:ext cx="2609524" cy="723810"/>
                          </a:xfrm>
                          <a:prstGeom prst="rect">
                            <a:avLst/>
                          </a:prstGeom>
                        </pic:spPr>
                      </pic:pic>
                    </a:graphicData>
                  </a:graphic>
                </wp:inline>
              </w:drawing>
            </w:r>
          </w:p>
        </w:tc>
        <w:tc>
          <w:tcPr>
            <w:tcW w:w="4644" w:type="dxa"/>
            <w:vAlign w:val="center"/>
          </w:tcPr>
          <w:p w14:paraId="4A6C38B4">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美国卫生与公共服务部</w:t>
            </w:r>
          </w:p>
          <w:p w14:paraId="34C8380B">
            <w:pPr>
              <w:adjustRightInd w:val="0"/>
              <w:snapToGrid w:val="0"/>
              <w:spacing w:line="300" w:lineRule="auto"/>
              <w:jc w:val="right"/>
              <w:rPr>
                <w:rFonts w:ascii="Times New Roman" w:hAnsi="Times New Roman" w:eastAsia="宋体"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001AD1FF">
            <w:pPr>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w:t>
            </w:r>
            <w:r>
              <w:rPr>
                <w:rFonts w:hint="eastAsia" w:ascii="Times New Roman" w:hAnsi="Times New Roman" w:eastAsia="宋体" w:cs="宋体"/>
                <w:b/>
                <w:sz w:val="21"/>
                <w:lang w:eastAsia="zh-CN"/>
              </w:rPr>
              <w:t>辐射</w:t>
            </w:r>
            <w:r>
              <w:rPr>
                <w:rFonts w:ascii="Times New Roman" w:hAnsi="Times New Roman" w:eastAsia="宋体" w:cs="宋体"/>
                <w:b/>
                <w:sz w:val="21"/>
                <w:lang w:eastAsia="zh-CN"/>
              </w:rPr>
              <w:t>健康中心</w:t>
            </w:r>
          </w:p>
        </w:tc>
      </w:tr>
    </w:tbl>
    <w:p w14:paraId="5976BE6D">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B74415A">
      <w:pPr>
        <w:pStyle w:val="17"/>
        <w:adjustRightInd w:val="0"/>
        <w:snapToGrid w:val="0"/>
        <w:spacing w:before="120" w:beforeLines="50" w:after="0" w:line="300" w:lineRule="auto"/>
        <w:jc w:val="center"/>
        <w:rPr>
          <w:rFonts w:eastAsia="宋体"/>
          <w:snapToGrid w:val="0"/>
          <w:sz w:val="44"/>
          <w:szCs w:val="44"/>
          <w:lang w:eastAsia="zh-CN"/>
        </w:rPr>
      </w:pPr>
      <w:r>
        <w:rPr>
          <w:rFonts w:eastAsia="宋体" w:cs="宋体"/>
          <w:b/>
          <w:sz w:val="44"/>
          <w:lang w:eastAsia="zh-CN"/>
        </w:rPr>
        <w:t>医疗器械独立软件（SAMD）：临床评价 - 面向行业和美国食品药品监督管理局工作人员的指南</w:t>
      </w:r>
    </w:p>
    <w:tbl>
      <w:tblPr>
        <w:tblStyle w:val="1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5BD1F66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75FBE6CB">
            <w:pPr>
              <w:adjustRightInd w:val="0"/>
              <w:snapToGrid w:val="0"/>
              <w:spacing w:before="120" w:beforeLines="50" w:line="300" w:lineRule="auto"/>
              <w:jc w:val="both"/>
              <w:rPr>
                <w:rFonts w:ascii="Times New Roman" w:hAnsi="Times New Roman" w:cs="Times New Roman"/>
                <w:b/>
                <w:bCs/>
                <w:i/>
                <w:iCs/>
                <w:snapToGrid w:val="0"/>
                <w:sz w:val="21"/>
                <w:szCs w:val="21"/>
                <w:lang w:eastAsia="zh-CN"/>
              </w:rPr>
            </w:pPr>
            <w:r>
              <w:rPr>
                <w:rFonts w:ascii="Times New Roman" w:hAnsi="Times New Roman" w:eastAsia="宋体" w:cs="宋体"/>
                <w:b/>
                <w:i/>
                <w:sz w:val="21"/>
                <w:lang w:eastAsia="zh-CN"/>
              </w:rPr>
              <w:t>本指南代表美国食品药品监督管理局（以下简称“FDA”或“本</w:t>
            </w:r>
            <w:r>
              <w:rPr>
                <w:rFonts w:hint="eastAsia" w:ascii="Times New Roman" w:hAnsi="Times New Roman" w:eastAsia="宋体" w:cs="宋体"/>
                <w:b/>
                <w:i/>
                <w:sz w:val="21"/>
                <w:lang w:eastAsia="zh-CN"/>
              </w:rPr>
              <w:t>机构</w:t>
            </w:r>
            <w:r>
              <w:rPr>
                <w:rFonts w:ascii="Times New Roman" w:hAnsi="Times New Roman" w:eastAsia="宋体" w:cs="宋体"/>
                <w:b/>
                <w:i/>
                <w:sz w:val="21"/>
                <w:lang w:eastAsia="zh-CN"/>
              </w:rPr>
              <w:t>”）目前关于该主题的观点。本指南并不对任何人赋予任何法律权利，也不对FDA或公众产生约束力。本文件中使用的“</w:t>
            </w:r>
            <w:r>
              <w:rPr>
                <w:rFonts w:ascii="Times New Roman" w:hAnsi="Times New Roman" w:eastAsia="宋体" w:cs="宋体"/>
                <w:b/>
                <w:sz w:val="21"/>
                <w:lang w:eastAsia="zh-CN"/>
              </w:rPr>
              <w:t>要求</w:t>
            </w:r>
            <w:r>
              <w:rPr>
                <w:rFonts w:ascii="Times New Roman" w:hAnsi="Times New Roman" w:eastAsia="宋体" w:cs="宋体"/>
                <w:b/>
                <w:i/>
                <w:sz w:val="21"/>
                <w:lang w:eastAsia="zh-CN"/>
              </w:rPr>
              <w:t>”未反映FDA监管要求，仅供行业和美国食品药品监督管理局工作人员参考。如有其他适用方法可以满足适用法令和法规的要求，则亦可使用其他替代方法。如需讨论替代方法，请联系标题页列出的负责实施本指南文件的FDA工作人员或办公室。</w:t>
            </w:r>
          </w:p>
        </w:tc>
      </w:tr>
    </w:tbl>
    <w:p w14:paraId="20E79708">
      <w:pPr>
        <w:adjustRightInd w:val="0"/>
        <w:snapToGrid w:val="0"/>
        <w:spacing w:before="120" w:beforeLines="50" w:line="300" w:lineRule="auto"/>
        <w:jc w:val="both"/>
        <w:rPr>
          <w:rFonts w:ascii="Times New Roman" w:hAnsi="Times New Roman" w:eastAsia="宋体" w:cs="Times New Roman"/>
          <w:b/>
          <w:bCs/>
          <w:i/>
          <w:iCs/>
          <w:snapToGrid w:val="0"/>
          <w:lang w:eastAsia="zh-CN"/>
        </w:rPr>
      </w:pPr>
    </w:p>
    <w:p w14:paraId="6F99C2CE">
      <w:pPr>
        <w:pStyle w:val="17"/>
        <w:adjustRightInd w:val="0"/>
        <w:snapToGrid w:val="0"/>
        <w:spacing w:before="120" w:beforeLines="50" w:after="0" w:line="300" w:lineRule="auto"/>
        <w:jc w:val="both"/>
        <w:rPr>
          <w:rFonts w:eastAsia="宋体"/>
          <w:snapToGrid w:val="0"/>
          <w:sz w:val="32"/>
          <w:szCs w:val="32"/>
          <w:lang w:eastAsia="zh-CN"/>
        </w:rPr>
      </w:pPr>
      <w:r>
        <w:rPr>
          <w:rFonts w:eastAsia="宋体" w:cs="宋体"/>
          <w:b/>
          <w:sz w:val="32"/>
          <w:lang w:eastAsia="zh-CN"/>
        </w:rPr>
        <w:t>FDA前言</w:t>
      </w:r>
    </w:p>
    <w:p w14:paraId="78D33BD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IMDRF是医疗器械监管机构自愿组成的团体，该团体齐心协力加速国际医疗器械监管的协调和融合。IMDRF管理委员会（IMDRF MC）授权SaMD工作组（WG）制定SaMD监管框架并制定全球监管机构在其各自的管辖区内采用的统一原则。该IMDRF文件已获得IMDRF MC的一致批准。有关IMDRF活动的更多信息，请参见</w:t>
      </w:r>
      <w:r>
        <w:fldChar w:fldCharType="begin"/>
      </w:r>
      <w:r>
        <w:instrText xml:space="preserve"> HYPERLINK "http://www.imdrf.org/index.asp" </w:instrText>
      </w:r>
      <w:r>
        <w:fldChar w:fldCharType="separate"/>
      </w:r>
      <w:r>
        <w:rPr>
          <w:rFonts w:ascii="Times New Roman" w:hAnsi="Times New Roman" w:eastAsia="宋体" w:cs="宋体"/>
          <w:snapToGrid w:val="0"/>
          <w:lang w:eastAsia="zh-CN"/>
        </w:rPr>
        <w:t>http://www.imdrf.ore/index.asp</w:t>
      </w:r>
      <w:r>
        <w:rPr>
          <w:rFonts w:ascii="Times New Roman" w:hAnsi="Times New Roman" w:eastAsia="宋体" w:cs="宋体"/>
          <w:snapToGrid w:val="0"/>
          <w:lang w:eastAsia="zh-CN"/>
        </w:rPr>
        <w:fldChar w:fldCharType="end"/>
      </w:r>
      <w:r>
        <w:rPr>
          <w:rFonts w:ascii="Times New Roman" w:hAnsi="Times New Roman" w:eastAsia="宋体" w:cs="宋体"/>
          <w:lang w:eastAsia="zh-CN"/>
        </w:rPr>
        <w:t>。</w:t>
      </w:r>
    </w:p>
    <w:p w14:paraId="5AAA98D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指南采用了IMDRF商定的国际统一原则。采用这些原则为FDA在进一步制定具体监管方法和管理监督预期时提供了一个初步框架。本指南目前尚未向FDA工作人员和行业提供适用于特定监管情况的建议，也未改变当前的监管预期（包括监管申请）。本文件中使用的“</w:t>
      </w:r>
      <w:r>
        <w:rPr>
          <w:rFonts w:ascii="Times New Roman" w:hAnsi="Times New Roman" w:eastAsia="宋体" w:cs="宋体"/>
          <w:i/>
          <w:lang w:eastAsia="zh-CN"/>
        </w:rPr>
        <w:t>要求</w:t>
      </w:r>
      <w:r>
        <w:rPr>
          <w:rFonts w:ascii="Times New Roman" w:hAnsi="Times New Roman" w:eastAsia="宋体" w:cs="宋体"/>
          <w:lang w:eastAsia="zh-CN"/>
        </w:rPr>
        <w:t>”未反映FDA监管要求，仅供行业和美国食品药品监督管理局工作人员参考。FDA有意在制定SaMD和数字健康技术的监管方法时考虑本指南的原则。根据本指南的原则制定监管方法时，FDA有意遵循公共流程（包括为公众发表意见提供机会）。有关FDA采用IMDRF文件作为FDA指南文件的更多信息，请参见</w:t>
      </w:r>
      <w:r>
        <w:fldChar w:fldCharType="begin"/>
      </w:r>
      <w:r>
        <w:instrText xml:space="preserve"> HYPERLINK "https://www.fda.gov/MedicalDevices/InternationalPrograms/IMDRF/default.htm" </w:instrText>
      </w:r>
      <w:r>
        <w:fldChar w:fldCharType="separate"/>
      </w:r>
      <w:r>
        <w:rPr>
          <w:rFonts w:ascii="Times New Roman" w:hAnsi="Times New Roman" w:eastAsia="宋体" w:cs="宋体"/>
          <w:snapToGrid w:val="0"/>
          <w:color w:val="0000FF"/>
          <w:u w:val="single"/>
          <w:lang w:eastAsia="zh-CN"/>
        </w:rPr>
        <w:t>https://www.fda.gov/MedicalDevices/InternationalPrograms/IMDRF/default.htm</w:t>
      </w:r>
      <w:r>
        <w:rPr>
          <w:rFonts w:ascii="Times New Roman" w:hAnsi="Times New Roman" w:eastAsia="宋体" w:cs="宋体"/>
          <w:snapToGrid w:val="0"/>
          <w:color w:val="0000FF"/>
          <w:u w:val="single"/>
          <w:lang w:eastAsia="zh-CN"/>
        </w:rPr>
        <w:fldChar w:fldCharType="end"/>
      </w:r>
      <w:r>
        <w:rPr>
          <w:rFonts w:ascii="Times New Roman" w:hAnsi="Times New Roman" w:eastAsia="宋体" w:cs="宋体"/>
          <w:lang w:eastAsia="zh-CN"/>
        </w:rPr>
        <w:t>。</w:t>
      </w:r>
    </w:p>
    <w:p w14:paraId="5DB56650">
      <w:pPr>
        <w:adjustRightInd w:val="0"/>
        <w:snapToGrid w:val="0"/>
        <w:spacing w:before="120" w:beforeLines="50" w:line="300" w:lineRule="auto"/>
        <w:jc w:val="both"/>
        <w:rPr>
          <w:rFonts w:ascii="Times New Roman" w:hAnsi="Times New Roman" w:eastAsia="宋体" w:cs="Times New Roman"/>
          <w:snapToGrid w:val="0"/>
          <w:lang w:eastAsia="zh-CN"/>
        </w:rPr>
      </w:pPr>
    </w:p>
    <w:p w14:paraId="1322E37B">
      <w:pPr>
        <w:rPr>
          <w:rFonts w:ascii="Times New Roman" w:hAnsi="Times New Roman" w:eastAsia="宋体" w:cs="Times New Roman"/>
          <w:snapToGrid w:val="0"/>
          <w:lang w:eastAsia="zh-CN"/>
        </w:rPr>
        <w:sectPr>
          <w:pgSz w:w="11907" w:h="16839"/>
          <w:pgMar w:top="1418" w:right="1418" w:bottom="1418" w:left="1418" w:header="720" w:footer="720" w:gutter="0"/>
          <w:cols w:space="720" w:num="1"/>
          <w:docGrid w:linePitch="360" w:charSpace="0"/>
        </w:sectPr>
      </w:pPr>
      <w:r>
        <w:rPr>
          <w:rFonts w:ascii="Times New Roman" w:hAnsi="Times New Roman" w:eastAsia="宋体" w:cs="宋体"/>
          <w:lang w:eastAsia="zh-CN"/>
        </w:rPr>
        <w:br w:type="page"/>
      </w:r>
    </w:p>
    <w:p w14:paraId="3C7DA60C">
      <w:pPr>
        <w:pStyle w:val="17"/>
        <w:adjustRightInd w:val="0"/>
        <w:snapToGrid w:val="0"/>
        <w:spacing w:before="120" w:beforeLines="50" w:after="0" w:line="300" w:lineRule="auto"/>
        <w:jc w:val="right"/>
        <w:rPr>
          <w:rFonts w:eastAsia="宋体"/>
          <w:snapToGrid w:val="0"/>
        </w:rPr>
      </w:pPr>
      <w:r>
        <w:rPr>
          <w:rFonts w:eastAsia="宋体" w:cs="宋体"/>
          <w:b/>
        </w:rPr>
        <w:t>IMDRF/SaMD WG/N41FINAL:2017</w:t>
      </w:r>
    </w:p>
    <w:p w14:paraId="3B57F553">
      <w:pPr>
        <w:adjustRightInd w:val="0"/>
        <w:snapToGrid w:val="0"/>
        <w:spacing w:before="120" w:beforeLines="50" w:line="300" w:lineRule="auto"/>
        <w:jc w:val="both"/>
        <w:rPr>
          <w:rFonts w:ascii="Times New Roman" w:hAnsi="Times New Roman" w:eastAsia="宋体" w:cs="Times New Roman"/>
          <w:snapToGrid w:val="0"/>
          <w:lang w:eastAsia="zh-CN" w:bidi="ar-SA"/>
        </w:rPr>
      </w:pPr>
    </w:p>
    <w:p w14:paraId="386B3843">
      <w:pPr>
        <w:adjustRightInd w:val="0"/>
        <w:snapToGrid w:val="0"/>
        <w:spacing w:before="120" w:beforeLines="50" w:line="300" w:lineRule="auto"/>
        <w:jc w:val="both"/>
        <w:rPr>
          <w:rFonts w:ascii="Times New Roman" w:hAnsi="Times New Roman" w:eastAsia="宋体" w:cs="Times New Roman"/>
          <w:snapToGrid w:val="0"/>
          <w:lang w:eastAsia="zh-CN" w:bidi="ar-SA"/>
        </w:rPr>
      </w:pPr>
    </w:p>
    <w:p w14:paraId="045A2448">
      <w:pPr>
        <w:adjustRightInd w:val="0"/>
        <w:snapToGrid w:val="0"/>
        <w:spacing w:before="120" w:beforeLines="50" w:line="300" w:lineRule="auto"/>
        <w:jc w:val="center"/>
        <w:rPr>
          <w:rFonts w:ascii="Times New Roman" w:hAnsi="Times New Roman" w:eastAsia="宋体" w:cs="Times New Roman"/>
          <w:snapToGrid w:val="0"/>
        </w:rPr>
      </w:pPr>
      <w:r>
        <w:rPr>
          <w:lang w:eastAsia="zh-CN" w:bidi="ar-SA"/>
        </w:rPr>
        <mc:AlternateContent>
          <mc:Choice Requires="wps">
            <w:drawing>
              <wp:anchor distT="0" distB="0" distL="114300" distR="114300" simplePos="0" relativeHeight="251659264" behindDoc="0" locked="0" layoutInCell="1" allowOverlap="1">
                <wp:simplePos x="0" y="0"/>
                <wp:positionH relativeFrom="column">
                  <wp:posOffset>3204210</wp:posOffset>
                </wp:positionH>
                <wp:positionV relativeFrom="paragraph">
                  <wp:posOffset>360045</wp:posOffset>
                </wp:positionV>
                <wp:extent cx="2047240" cy="397510"/>
                <wp:effectExtent l="0" t="0" r="0" b="2540"/>
                <wp:wrapNone/>
                <wp:docPr id="86" name="文本框 86"/>
                <wp:cNvGraphicFramePr/>
                <a:graphic xmlns:a="http://schemas.openxmlformats.org/drawingml/2006/main">
                  <a:graphicData uri="http://schemas.microsoft.com/office/word/2010/wordprocessingShape">
                    <wps:wsp>
                      <wps:cNvSpPr txBox="1"/>
                      <wps:spPr>
                        <a:xfrm>
                          <a:off x="0" y="0"/>
                          <a:ext cx="2047461" cy="3975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D8BB1">
                            <w:pPr>
                              <w:rPr>
                                <w:rFonts w:ascii="Times New Roman" w:hAnsi="Times New Roman" w:eastAsia="宋体" w:cs="Times New Roman"/>
                                <w:sz w:val="21"/>
                                <w:szCs w:val="21"/>
                                <w:lang w:eastAsia="zh-CN"/>
                              </w:rPr>
                            </w:pPr>
                            <w:r>
                              <w:rPr>
                                <w:rFonts w:ascii="Times New Roman" w:hAnsi="Times New Roman" w:eastAsia="宋体" w:cs="宋体"/>
                                <w:sz w:val="21"/>
                                <w:lang w:eastAsia="zh-CN"/>
                              </w:rPr>
                              <w:t>国际医疗</w:t>
                            </w:r>
                          </w:p>
                          <w:p w14:paraId="28F4E510">
                            <w:pPr>
                              <w:rPr>
                                <w:rFonts w:ascii="Times New Roman" w:hAnsi="Times New Roman" w:eastAsia="宋体" w:cs="Times New Roman"/>
                                <w:sz w:val="21"/>
                                <w:szCs w:val="21"/>
                                <w:lang w:eastAsia="zh-CN"/>
                              </w:rPr>
                            </w:pPr>
                            <w:r>
                              <w:rPr>
                                <w:rFonts w:ascii="Times New Roman" w:hAnsi="Times New Roman" w:eastAsia="宋体" w:cs="宋体"/>
                                <w:sz w:val="21"/>
                                <w:lang w:eastAsia="zh-CN"/>
                              </w:rPr>
                              <w:t>器械监管机构论坛</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202" type="#_x0000_t202" style="position:absolute;left:0pt;margin-left:252.3pt;margin-top:28.35pt;height:31.3pt;width:161.2pt;z-index:251659264;v-text-anchor:middle;mso-width-relative:page;mso-height-relative:page;" fillcolor="#FFFFFF [3212]" filled="t" stroked="f" coordsize="21600,21600" o:gfxdata="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sMin2AAAAAoBAAAPAAAA&#10;AAAAAAEAIAAAACIAAABkcnMvZG93bnJldi54bWxQSwECFAAUAAAACACHTuJA+Cm+mU4CAACRBAAA&#10;DgAAAAAAAAABACAAAAAnAQAAZHJzL2Uyb0RvYy54bWxQSwUGAAAAAAYABgBZAQAA5wUAAAAA&#10;">
                <v:fill on="t" focussize="0,0"/>
                <v:stroke on="f" weight="0.5pt"/>
                <v:imagedata o:title=""/>
                <o:lock v:ext="edit" aspectratio="f"/>
                <v:textbox inset="0mm,0mm,0mm,0mm">
                  <w:txbxContent>
                    <w:p w14:paraId="3B4D8BB1">
                      <w:pPr>
                        <w:rPr>
                          <w:rFonts w:ascii="Times New Roman" w:hAnsi="Times New Roman" w:eastAsia="宋体" w:cs="Times New Roman"/>
                          <w:sz w:val="21"/>
                          <w:szCs w:val="21"/>
                          <w:lang w:eastAsia="zh-CN"/>
                        </w:rPr>
                      </w:pPr>
                      <w:r>
                        <w:rPr>
                          <w:rFonts w:ascii="Times New Roman" w:hAnsi="Times New Roman" w:eastAsia="宋体" w:cs="宋体"/>
                          <w:sz w:val="21"/>
                          <w:lang w:eastAsia="zh-CN"/>
                        </w:rPr>
                        <w:t>国际医疗</w:t>
                      </w:r>
                    </w:p>
                    <w:p w14:paraId="28F4E510">
                      <w:pPr>
                        <w:rPr>
                          <w:rFonts w:ascii="Times New Roman" w:hAnsi="Times New Roman" w:eastAsia="宋体" w:cs="Times New Roman"/>
                          <w:sz w:val="21"/>
                          <w:szCs w:val="21"/>
                          <w:lang w:eastAsia="zh-CN"/>
                        </w:rPr>
                      </w:pPr>
                      <w:r>
                        <w:rPr>
                          <w:rFonts w:ascii="Times New Roman" w:hAnsi="Times New Roman" w:eastAsia="宋体" w:cs="宋体"/>
                          <w:sz w:val="21"/>
                          <w:lang w:eastAsia="zh-CN"/>
                        </w:rPr>
                        <w:t>器械监管机构论坛</w:t>
                      </w:r>
                    </w:p>
                  </w:txbxContent>
                </v:textbox>
              </v:shape>
            </w:pict>
          </mc:Fallback>
        </mc:AlternateContent>
      </w:r>
      <w:r>
        <w:rPr>
          <w:rFonts w:ascii="宋体" w:hAnsi="宋体" w:eastAsia="宋体" w:cs="宋体"/>
          <w:lang w:eastAsia="zh-CN" w:bidi="ar-SA"/>
        </w:rPr>
        <w:drawing>
          <wp:inline distT="0" distB="0" distL="0" distR="0">
            <wp:extent cx="4740910" cy="9658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743545" cy="966954"/>
                    </a:xfrm>
                    <a:prstGeom prst="rect">
                      <a:avLst/>
                    </a:prstGeom>
                  </pic:spPr>
                </pic:pic>
              </a:graphicData>
            </a:graphic>
          </wp:inline>
        </w:drawing>
      </w:r>
    </w:p>
    <w:p w14:paraId="112E8BA4">
      <w:pPr>
        <w:pStyle w:val="17"/>
        <w:adjustRightInd w:val="0"/>
        <w:snapToGrid w:val="0"/>
        <w:spacing w:before="120" w:beforeLines="50" w:after="0" w:line="300" w:lineRule="auto"/>
        <w:jc w:val="both"/>
        <w:rPr>
          <w:rFonts w:eastAsia="宋体"/>
          <w:b/>
          <w:bCs/>
          <w:snapToGrid w:val="0"/>
          <w:lang w:eastAsia="zh-CN"/>
        </w:rPr>
      </w:pPr>
    </w:p>
    <w:p w14:paraId="41AFCFDF">
      <w:pPr>
        <w:pStyle w:val="17"/>
        <w:adjustRightInd w:val="0"/>
        <w:snapToGrid w:val="0"/>
        <w:spacing w:before="120" w:beforeLines="50" w:after="0" w:line="300" w:lineRule="auto"/>
        <w:jc w:val="both"/>
        <w:rPr>
          <w:rFonts w:eastAsia="宋体"/>
          <w:b/>
          <w:bCs/>
          <w:snapToGrid w:val="0"/>
          <w:lang w:eastAsia="zh-CN"/>
        </w:rPr>
      </w:pPr>
    </w:p>
    <w:p w14:paraId="10C667D2">
      <w:pPr>
        <w:pStyle w:val="17"/>
        <w:adjustRightInd w:val="0"/>
        <w:snapToGrid w:val="0"/>
        <w:spacing w:before="120" w:beforeLines="50" w:after="0" w:line="300" w:lineRule="auto"/>
        <w:jc w:val="center"/>
        <w:rPr>
          <w:rFonts w:eastAsia="宋体"/>
          <w:b/>
          <w:bCs/>
          <w:snapToGrid w:val="0"/>
          <w:sz w:val="32"/>
          <w:szCs w:val="32"/>
          <w:lang w:eastAsia="zh-CN"/>
        </w:rPr>
      </w:pPr>
      <w:r>
        <w:rPr>
          <w:rFonts w:eastAsia="宋体" w:cs="宋体"/>
          <w:b/>
          <w:sz w:val="32"/>
          <w:lang w:eastAsia="zh-CN"/>
        </w:rPr>
        <w:t>最终文件</w:t>
      </w:r>
    </w:p>
    <w:p w14:paraId="2689938B">
      <w:pPr>
        <w:pStyle w:val="17"/>
        <w:adjustRightInd w:val="0"/>
        <w:snapToGrid w:val="0"/>
        <w:spacing w:before="120" w:beforeLines="50" w:after="0" w:line="300" w:lineRule="auto"/>
        <w:jc w:val="both"/>
        <w:rPr>
          <w:rFonts w:eastAsia="宋体"/>
          <w:b/>
          <w:bCs/>
          <w:snapToGrid w:val="0"/>
          <w:lang w:eastAsia="zh-CN"/>
        </w:rPr>
      </w:pPr>
    </w:p>
    <w:p w14:paraId="06EE1471">
      <w:pPr>
        <w:pStyle w:val="17"/>
        <w:adjustRightInd w:val="0"/>
        <w:snapToGrid w:val="0"/>
        <w:spacing w:before="120" w:beforeLines="50" w:after="0" w:line="300" w:lineRule="auto"/>
        <w:jc w:val="both"/>
        <w:rPr>
          <w:rFonts w:eastAsia="宋体"/>
          <w:snapToGrid w:val="0"/>
          <w:lang w:eastAsia="zh-CN"/>
        </w:rPr>
      </w:pPr>
    </w:p>
    <w:p w14:paraId="7692D777">
      <w:pPr>
        <w:pStyle w:val="17"/>
        <w:adjustRightInd w:val="0"/>
        <w:snapToGrid w:val="0"/>
        <w:spacing w:before="120" w:beforeLines="50" w:after="0" w:line="300" w:lineRule="auto"/>
        <w:jc w:val="both"/>
        <w:rPr>
          <w:rFonts w:eastAsia="宋体"/>
          <w:snapToGrid w:val="0"/>
          <w:lang w:eastAsia="zh-CN"/>
        </w:rPr>
      </w:pPr>
      <w:r>
        <w:rPr>
          <w:rFonts w:eastAsia="宋体" w:cs="宋体"/>
          <w:b/>
          <w:lang w:eastAsia="zh-CN"/>
        </w:rPr>
        <w:t>标题：</w:t>
      </w:r>
      <w:r>
        <w:rPr>
          <w:rFonts w:eastAsia="宋体" w:cs="宋体"/>
          <w:lang w:eastAsia="zh-CN"/>
        </w:rPr>
        <w:t>医疗器械独立软件（SaMD）：临床评价</w:t>
      </w:r>
    </w:p>
    <w:p w14:paraId="7A60D4B5">
      <w:pPr>
        <w:pStyle w:val="17"/>
        <w:adjustRightInd w:val="0"/>
        <w:snapToGrid w:val="0"/>
        <w:spacing w:before="120" w:beforeLines="50" w:after="0" w:line="300" w:lineRule="auto"/>
        <w:jc w:val="both"/>
        <w:rPr>
          <w:rFonts w:eastAsia="宋体"/>
          <w:snapToGrid w:val="0"/>
          <w:lang w:eastAsia="zh-CN"/>
        </w:rPr>
      </w:pPr>
      <w:r>
        <w:rPr>
          <w:rFonts w:eastAsia="宋体" w:cs="宋体"/>
          <w:b/>
          <w:lang w:eastAsia="zh-CN"/>
        </w:rPr>
        <w:t>编写小组：</w:t>
      </w:r>
      <w:r>
        <w:rPr>
          <w:rFonts w:eastAsia="宋体" w:cs="宋体"/>
          <w:lang w:eastAsia="zh-CN"/>
        </w:rPr>
        <w:t>医疗器械独立软件工作组</w:t>
      </w:r>
    </w:p>
    <w:p w14:paraId="6FCD13EB">
      <w:pPr>
        <w:pStyle w:val="17"/>
        <w:adjustRightInd w:val="0"/>
        <w:snapToGrid w:val="0"/>
        <w:spacing w:before="120" w:beforeLines="50" w:after="0" w:line="300" w:lineRule="auto"/>
        <w:jc w:val="both"/>
        <w:rPr>
          <w:rFonts w:eastAsia="宋体"/>
          <w:snapToGrid w:val="0"/>
          <w:lang w:eastAsia="zh-CN"/>
        </w:rPr>
      </w:pPr>
    </w:p>
    <w:p w14:paraId="29821B6E">
      <w:pPr>
        <w:pStyle w:val="17"/>
        <w:adjustRightInd w:val="0"/>
        <w:snapToGrid w:val="0"/>
        <w:spacing w:before="120" w:beforeLines="50" w:after="0" w:line="300" w:lineRule="auto"/>
        <w:jc w:val="both"/>
        <w:rPr>
          <w:rFonts w:eastAsia="宋体"/>
          <w:snapToGrid w:val="0"/>
        </w:rPr>
      </w:pPr>
      <w:r>
        <w:rPr>
          <w:rFonts w:eastAsia="宋体" w:cs="宋体"/>
          <w:b/>
        </w:rPr>
        <w:t>日期：</w:t>
      </w:r>
      <w:r>
        <w:rPr>
          <w:rFonts w:eastAsia="宋体" w:cs="宋体"/>
        </w:rPr>
        <w:t>2017年6月22日</w:t>
      </w:r>
    </w:p>
    <w:p w14:paraId="7F630494">
      <w:pPr>
        <w:adjustRightInd w:val="0"/>
        <w:snapToGrid w:val="0"/>
        <w:spacing w:before="120" w:beforeLines="50" w:line="300" w:lineRule="auto"/>
        <w:jc w:val="right"/>
        <w:rPr>
          <w:rFonts w:ascii="Times New Roman" w:hAnsi="Times New Roman" w:eastAsia="宋体" w:cs="Times New Roman"/>
          <w:snapToGrid w:val="0"/>
        </w:rPr>
      </w:pPr>
      <w:r>
        <w:rPr>
          <w:rFonts w:ascii="宋体" w:hAnsi="宋体" w:eastAsia="宋体" w:cs="宋体"/>
          <w:lang w:eastAsia="zh-CN" w:bidi="ar-SA"/>
        </w:rPr>
        <w:drawing>
          <wp:inline distT="0" distB="0" distL="0" distR="0">
            <wp:extent cx="2018665" cy="1313815"/>
            <wp:effectExtent l="0" t="0" r="635" b="63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2019048" cy="1314286"/>
                    </a:xfrm>
                    <a:prstGeom prst="rect">
                      <a:avLst/>
                    </a:prstGeom>
                  </pic:spPr>
                </pic:pic>
              </a:graphicData>
            </a:graphic>
          </wp:inline>
        </w:drawing>
      </w:r>
    </w:p>
    <w:p w14:paraId="14B395C2">
      <w:pPr>
        <w:pStyle w:val="17"/>
        <w:adjustRightInd w:val="0"/>
        <w:snapToGrid w:val="0"/>
        <w:spacing w:before="120" w:beforeLines="50" w:after="0" w:line="300" w:lineRule="auto"/>
        <w:jc w:val="right"/>
        <w:rPr>
          <w:rFonts w:eastAsia="宋体"/>
          <w:snapToGrid w:val="0"/>
          <w:lang w:eastAsia="zh-CN"/>
        </w:rPr>
      </w:pPr>
      <w:r>
        <w:rPr>
          <w:rFonts w:eastAsia="宋体"/>
          <w:snapToGrid w:val="0"/>
          <w:lang w:eastAsia="zh-CN"/>
        </w:rPr>
        <w:t>J. Patrick Stewart, IMDRF Chair</w:t>
      </w:r>
    </w:p>
    <w:p w14:paraId="4884EDD8">
      <w:pPr>
        <w:adjustRightInd w:val="0"/>
        <w:snapToGrid w:val="0"/>
        <w:spacing w:before="120" w:beforeLines="50" w:line="300" w:lineRule="auto"/>
        <w:jc w:val="both"/>
        <w:rPr>
          <w:rFonts w:ascii="Times New Roman" w:hAnsi="Times New Roman" w:eastAsia="宋体" w:cs="Times New Roman"/>
          <w:snapToGrid w:val="0"/>
          <w:lang w:eastAsia="zh-CN"/>
        </w:rPr>
      </w:pPr>
    </w:p>
    <w:p w14:paraId="2EA5646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本文件由国际医疗器械监管机构论坛制定。本文件的复制或使用不受限；但是，将本文件部分或整体并入其他文件，或者翻译成除英语外的其他语言，均不表示或代表已获得国际医疗器械监管机构论坛的认可。</w:t>
      </w:r>
    </w:p>
    <w:p w14:paraId="1A0A1465">
      <w:pPr>
        <w:adjustRightInd w:val="0"/>
        <w:snapToGrid w:val="0"/>
        <w:spacing w:before="120" w:beforeLines="50" w:line="300" w:lineRule="auto"/>
        <w:jc w:val="both"/>
        <w:rPr>
          <w:rFonts w:ascii="Times New Roman" w:hAnsi="Times New Roman" w:eastAsia="宋体" w:cs="Times New Roman"/>
          <w:snapToGrid w:val="0"/>
          <w:lang w:eastAsia="zh-CN"/>
        </w:rPr>
      </w:pPr>
    </w:p>
    <w:p w14:paraId="0FBD310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版权所有© 2017国际医疗器械监管机构论坛。</w:t>
      </w:r>
    </w:p>
    <w:p w14:paraId="680E6DD9">
      <w:pPr>
        <w:rPr>
          <w:rFonts w:ascii="Times New Roman" w:hAnsi="Times New Roman" w:eastAsia="宋体" w:cs="Times New Roman"/>
          <w:snapToGrid w:val="0"/>
          <w:lang w:eastAsia="zh-CN"/>
        </w:rPr>
        <w:sectPr>
          <w:pgSz w:w="11907" w:h="16839"/>
          <w:pgMar w:top="1418" w:right="1418" w:bottom="1418" w:left="1418" w:header="720" w:footer="720" w:gutter="0"/>
          <w:pgBorders>
            <w:top w:val="single" w:color="auto" w:sz="4" w:space="4"/>
            <w:left w:val="single" w:color="auto" w:sz="4" w:space="4"/>
            <w:bottom w:val="single" w:color="auto" w:sz="4" w:space="4"/>
            <w:right w:val="single" w:color="auto" w:sz="4" w:space="4"/>
          </w:pgBorders>
          <w:cols w:space="720" w:num="1"/>
          <w:docGrid w:linePitch="360" w:charSpace="0"/>
        </w:sectPr>
      </w:pPr>
      <w:r>
        <w:rPr>
          <w:rFonts w:ascii="Times New Roman" w:hAnsi="Times New Roman" w:eastAsia="宋体" w:cs="宋体"/>
          <w:lang w:eastAsia="zh-CN"/>
        </w:rPr>
        <w:br w:type="page"/>
      </w:r>
    </w:p>
    <w:p w14:paraId="0C99004B">
      <w:pPr>
        <w:adjustRightInd w:val="0"/>
        <w:snapToGrid w:val="0"/>
        <w:spacing w:before="120" w:beforeLines="50" w:line="300" w:lineRule="auto"/>
        <w:jc w:val="both"/>
        <w:rPr>
          <w:rFonts w:ascii="Times New Roman" w:hAnsi="Times New Roman" w:eastAsia="宋体" w:cs="Times New Roman"/>
          <w:snapToGrid w:val="0"/>
          <w:sz w:val="32"/>
          <w:szCs w:val="32"/>
        </w:rPr>
      </w:pPr>
      <w:r>
        <w:rPr>
          <w:rFonts w:ascii="Times New Roman" w:hAnsi="Times New Roman" w:eastAsia="宋体" w:cs="宋体"/>
          <w:b/>
          <w:sz w:val="32"/>
        </w:rPr>
        <w:t>目录</w:t>
      </w:r>
    </w:p>
    <w:p w14:paraId="64ACE448">
      <w:pPr>
        <w:pStyle w:val="8"/>
        <w:rPr>
          <w:color w:val="auto"/>
          <w:kern w:val="2"/>
          <w:sz w:val="21"/>
          <w:szCs w:val="22"/>
          <w:lang w:bidi="ar-SA"/>
        </w:rPr>
      </w:pPr>
      <w:r>
        <w:rPr>
          <w:snapToGrid w:val="0"/>
        </w:rPr>
        <w:fldChar w:fldCharType="begin"/>
      </w:r>
      <w:r>
        <w:rPr>
          <w:snapToGrid w:val="0"/>
        </w:rPr>
        <w:instrText xml:space="preserve"> TOC \h \z \t "样式1,1,样式2,2" </w:instrText>
      </w:r>
      <w:r>
        <w:rPr>
          <w:snapToGrid w:val="0"/>
        </w:rPr>
        <w:fldChar w:fldCharType="separate"/>
      </w:r>
      <w:r>
        <w:fldChar w:fldCharType="begin"/>
      </w:r>
      <w:r>
        <w:instrText xml:space="preserve"> HYPERLINK \l "_Toc92183881" </w:instrText>
      </w:r>
      <w:r>
        <w:fldChar w:fldCharType="separate"/>
      </w:r>
      <w:r>
        <w:rPr>
          <w:rStyle w:val="14"/>
        </w:rPr>
        <w:t xml:space="preserve">1.0 </w:t>
      </w:r>
      <w:r>
        <w:rPr>
          <w:rStyle w:val="14"/>
        </w:rPr>
        <w:tab/>
      </w:r>
      <w:r>
        <w:rPr>
          <w:rStyle w:val="14"/>
        </w:rPr>
        <w:t>执行摘要</w:t>
      </w:r>
      <w:r>
        <w:tab/>
      </w:r>
      <w:r>
        <w:fldChar w:fldCharType="begin"/>
      </w:r>
      <w:r>
        <w:instrText xml:space="preserve"> PAGEREF _Toc92183881 \h </w:instrText>
      </w:r>
      <w:r>
        <w:fldChar w:fldCharType="separate"/>
      </w:r>
      <w:r>
        <w:t>4</w:t>
      </w:r>
      <w:r>
        <w:fldChar w:fldCharType="end"/>
      </w:r>
      <w:r>
        <w:fldChar w:fldCharType="end"/>
      </w:r>
    </w:p>
    <w:p w14:paraId="57BE9059">
      <w:pPr>
        <w:pStyle w:val="8"/>
        <w:rPr>
          <w:color w:val="auto"/>
          <w:kern w:val="2"/>
          <w:sz w:val="21"/>
          <w:szCs w:val="22"/>
          <w:lang w:bidi="ar-SA"/>
        </w:rPr>
      </w:pPr>
      <w:r>
        <w:fldChar w:fldCharType="begin"/>
      </w:r>
      <w:r>
        <w:instrText xml:space="preserve"> HYPERLINK \l "_Toc92183882" </w:instrText>
      </w:r>
      <w:r>
        <w:fldChar w:fldCharType="separate"/>
      </w:r>
      <w:r>
        <w:rPr>
          <w:rStyle w:val="14"/>
        </w:rPr>
        <w:t xml:space="preserve">2.0 </w:t>
      </w:r>
      <w:r>
        <w:rPr>
          <w:rStyle w:val="14"/>
        </w:rPr>
        <w:tab/>
      </w:r>
      <w:r>
        <w:rPr>
          <w:rStyle w:val="14"/>
        </w:rPr>
        <w:t>背景</w:t>
      </w:r>
      <w:r>
        <w:tab/>
      </w:r>
      <w:r>
        <w:fldChar w:fldCharType="begin"/>
      </w:r>
      <w:r>
        <w:instrText xml:space="preserve"> PAGEREF _Toc92183882 \h </w:instrText>
      </w:r>
      <w:r>
        <w:fldChar w:fldCharType="separate"/>
      </w:r>
      <w:r>
        <w:t>6</w:t>
      </w:r>
      <w:r>
        <w:fldChar w:fldCharType="end"/>
      </w:r>
      <w:r>
        <w:fldChar w:fldCharType="end"/>
      </w:r>
    </w:p>
    <w:p w14:paraId="44B47947">
      <w:pPr>
        <w:pStyle w:val="8"/>
        <w:rPr>
          <w:color w:val="auto"/>
          <w:kern w:val="2"/>
          <w:sz w:val="21"/>
          <w:szCs w:val="22"/>
          <w:lang w:bidi="ar-SA"/>
        </w:rPr>
      </w:pPr>
      <w:r>
        <w:fldChar w:fldCharType="begin"/>
      </w:r>
      <w:r>
        <w:instrText xml:space="preserve"> HYPERLINK \l "_Toc92183883" </w:instrText>
      </w:r>
      <w:r>
        <w:fldChar w:fldCharType="separate"/>
      </w:r>
      <w:r>
        <w:rPr>
          <w:rStyle w:val="14"/>
        </w:rPr>
        <w:t xml:space="preserve">3.0 </w:t>
      </w:r>
      <w:r>
        <w:rPr>
          <w:rStyle w:val="14"/>
        </w:rPr>
        <w:tab/>
      </w:r>
      <w:r>
        <w:rPr>
          <w:rStyle w:val="14"/>
        </w:rPr>
        <w:t>引言</w:t>
      </w:r>
      <w:r>
        <w:tab/>
      </w:r>
      <w:r>
        <w:fldChar w:fldCharType="begin"/>
      </w:r>
      <w:r>
        <w:instrText xml:space="preserve"> PAGEREF _Toc92183883 \h </w:instrText>
      </w:r>
      <w:r>
        <w:fldChar w:fldCharType="separate"/>
      </w:r>
      <w:r>
        <w:t>7</w:t>
      </w:r>
      <w:r>
        <w:fldChar w:fldCharType="end"/>
      </w:r>
      <w:r>
        <w:fldChar w:fldCharType="end"/>
      </w:r>
    </w:p>
    <w:p w14:paraId="5A9D758E">
      <w:pPr>
        <w:pStyle w:val="8"/>
        <w:rPr>
          <w:color w:val="auto"/>
          <w:kern w:val="2"/>
          <w:sz w:val="21"/>
          <w:szCs w:val="22"/>
          <w:lang w:bidi="ar-SA"/>
        </w:rPr>
      </w:pPr>
      <w:r>
        <w:fldChar w:fldCharType="begin"/>
      </w:r>
      <w:r>
        <w:instrText xml:space="preserve"> HYPERLINK \l "_Toc92183884" </w:instrText>
      </w:r>
      <w:r>
        <w:fldChar w:fldCharType="separate"/>
      </w:r>
      <w:r>
        <w:rPr>
          <w:rStyle w:val="14"/>
        </w:rPr>
        <w:t xml:space="preserve">4.0 </w:t>
      </w:r>
      <w:r>
        <w:rPr>
          <w:rStyle w:val="14"/>
        </w:rPr>
        <w:tab/>
      </w:r>
      <w:r>
        <w:rPr>
          <w:rStyle w:val="14"/>
        </w:rPr>
        <w:t>范围</w:t>
      </w:r>
      <w:r>
        <w:tab/>
      </w:r>
      <w:r>
        <w:fldChar w:fldCharType="begin"/>
      </w:r>
      <w:r>
        <w:instrText xml:space="preserve"> PAGEREF _Toc92183884 \h </w:instrText>
      </w:r>
      <w:r>
        <w:fldChar w:fldCharType="separate"/>
      </w:r>
      <w:r>
        <w:t>8</w:t>
      </w:r>
      <w:r>
        <w:fldChar w:fldCharType="end"/>
      </w:r>
      <w:r>
        <w:fldChar w:fldCharType="end"/>
      </w:r>
    </w:p>
    <w:p w14:paraId="65B39D7A">
      <w:pPr>
        <w:pStyle w:val="8"/>
        <w:rPr>
          <w:color w:val="auto"/>
          <w:kern w:val="2"/>
          <w:sz w:val="21"/>
          <w:szCs w:val="22"/>
          <w:lang w:bidi="ar-SA"/>
        </w:rPr>
      </w:pPr>
      <w:r>
        <w:fldChar w:fldCharType="begin"/>
      </w:r>
      <w:r>
        <w:instrText xml:space="preserve"> HYPERLINK \l "_Toc92183885" </w:instrText>
      </w:r>
      <w:r>
        <w:fldChar w:fldCharType="separate"/>
      </w:r>
      <w:r>
        <w:rPr>
          <w:rStyle w:val="14"/>
        </w:rPr>
        <w:t xml:space="preserve">5.0 </w:t>
      </w:r>
      <w:r>
        <w:rPr>
          <w:rStyle w:val="14"/>
        </w:rPr>
        <w:tab/>
      </w:r>
      <w:r>
        <w:rPr>
          <w:rStyle w:val="14"/>
        </w:rPr>
        <w:t>定义</w:t>
      </w:r>
      <w:r>
        <w:tab/>
      </w:r>
      <w:r>
        <w:fldChar w:fldCharType="begin"/>
      </w:r>
      <w:r>
        <w:instrText xml:space="preserve"> PAGEREF _Toc92183885 \h </w:instrText>
      </w:r>
      <w:r>
        <w:fldChar w:fldCharType="separate"/>
      </w:r>
      <w:r>
        <w:t>9</w:t>
      </w:r>
      <w:r>
        <w:fldChar w:fldCharType="end"/>
      </w:r>
      <w:r>
        <w:fldChar w:fldCharType="end"/>
      </w:r>
    </w:p>
    <w:p w14:paraId="36AD49CE">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"_Toc92183886" </w:instrText>
      </w:r>
      <w:r>
        <w:fldChar w:fldCharType="separate"/>
      </w:r>
      <w:r>
        <w:rPr>
          <w:rStyle w:val="14"/>
          <w:rFonts w:ascii="Times New Roman" w:hAnsi="Times New Roman" w:eastAsia="宋体" w:cs="Times New Roman"/>
        </w:rPr>
        <w:t xml:space="preserve">5.1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rPr>
        <w:t>SaMD的临床评价</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_Toc92183886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30F540AC">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"_Toc92183887" </w:instrText>
      </w:r>
      <w:r>
        <w:fldChar w:fldCharType="separate"/>
      </w:r>
      <w:r>
        <w:rPr>
          <w:rStyle w:val="14"/>
          <w:rFonts w:ascii="Times New Roman" w:hAnsi="Times New Roman" w:eastAsia="宋体" w:cs="Times New Roman"/>
          <w:lang w:eastAsia="zh-CN"/>
        </w:rPr>
        <w:t xml:space="preserve">5.2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SaMD的有效临床关联</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_Toc92183887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4BBEE259">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"_Toc92183888" </w:instrText>
      </w:r>
      <w:r>
        <w:fldChar w:fldCharType="separate"/>
      </w:r>
      <w:r>
        <w:rPr>
          <w:rStyle w:val="14"/>
          <w:rFonts w:ascii="Times New Roman" w:hAnsi="Times New Roman" w:eastAsia="宋体" w:cs="Times New Roman"/>
          <w:lang w:eastAsia="zh-CN"/>
        </w:rPr>
        <w:t xml:space="preserve">5.3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SaMD的分析/技术确认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_Toc92183888 \h </w:instrText>
      </w:r>
      <w:r>
        <w:rPr>
          <w:rFonts w:ascii="Times New Roman" w:hAnsi="Times New Roman" w:eastAsia="宋体" w:cs="Times New Roman"/>
        </w:rPr>
        <w:fldChar w:fldCharType="separate"/>
      </w:r>
      <w:r>
        <w:rPr>
          <w:rFonts w:ascii="Times New Roman" w:hAnsi="Times New Roman" w:eastAsia="宋体" w:cs="Times New Roman"/>
        </w:rPr>
        <w:t>9</w:t>
      </w:r>
      <w:r>
        <w:rPr>
          <w:rFonts w:ascii="Times New Roman" w:hAnsi="Times New Roman" w:eastAsia="宋体" w:cs="Times New Roman"/>
        </w:rPr>
        <w:fldChar w:fldCharType="end"/>
      </w:r>
      <w:r>
        <w:rPr>
          <w:rFonts w:ascii="Times New Roman" w:hAnsi="Times New Roman" w:eastAsia="宋体" w:cs="Times New Roman"/>
        </w:rPr>
        <w:fldChar w:fldCharType="end"/>
      </w:r>
    </w:p>
    <w:p w14:paraId="74FE3E54">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"_Toc92183889" </w:instrText>
      </w:r>
      <w:r>
        <w:fldChar w:fldCharType="separate"/>
      </w:r>
      <w:r>
        <w:rPr>
          <w:rStyle w:val="14"/>
          <w:rFonts w:ascii="Times New Roman" w:hAnsi="Times New Roman" w:eastAsia="宋体" w:cs="Times New Roman"/>
        </w:rPr>
        <w:t xml:space="preserve">5.4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rPr>
        <w:t>SaMD临床确认</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_Toc92183889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58AA2017">
      <w:pPr>
        <w:pStyle w:val="8"/>
        <w:rPr>
          <w:color w:val="auto"/>
          <w:kern w:val="2"/>
          <w:sz w:val="21"/>
          <w:szCs w:val="22"/>
          <w:lang w:bidi="ar-SA"/>
        </w:rPr>
      </w:pPr>
      <w:r>
        <w:fldChar w:fldCharType="begin"/>
      </w:r>
      <w:r>
        <w:instrText xml:space="preserve"> HYPERLINK \l "_Toc92183890" </w:instrText>
      </w:r>
      <w:r>
        <w:fldChar w:fldCharType="separate"/>
      </w:r>
      <w:r>
        <w:rPr>
          <w:rStyle w:val="14"/>
        </w:rPr>
        <w:t xml:space="preserve">6.0 </w:t>
      </w:r>
      <w:r>
        <w:rPr>
          <w:rStyle w:val="14"/>
        </w:rPr>
        <w:tab/>
      </w:r>
      <w:r>
        <w:rPr>
          <w:rStyle w:val="14"/>
        </w:rPr>
        <w:t>SaMD临床评价过程的一般原则和背景</w:t>
      </w:r>
      <w:r>
        <w:tab/>
      </w:r>
      <w:r>
        <w:fldChar w:fldCharType="begin"/>
      </w:r>
      <w:r>
        <w:instrText xml:space="preserve"> PAGEREF _Toc92183890 \h </w:instrText>
      </w:r>
      <w:r>
        <w:fldChar w:fldCharType="separate"/>
      </w:r>
      <w:r>
        <w:t>11</w:t>
      </w:r>
      <w:r>
        <w:fldChar w:fldCharType="end"/>
      </w:r>
      <w:r>
        <w:fldChar w:fldCharType="end"/>
      </w:r>
    </w:p>
    <w:p w14:paraId="119DEAB3">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"_Toc92183891" </w:instrText>
      </w:r>
      <w:r>
        <w:fldChar w:fldCharType="separate"/>
      </w:r>
      <w:r>
        <w:rPr>
          <w:rStyle w:val="14"/>
          <w:rFonts w:ascii="Times New Roman" w:hAnsi="Times New Roman" w:eastAsia="宋体" w:cs="Times New Roman"/>
          <w:lang w:eastAsia="zh-CN"/>
        </w:rPr>
        <w:t xml:space="preserve">6.1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SaMD定义声明和SaMD类别</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_Toc92183891 \h </w:instrText>
      </w:r>
      <w:r>
        <w:rPr>
          <w:rFonts w:ascii="Times New Roman" w:hAnsi="Times New Roman" w:eastAsia="宋体" w:cs="Times New Roman"/>
        </w:rPr>
        <w:fldChar w:fldCharType="separate"/>
      </w:r>
      <w:r>
        <w:rPr>
          <w:rFonts w:ascii="Times New Roman" w:hAnsi="Times New Roman" w:eastAsia="宋体" w:cs="Times New Roman"/>
        </w:rPr>
        <w:t>11</w:t>
      </w:r>
      <w:r>
        <w:rPr>
          <w:rFonts w:ascii="Times New Roman" w:hAnsi="Times New Roman" w:eastAsia="宋体" w:cs="Times New Roman"/>
        </w:rPr>
        <w:fldChar w:fldCharType="end"/>
      </w:r>
      <w:r>
        <w:rPr>
          <w:rFonts w:ascii="Times New Roman" w:hAnsi="Times New Roman" w:eastAsia="宋体" w:cs="Times New Roman"/>
        </w:rPr>
        <w:fldChar w:fldCharType="end"/>
      </w:r>
    </w:p>
    <w:p w14:paraId="72418E6B">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"_Toc92183892" </w:instrText>
      </w:r>
      <w:r>
        <w:fldChar w:fldCharType="separate"/>
      </w:r>
      <w:r>
        <w:rPr>
          <w:rStyle w:val="14"/>
          <w:rFonts w:ascii="Times New Roman" w:hAnsi="Times New Roman" w:eastAsia="宋体" w:cs="Times New Roman"/>
          <w:lang w:eastAsia="zh-CN"/>
        </w:rPr>
        <w:t xml:space="preserve">6.2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临床评价过程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_Toc92183892 \h </w:instrText>
      </w:r>
      <w:r>
        <w:rPr>
          <w:rFonts w:ascii="Times New Roman" w:hAnsi="Times New Roman" w:eastAsia="宋体" w:cs="Times New Roman"/>
        </w:rPr>
        <w:fldChar w:fldCharType="separate"/>
      </w:r>
      <w:r>
        <w:rPr>
          <w:rFonts w:ascii="Times New Roman" w:hAnsi="Times New Roman" w:eastAsia="宋体" w:cs="Times New Roman"/>
        </w:rPr>
        <w:t>12</w:t>
      </w:r>
      <w:r>
        <w:rPr>
          <w:rFonts w:ascii="Times New Roman" w:hAnsi="Times New Roman" w:eastAsia="宋体" w:cs="Times New Roman"/>
        </w:rPr>
        <w:fldChar w:fldCharType="end"/>
      </w:r>
      <w:r>
        <w:rPr>
          <w:rFonts w:ascii="Times New Roman" w:hAnsi="Times New Roman" w:eastAsia="宋体" w:cs="Times New Roman"/>
        </w:rPr>
        <w:fldChar w:fldCharType="end"/>
      </w:r>
    </w:p>
    <w:p w14:paraId="5801A451">
      <w:pPr>
        <w:pStyle w:val="8"/>
        <w:rPr>
          <w:color w:val="auto"/>
          <w:kern w:val="2"/>
          <w:sz w:val="21"/>
          <w:szCs w:val="22"/>
          <w:lang w:bidi="ar-SA"/>
        </w:rPr>
      </w:pPr>
      <w:r>
        <w:fldChar w:fldCharType="begin"/>
      </w:r>
      <w:r>
        <w:instrText xml:space="preserve"> HYPERLINK \l "_Toc92183893" </w:instrText>
      </w:r>
      <w:r>
        <w:fldChar w:fldCharType="separate"/>
      </w:r>
      <w:r>
        <w:rPr>
          <w:rStyle w:val="14"/>
        </w:rPr>
        <w:t xml:space="preserve">7.0 </w:t>
      </w:r>
      <w:r>
        <w:rPr>
          <w:rStyle w:val="14"/>
        </w:rPr>
        <w:tab/>
      </w:r>
      <w:r>
        <w:rPr>
          <w:rStyle w:val="14"/>
        </w:rPr>
        <w:t>SaMD临床评价过程流程图</w:t>
      </w:r>
      <w:r>
        <w:tab/>
      </w:r>
      <w:r>
        <w:fldChar w:fldCharType="begin"/>
      </w:r>
      <w:r>
        <w:instrText xml:space="preserve"> PAGEREF _Toc92183893 \h </w:instrText>
      </w:r>
      <w:r>
        <w:fldChar w:fldCharType="separate"/>
      </w:r>
      <w:r>
        <w:t>13</w:t>
      </w:r>
      <w:r>
        <w:fldChar w:fldCharType="end"/>
      </w:r>
      <w:r>
        <w:fldChar w:fldCharType="end"/>
      </w:r>
    </w:p>
    <w:p w14:paraId="5209A498">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"_Toc92183894" </w:instrText>
      </w:r>
      <w:r>
        <w:fldChar w:fldCharType="separate"/>
      </w:r>
      <w:r>
        <w:rPr>
          <w:rStyle w:val="14"/>
          <w:rFonts w:ascii="Times New Roman" w:hAnsi="Times New Roman" w:eastAsia="宋体" w:cs="Times New Roman"/>
          <w:lang w:eastAsia="zh-CN"/>
        </w:rPr>
        <w:t xml:space="preserve">7.1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证据生成和评估考虑因素</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_Toc92183894 \h </w:instrText>
      </w:r>
      <w:r>
        <w:rPr>
          <w:rFonts w:ascii="Times New Roman" w:hAnsi="Times New Roman" w:eastAsia="宋体" w:cs="Times New Roman"/>
        </w:rPr>
        <w:fldChar w:fldCharType="separate"/>
      </w:r>
      <w:r>
        <w:rPr>
          <w:rFonts w:ascii="Times New Roman" w:hAnsi="Times New Roman" w:eastAsia="宋体" w:cs="Times New Roman"/>
        </w:rPr>
        <w:t>15</w:t>
      </w:r>
      <w:r>
        <w:rPr>
          <w:rFonts w:ascii="Times New Roman" w:hAnsi="Times New Roman" w:eastAsia="宋体" w:cs="Times New Roman"/>
        </w:rPr>
        <w:fldChar w:fldCharType="end"/>
      </w:r>
      <w:r>
        <w:rPr>
          <w:rFonts w:ascii="Times New Roman" w:hAnsi="Times New Roman" w:eastAsia="宋体" w:cs="Times New Roman"/>
        </w:rPr>
        <w:fldChar w:fldCharType="end"/>
      </w:r>
    </w:p>
    <w:p w14:paraId="56FC4E02">
      <w:pPr>
        <w:pStyle w:val="8"/>
        <w:rPr>
          <w:color w:val="auto"/>
          <w:kern w:val="2"/>
          <w:sz w:val="21"/>
          <w:szCs w:val="22"/>
          <w:lang w:bidi="ar-SA"/>
        </w:rPr>
      </w:pPr>
      <w:r>
        <w:fldChar w:fldCharType="begin"/>
      </w:r>
      <w:r>
        <w:instrText xml:space="preserve"> HYPERLINK \l "_Toc92183895" </w:instrText>
      </w:r>
      <w:r>
        <w:fldChar w:fldCharType="separate"/>
      </w:r>
      <w:r>
        <w:rPr>
          <w:rStyle w:val="14"/>
        </w:rPr>
        <w:t xml:space="preserve">8.0 </w:t>
      </w:r>
      <w:r>
        <w:rPr>
          <w:rStyle w:val="14"/>
        </w:rPr>
        <w:tab/>
      </w:r>
      <w:r>
        <w:rPr>
          <w:rStyle w:val="14"/>
        </w:rPr>
        <w:t>独立审查SaMD临床评价的重要性</w:t>
      </w:r>
      <w:r>
        <w:tab/>
      </w:r>
      <w:r>
        <w:fldChar w:fldCharType="begin"/>
      </w:r>
      <w:r>
        <w:instrText xml:space="preserve"> PAGEREF _Toc92183895 \h </w:instrText>
      </w:r>
      <w:r>
        <w:fldChar w:fldCharType="separate"/>
      </w:r>
      <w:r>
        <w:t>16</w:t>
      </w:r>
      <w:r>
        <w:fldChar w:fldCharType="end"/>
      </w:r>
      <w:r>
        <w:fldChar w:fldCharType="end"/>
      </w:r>
    </w:p>
    <w:p w14:paraId="2849870F">
      <w:pPr>
        <w:pStyle w:val="8"/>
        <w:rPr>
          <w:color w:val="auto"/>
          <w:kern w:val="2"/>
          <w:sz w:val="21"/>
          <w:szCs w:val="22"/>
          <w:lang w:bidi="ar-SA"/>
        </w:rPr>
      </w:pPr>
      <w:r>
        <w:fldChar w:fldCharType="begin"/>
      </w:r>
      <w:r>
        <w:instrText xml:space="preserve"> HYPERLINK \l "_Toc92183896" </w:instrText>
      </w:r>
      <w:r>
        <w:fldChar w:fldCharType="separate"/>
      </w:r>
      <w:r>
        <w:rPr>
          <w:rStyle w:val="14"/>
        </w:rPr>
        <w:t xml:space="preserve">9.0 </w:t>
      </w:r>
      <w:r>
        <w:rPr>
          <w:rStyle w:val="14"/>
        </w:rPr>
        <w:tab/>
      </w:r>
      <w:r>
        <w:rPr>
          <w:rStyle w:val="14"/>
        </w:rPr>
        <w:t>利用真实世界性能数据持续学习的途径</w:t>
      </w:r>
      <w:r>
        <w:tab/>
      </w:r>
      <w:r>
        <w:fldChar w:fldCharType="begin"/>
      </w:r>
      <w:r>
        <w:instrText xml:space="preserve"> PAGEREF _Toc92183896 \h </w:instrText>
      </w:r>
      <w:r>
        <w:fldChar w:fldCharType="separate"/>
      </w:r>
      <w:r>
        <w:t>18</w:t>
      </w:r>
      <w:r>
        <w:fldChar w:fldCharType="end"/>
      </w:r>
      <w:r>
        <w:fldChar w:fldCharType="end"/>
      </w:r>
    </w:p>
    <w:p w14:paraId="27CF063E">
      <w:pPr>
        <w:pStyle w:val="9"/>
        <w:rPr>
          <w:rFonts w:ascii="Times New Roman" w:hAnsi="Times New Roman" w:eastAsia="宋体" w:cs="Times New Roman"/>
          <w:color w:val="auto"/>
          <w:kern w:val="2"/>
          <w:sz w:val="21"/>
          <w:szCs w:val="22"/>
          <w:lang w:eastAsia="zh-CN" w:bidi="ar-SA"/>
        </w:rPr>
      </w:pPr>
      <w:r>
        <w:fldChar w:fldCharType="begin"/>
      </w:r>
      <w:r>
        <w:instrText xml:space="preserve"> HYPERLINK \l "_Toc92183897" </w:instrText>
      </w:r>
      <w:r>
        <w:fldChar w:fldCharType="separate"/>
      </w:r>
      <w:r>
        <w:rPr>
          <w:rStyle w:val="14"/>
          <w:rFonts w:ascii="Times New Roman" w:hAnsi="Times New Roman" w:eastAsia="宋体" w:cs="Times New Roman"/>
          <w:lang w:eastAsia="zh-CN"/>
        </w:rPr>
        <w:t xml:space="preserve">9.1 </w:t>
      </w:r>
      <w:r>
        <w:rPr>
          <w:rFonts w:ascii="Times New Roman" w:hAnsi="Times New Roman" w:eastAsia="宋体" w:cs="Times New Roman"/>
          <w:color w:val="auto"/>
          <w:kern w:val="2"/>
          <w:sz w:val="21"/>
          <w:szCs w:val="22"/>
          <w:lang w:eastAsia="zh-CN" w:bidi="ar-SA"/>
        </w:rPr>
        <w:tab/>
      </w:r>
      <w:r>
        <w:rPr>
          <w:rStyle w:val="14"/>
          <w:rFonts w:ascii="Times New Roman" w:hAnsi="Times New Roman" w:eastAsia="宋体" w:cs="Times New Roman"/>
          <w:lang w:eastAsia="zh-CN"/>
        </w:rPr>
        <w:t>利用真实世界性能数据持续学习的考虑因素</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_Toc92183897 \h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fldChar w:fldCharType="end"/>
      </w:r>
    </w:p>
    <w:p w14:paraId="4C2F506A">
      <w:pPr>
        <w:pStyle w:val="8"/>
        <w:rPr>
          <w:color w:val="auto"/>
          <w:kern w:val="2"/>
          <w:sz w:val="21"/>
          <w:szCs w:val="22"/>
          <w:lang w:bidi="ar-SA"/>
        </w:rPr>
      </w:pPr>
      <w:r>
        <w:fldChar w:fldCharType="begin"/>
      </w:r>
      <w:r>
        <w:instrText xml:space="preserve"> HYPERLINK \l "_Toc92183898" </w:instrText>
      </w:r>
      <w:r>
        <w:fldChar w:fldCharType="separate"/>
      </w:r>
      <w:r>
        <w:rPr>
          <w:rStyle w:val="14"/>
        </w:rPr>
        <w:t>附录- GHTF/SG5N7:2012</w:t>
      </w:r>
      <w:r>
        <w:rPr>
          <w:rStyle w:val="14"/>
          <w:i/>
          <w:vertAlign w:val="superscript"/>
        </w:rPr>
        <w:t>[13]</w:t>
      </w:r>
      <w:r>
        <w:rPr>
          <w:rStyle w:val="14"/>
        </w:rPr>
        <w:t>中SaMD临床评价过程与体外诊断医疗器械临床证据生成过程的比较</w:t>
      </w:r>
      <w:r>
        <w:tab/>
      </w:r>
      <w:r>
        <w:fldChar w:fldCharType="begin"/>
      </w:r>
      <w:r>
        <w:instrText xml:space="preserve"> PAGEREF _Toc92183898 \h </w:instrText>
      </w:r>
      <w:r>
        <w:fldChar w:fldCharType="separate"/>
      </w:r>
      <w:r>
        <w:t>21</w:t>
      </w:r>
      <w:r>
        <w:fldChar w:fldCharType="end"/>
      </w:r>
      <w:r>
        <w:fldChar w:fldCharType="end"/>
      </w:r>
    </w:p>
    <w:p w14:paraId="4E2CCED2">
      <w:pPr>
        <w:pStyle w:val="8"/>
        <w:rPr>
          <w:color w:val="auto"/>
          <w:kern w:val="2"/>
          <w:sz w:val="21"/>
          <w:szCs w:val="22"/>
          <w:lang w:bidi="ar-SA"/>
        </w:rPr>
      </w:pPr>
      <w:r>
        <w:fldChar w:fldCharType="begin"/>
      </w:r>
      <w:r>
        <w:instrText xml:space="preserve"> HYPERLINK \l "_Toc92183899" </w:instrText>
      </w:r>
      <w:r>
        <w:fldChar w:fldCharType="separate"/>
      </w:r>
      <w:r>
        <w:rPr>
          <w:rStyle w:val="14"/>
        </w:rPr>
        <w:t>参考文献</w:t>
      </w:r>
      <w:r>
        <w:tab/>
      </w:r>
      <w:r>
        <w:fldChar w:fldCharType="begin"/>
      </w:r>
      <w:r>
        <w:instrText xml:space="preserve"> PAGEREF _Toc92183899 \h </w:instrText>
      </w:r>
      <w:r>
        <w:fldChar w:fldCharType="separate"/>
      </w:r>
      <w:r>
        <w:t>22</w:t>
      </w:r>
      <w:r>
        <w:fldChar w:fldCharType="end"/>
      </w:r>
      <w:r>
        <w:fldChar w:fldCharType="end"/>
      </w:r>
    </w:p>
    <w:p w14:paraId="28071FBD">
      <w:pPr>
        <w:pStyle w:val="8"/>
        <w:rPr>
          <w:color w:val="auto"/>
          <w:kern w:val="2"/>
          <w:sz w:val="21"/>
          <w:szCs w:val="22"/>
          <w:lang w:bidi="ar-SA"/>
        </w:rPr>
      </w:pPr>
      <w:r>
        <w:fldChar w:fldCharType="begin"/>
      </w:r>
      <w:r>
        <w:instrText xml:space="preserve"> HYPERLINK \l "_Toc92183900" </w:instrText>
      </w:r>
      <w:r>
        <w:fldChar w:fldCharType="separate"/>
      </w:r>
      <w:r>
        <w:rPr>
          <w:rStyle w:val="14"/>
        </w:rPr>
        <w:t>术语表</w:t>
      </w:r>
      <w:r>
        <w:tab/>
      </w:r>
      <w:r>
        <w:fldChar w:fldCharType="begin"/>
      </w:r>
      <w:r>
        <w:instrText xml:space="preserve"> PAGEREF _Toc92183900 \h </w:instrText>
      </w:r>
      <w:r>
        <w:fldChar w:fldCharType="separate"/>
      </w:r>
      <w:r>
        <w:t>24</w:t>
      </w:r>
      <w:r>
        <w:fldChar w:fldCharType="end"/>
      </w:r>
      <w:r>
        <w:fldChar w:fldCharType="end"/>
      </w:r>
    </w:p>
    <w:p w14:paraId="34595A25">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Times New Roman"/>
          <w:snapToGrid w:val="0"/>
        </w:rPr>
        <w:fldChar w:fldCharType="end"/>
      </w:r>
    </w:p>
    <w:p w14:paraId="62E41807">
      <w:pPr>
        <w:rPr>
          <w:rFonts w:ascii="Times New Roman" w:hAnsi="Times New Roman" w:eastAsia="宋体" w:cs="Times New Roman"/>
          <w:snapToGrid w:val="0"/>
        </w:rPr>
      </w:pPr>
      <w:r>
        <w:rPr>
          <w:rFonts w:ascii="Times New Roman" w:hAnsi="Times New Roman" w:eastAsia="宋体" w:cs="宋体"/>
        </w:rPr>
        <w:br w:type="page"/>
      </w:r>
    </w:p>
    <w:p w14:paraId="637AB588">
      <w:pPr>
        <w:pStyle w:val="17"/>
        <w:adjustRightInd w:val="0"/>
        <w:snapToGrid w:val="0"/>
        <w:spacing w:before="120" w:beforeLines="50" w:after="0" w:line="300" w:lineRule="auto"/>
        <w:jc w:val="both"/>
        <w:rPr>
          <w:rFonts w:eastAsia="宋体"/>
          <w:snapToGrid w:val="0"/>
          <w:sz w:val="32"/>
          <w:szCs w:val="32"/>
          <w:lang w:eastAsia="zh-CN"/>
        </w:rPr>
      </w:pPr>
      <w:r>
        <w:rPr>
          <w:rFonts w:eastAsia="宋体" w:cs="宋体"/>
          <w:b/>
          <w:sz w:val="32"/>
          <w:lang w:eastAsia="zh-CN"/>
        </w:rPr>
        <w:t>前言</w:t>
      </w:r>
    </w:p>
    <w:p w14:paraId="75931F4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本文件由国际医疗器械监管机构论坛（IMDRF）制定，该论坛是由来自全球的医疗器械监管机构组成的一个志愿组织。本文件的编制过程已征求了多方意见。</w:t>
      </w:r>
    </w:p>
    <w:p w14:paraId="2825120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本文件的复制、分发和使用不受限；但是，将本文件部分或全部并入其他文件，或将其翻译成英语以外的其他语言，均不表示或代表已获得国际医疗器械监管机构论坛的认可。</w:t>
      </w:r>
    </w:p>
    <w:p w14:paraId="3131B252">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5A92BF77">
      <w:pPr>
        <w:pStyle w:val="36"/>
        <w:rPr>
          <w:rFonts w:eastAsia="宋体"/>
          <w:lang w:eastAsia="zh-CN"/>
        </w:rPr>
      </w:pPr>
      <w:bookmarkStart w:id="0" w:name="_Toc92183881"/>
      <w:r>
        <w:rPr>
          <w:rFonts w:eastAsia="宋体" w:cs="宋体"/>
          <w:lang w:eastAsia="zh-CN"/>
        </w:rPr>
        <w:t>1.0 执行摘要</w:t>
      </w:r>
      <w:bookmarkEnd w:id="0"/>
    </w:p>
    <w:p w14:paraId="4AC8239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是国际医疗器械监管机构论坛（IMDRF）发布的第四版文件，为全球监管机构提供了一种途径，使术语、基于风险的框架、对质量管理体系原则的理解趋于统一，并且本文件还提供了使医疗器械独立软件（SaMD）对用户</w:t>
      </w:r>
      <w:r>
        <w:rPr>
          <w:rFonts w:ascii="Times New Roman" w:hAnsi="Times New Roman" w:eastAsia="宋体" w:cs="宋体"/>
          <w:vertAlign w:val="superscript"/>
          <w:lang w:eastAsia="zh-CN"/>
        </w:rPr>
        <w:t>1</w:t>
      </w:r>
      <w:r>
        <w:rPr>
          <w:rFonts w:ascii="Times New Roman" w:hAnsi="Times New Roman" w:eastAsia="宋体" w:cs="宋体"/>
          <w:lang w:eastAsia="zh-CN"/>
        </w:rPr>
        <w:t>具有临床意义的方法。本文件侧重于对SaMD进行临床评价所需的活动，并依赖于读者从之前版本的文件中获取知识，作为本文件的先决条件。</w:t>
      </w:r>
    </w:p>
    <w:p w14:paraId="7B0AAFF2">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本文件和之前版本的文件提供了可供各个管辖区根据各自的监管框架予以采用的统一原则。这些原则并非法规。</w:t>
      </w:r>
    </w:p>
    <w:p w14:paraId="640CD16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本文件描述了一种计划SaMD（</w:t>
      </w:r>
      <w:r>
        <w:rPr>
          <w:rFonts w:ascii="Times New Roman" w:hAnsi="Times New Roman" w:eastAsia="宋体" w:cs="宋体"/>
          <w:i/>
          <w:color w:val="0000FF"/>
          <w:u w:val="single"/>
          <w:lang w:eastAsia="zh-CN"/>
        </w:rPr>
        <w:t>SaMD N10</w:t>
      </w:r>
      <w:r>
        <w:rPr>
          <w:rFonts w:ascii="Times New Roman" w:hAnsi="Times New Roman" w:eastAsia="宋体" w:cs="宋体"/>
          <w:vertAlign w:val="superscript"/>
          <w:lang w:eastAsia="zh-CN"/>
        </w:rPr>
        <w:t>[1]2</w:t>
      </w:r>
      <w:r>
        <w:rPr>
          <w:rFonts w:ascii="Times New Roman" w:hAnsi="Times New Roman" w:eastAsia="宋体" w:cs="宋体"/>
          <w:lang w:eastAsia="zh-CN"/>
        </w:rPr>
        <w:t>中定义的具有医疗用途的软件）临床评价过程的统一方法，如图1所示，旨在确定：</w:t>
      </w:r>
    </w:p>
    <w:p w14:paraId="5ACAF579">
      <w:pPr>
        <w:pStyle w:val="37"/>
        <w:numPr>
          <w:ilvl w:val="0"/>
          <w:numId w:val="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SaMD输出与目标临床状况（包括病理过程或状态）之间存在有效的临床关联；和</w:t>
      </w:r>
    </w:p>
    <w:p w14:paraId="3738099C">
      <w:pPr>
        <w:pStyle w:val="37"/>
        <w:numPr>
          <w:ilvl w:val="0"/>
          <w:numId w:val="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SaMD可提供预期的技术和临床数据。</w:t>
      </w:r>
    </w:p>
    <w:tbl>
      <w:tblPr>
        <w:tblStyle w:val="11"/>
        <w:tblW w:w="0" w:type="auto"/>
        <w:tblInd w:w="0" w:type="dxa"/>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Layout w:type="fixed"/>
        <w:tblCellMar>
          <w:top w:w="0" w:type="dxa"/>
          <w:left w:w="108" w:type="dxa"/>
          <w:bottom w:w="0" w:type="dxa"/>
          <w:right w:w="108" w:type="dxa"/>
        </w:tblCellMar>
      </w:tblPr>
      <w:tblGrid>
        <w:gridCol w:w="3053"/>
        <w:gridCol w:w="3096"/>
        <w:gridCol w:w="3355"/>
      </w:tblGrid>
      <w:tr w14:paraId="47A96059">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9504" w:type="dxa"/>
            <w:gridSpan w:val="3"/>
            <w:shd w:val="clear" w:color="auto" w:fill="7F7F7F"/>
            <w:vAlign w:val="center"/>
          </w:tcPr>
          <w:p w14:paraId="7BD579AA">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临床评价</w:t>
            </w:r>
          </w:p>
        </w:tc>
      </w:tr>
      <w:tr w14:paraId="2A88D295">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3053" w:type="dxa"/>
            <w:shd w:val="clear" w:color="auto" w:fill="1F487C"/>
            <w:vAlign w:val="center"/>
          </w:tcPr>
          <w:p w14:paraId="47E21E42">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有效临床关联</w:t>
            </w:r>
          </w:p>
        </w:tc>
        <w:tc>
          <w:tcPr>
            <w:tcW w:w="3096" w:type="dxa"/>
            <w:shd w:val="clear" w:color="auto" w:fill="0071C1"/>
            <w:vAlign w:val="center"/>
          </w:tcPr>
          <w:p w14:paraId="48AFA158">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分析确认</w:t>
            </w:r>
          </w:p>
        </w:tc>
        <w:tc>
          <w:tcPr>
            <w:tcW w:w="3355" w:type="dxa"/>
            <w:shd w:val="clear" w:color="auto" w:fill="7030A0"/>
            <w:vAlign w:val="center"/>
          </w:tcPr>
          <w:p w14:paraId="14CD7EDE">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临床确认</w:t>
            </w:r>
          </w:p>
        </w:tc>
      </w:tr>
      <w:tr w14:paraId="43FC128F">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3053" w:type="dxa"/>
            <w:shd w:val="clear" w:color="auto" w:fill="1F487C"/>
            <w:vAlign w:val="center"/>
          </w:tcPr>
          <w:p w14:paraId="5E035FFD">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SaMD输出与SaMD目标临床状况之间是否存在有效的临床关联？</w:t>
            </w:r>
          </w:p>
        </w:tc>
        <w:tc>
          <w:tcPr>
            <w:tcW w:w="3096" w:type="dxa"/>
            <w:shd w:val="clear" w:color="auto" w:fill="0071C1"/>
            <w:vAlign w:val="center"/>
          </w:tcPr>
          <w:p w14:paraId="42866026">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SaMD是否对输入数据进行了正确处理，从而生成准确、可靠且精确的输出数据？</w:t>
            </w:r>
          </w:p>
        </w:tc>
        <w:tc>
          <w:tcPr>
            <w:tcW w:w="3355" w:type="dxa"/>
            <w:shd w:val="clear" w:color="auto" w:fill="7030A0"/>
            <w:vAlign w:val="center"/>
          </w:tcPr>
          <w:p w14:paraId="38237995">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使用SaMD的准确、可靠且精确的输出数据是否在临床护理的目标人群中达到预期目的？</w:t>
            </w:r>
          </w:p>
        </w:tc>
      </w:tr>
    </w:tbl>
    <w:p w14:paraId="3860D217">
      <w:pPr>
        <w:pStyle w:val="27"/>
        <w:adjustRightInd w:val="0"/>
        <w:snapToGrid w:val="0"/>
        <w:spacing w:before="120" w:beforeLines="50" w:line="300" w:lineRule="auto"/>
        <w:jc w:val="center"/>
        <w:rPr>
          <w:rFonts w:eastAsia="宋体"/>
          <w:snapToGrid w:val="0"/>
          <w:sz w:val="24"/>
          <w:szCs w:val="24"/>
          <w:lang w:eastAsia="zh-CN"/>
        </w:rPr>
      </w:pPr>
      <w:r>
        <w:rPr>
          <w:rFonts w:eastAsia="宋体" w:cs="宋体"/>
          <w:b/>
          <w:sz w:val="24"/>
          <w:lang w:eastAsia="zh-CN"/>
        </w:rPr>
        <w:t>图1 - 临床评价过程</w:t>
      </w:r>
    </w:p>
    <w:p w14:paraId="75688389">
      <w:pPr>
        <w:adjustRightInd w:val="0"/>
        <w:snapToGrid w:val="0"/>
        <w:spacing w:before="120" w:beforeLines="50" w:line="300" w:lineRule="auto"/>
        <w:jc w:val="both"/>
        <w:rPr>
          <w:rFonts w:ascii="Times New Roman" w:hAnsi="Times New Roman" w:eastAsia="宋体" w:cs="Times New Roman"/>
          <w:snapToGrid w:val="0"/>
          <w:lang w:eastAsia="zh-CN"/>
        </w:rPr>
      </w:pPr>
    </w:p>
    <w:p w14:paraId="458B0E0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从之前版本的文件中获取的知识对于理解本文件中的信息至关重要。本文件建立在先前介绍的词汇、基于风险的考虑因素以及SaMD生命周期过程和活动的基础上，旨在帮助强调对于成功至关重要的临床考虑因素和SaMD的运用，如图2所示。</w:t>
      </w:r>
    </w:p>
    <w:p w14:paraId="02A6656F">
      <w:pPr>
        <w:adjustRightInd w:val="0"/>
        <w:snapToGrid w:val="0"/>
        <w:spacing w:before="120" w:beforeLines="50" w:line="300" w:lineRule="auto"/>
        <w:jc w:val="both"/>
        <w:rPr>
          <w:rFonts w:ascii="Times New Roman" w:hAnsi="Times New Roman" w:eastAsia="宋体" w:cs="Times New Roman"/>
          <w:snapToGrid w:val="0"/>
          <w:lang w:eastAsia="zh-CN"/>
        </w:rPr>
      </w:pPr>
    </w:p>
    <w:p w14:paraId="448E17F5">
      <w:pPr>
        <w:adjustRightInd w:val="0"/>
        <w:snapToGrid w:val="0"/>
        <w:spacing w:before="120" w:beforeLines="50" w:line="300" w:lineRule="auto"/>
        <w:jc w:val="both"/>
        <w:rPr>
          <w:rFonts w:ascii="Times New Roman" w:hAnsi="Times New Roman" w:eastAsia="宋体" w:cs="Times New Roman"/>
          <w:snapToGrid w:val="0"/>
          <w:lang w:eastAsia="zh-CN"/>
        </w:rPr>
      </w:pPr>
    </w:p>
    <w:p w14:paraId="1A39FA89">
      <w:pPr>
        <w:adjustRightInd w:val="0"/>
        <w:snapToGrid w:val="0"/>
        <w:spacing w:before="120" w:beforeLines="50" w:line="300" w:lineRule="auto"/>
        <w:jc w:val="both"/>
        <w:rPr>
          <w:rFonts w:ascii="Times New Roman" w:hAnsi="Times New Roman" w:eastAsia="宋体" w:cs="Times New Roman"/>
          <w:snapToGrid w:val="0"/>
          <w:lang w:eastAsia="zh-CN"/>
        </w:rPr>
      </w:pPr>
    </w:p>
    <w:p w14:paraId="3D4D0CCC">
      <w:pPr>
        <w:adjustRightInd w:val="0"/>
        <w:snapToGrid w:val="0"/>
        <w:spacing w:before="120" w:beforeLines="50" w:line="300" w:lineRule="auto"/>
        <w:jc w:val="both"/>
        <w:rPr>
          <w:rFonts w:ascii="Times New Roman" w:hAnsi="Times New Roman" w:eastAsia="宋体" w:cs="Times New Roman"/>
          <w:snapToGrid w:val="0"/>
          <w:lang w:eastAsia="zh-CN"/>
        </w:rPr>
      </w:pPr>
    </w:p>
    <w:p w14:paraId="4FF0BC55">
      <w:pPr>
        <w:adjustRightInd w:val="0"/>
        <w:snapToGrid w:val="0"/>
        <w:spacing w:before="120" w:beforeLines="50" w:line="300" w:lineRule="auto"/>
        <w:jc w:val="both"/>
        <w:rPr>
          <w:rFonts w:ascii="Times New Roman" w:hAnsi="Times New Roman" w:eastAsia="宋体" w:cs="Times New Roman"/>
          <w:snapToGrid w:val="0"/>
          <w:lang w:eastAsia="zh-CN"/>
        </w:rPr>
      </w:pPr>
    </w:p>
    <w:p w14:paraId="6175FAF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_____________________</w:t>
      </w:r>
    </w:p>
    <w:p w14:paraId="062AD49E">
      <w:pPr>
        <w:pStyle w:val="29"/>
        <w:tabs>
          <w:tab w:val="left" w:pos="192"/>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1</w:t>
      </w:r>
      <w:r>
        <w:rPr>
          <w:rFonts w:eastAsia="宋体" w:cs="宋体"/>
          <w:sz w:val="21"/>
          <w:lang w:eastAsia="zh-CN"/>
        </w:rPr>
        <w:t xml:space="preserve"> 用户包括患者、医疗服务提供者、专业人士、非专业用户和消费者。</w:t>
      </w:r>
    </w:p>
    <w:p w14:paraId="342B6BEB">
      <w:pPr>
        <w:pStyle w:val="29"/>
        <w:tabs>
          <w:tab w:val="left" w:pos="216"/>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2</w:t>
      </w:r>
      <w:r>
        <w:rPr>
          <w:rFonts w:eastAsia="宋体" w:cs="宋体"/>
          <w:sz w:val="21"/>
          <w:lang w:eastAsia="zh-CN"/>
        </w:rPr>
        <w:t xml:space="preserve"> 互联网地址（URL）可参见“参考文献”部分。</w:t>
      </w:r>
    </w:p>
    <w:p w14:paraId="765B0278">
      <w:pPr>
        <w:rPr>
          <w:rFonts w:eastAsia="宋体"/>
          <w:b/>
          <w:bCs/>
          <w:snapToGrid w:val="0"/>
          <w:lang w:eastAsia="zh-CN"/>
        </w:rPr>
      </w:pPr>
      <w:r>
        <w:rPr>
          <w:rFonts w:ascii="Times New Roman" w:hAnsi="Times New Roman" w:eastAsia="宋体" w:cs="宋体"/>
          <w:lang w:eastAsia="zh-CN"/>
        </w:rPr>
        <w:br w:type="page"/>
      </w:r>
      <w:r>
        <w:rPr>
          <w:lang w:eastAsia="zh-CN" w:bidi="ar-SA"/>
        </w:rPr>
        <mc:AlternateContent>
          <mc:Choice Requires="wpg">
            <w:drawing>
              <wp:anchor distT="0" distB="0" distL="114300" distR="114300" simplePos="0" relativeHeight="251660288" behindDoc="0" locked="0" layoutInCell="1" allowOverlap="1">
                <wp:simplePos x="0" y="0"/>
                <wp:positionH relativeFrom="column">
                  <wp:posOffset>336550</wp:posOffset>
                </wp:positionH>
                <wp:positionV relativeFrom="paragraph">
                  <wp:posOffset>67310</wp:posOffset>
                </wp:positionV>
                <wp:extent cx="5073015" cy="4601210"/>
                <wp:effectExtent l="0" t="0" r="0" b="9525"/>
                <wp:wrapNone/>
                <wp:docPr id="109" name="组合 109"/>
                <wp:cNvGraphicFramePr/>
                <a:graphic xmlns:a="http://schemas.openxmlformats.org/drawingml/2006/main">
                  <a:graphicData uri="http://schemas.microsoft.com/office/word/2010/wordprocessingGroup">
                    <wpg:wgp>
                      <wpg:cNvGrpSpPr/>
                      <wpg:grpSpPr>
                        <a:xfrm>
                          <a:off x="0" y="0"/>
                          <a:ext cx="5073277" cy="4601117"/>
                          <a:chOff x="0" y="0"/>
                          <a:chExt cx="5073277" cy="4601117"/>
                        </a:xfrm>
                      </wpg:grpSpPr>
                      <wps:wsp>
                        <wps:cNvPr id="88" name="文本框 88"/>
                        <wps:cNvSpPr txBox="1"/>
                        <wps:spPr>
                          <a:xfrm>
                            <a:off x="1963271" y="0"/>
                            <a:ext cx="2186609" cy="2087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C0180">
                              <w:pPr>
                                <w:jc w:val="center"/>
                                <w:rPr>
                                  <w:rFonts w:ascii="Times New Roman" w:hAnsi="Times New Roman" w:eastAsia="宋体" w:cs="Times New Roman"/>
                                  <w:b/>
                                </w:rPr>
                              </w:pPr>
                              <w:r>
                                <w:rPr>
                                  <w:rFonts w:ascii="Times New Roman" w:hAnsi="Times New Roman" w:eastAsia="宋体" w:cs="宋体"/>
                                  <w:b/>
                                </w:rPr>
                                <w:t>SaMD N41</w:t>
                              </w:r>
                              <w:r>
                                <w:rPr>
                                  <w:rFonts w:hint="eastAsia" w:ascii="Times New Roman" w:hAnsi="Times New Roman" w:eastAsia="宋体" w:cs="宋体"/>
                                  <w:b/>
                                </w:rPr>
                                <w:t>临床评价</w:t>
                              </w:r>
                            </w:p>
                          </w:txbxContent>
                        </wps:txbx>
                        <wps:bodyPr rot="0" spcFirstLastPara="0" vertOverflow="overflow" horzOverflow="overflow" vert="horz" wrap="square" lIns="0" tIns="0" rIns="0" bIns="0" numCol="1" spcCol="0" rtlCol="0" fromWordArt="0" anchor="ctr" anchorCtr="0" forceAA="0" compatLnSpc="1">
                          <a:noAutofit/>
                        </wps:bodyPr>
                      </wps:wsp>
                      <wps:wsp>
                        <wps:cNvPr id="89" name="文本框 89"/>
                        <wps:cNvSpPr txBox="1"/>
                        <wps:spPr>
                          <a:xfrm>
                            <a:off x="1066800" y="295836"/>
                            <a:ext cx="1689652" cy="111318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86D50">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临床关联</w:t>
                              </w:r>
                            </w:p>
                            <w:p w14:paraId="41F67ED0">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SaMD输出与临床状况之间的临床关联</w:t>
                              </w:r>
                            </w:p>
                            <w:p w14:paraId="286BC901">
                              <w:pPr>
                                <w:jc w:val="center"/>
                                <w:rPr>
                                  <w:rFonts w:ascii="Times New Roman" w:hAnsi="Times New Roman" w:eastAsia="宋体" w:cs="Times New Roman"/>
                                  <w:sz w:val="18"/>
                                  <w:szCs w:val="18"/>
                                  <w:lang w:eastAsia="zh-CN"/>
                                </w:rPr>
                              </w:pPr>
                            </w:p>
                            <w:p w14:paraId="4A0B043A">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文献检索、原始临床研究、专业协会指南、二次数据分析、临床试验</w:t>
                              </w:r>
                            </w:p>
                          </w:txbxContent>
                        </wps:txbx>
                        <wps:bodyPr rot="0" spcFirstLastPara="0" vertOverflow="overflow" horzOverflow="overflow" vert="horz" wrap="square" lIns="0" tIns="0" rIns="0" bIns="0" numCol="1" spcCol="0" rtlCol="0" fromWordArt="0" anchor="ctr" anchorCtr="0" forceAA="0" compatLnSpc="1">
                          <a:noAutofit/>
                        </wps:bodyPr>
                      </wps:wsp>
                      <wps:wsp>
                        <wps:cNvPr id="90" name="文本框 90"/>
                        <wps:cNvSpPr txBox="1"/>
                        <wps:spPr>
                          <a:xfrm>
                            <a:off x="3218330" y="295836"/>
                            <a:ext cx="1689100" cy="298173"/>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BA61F">
                              <w:pPr>
                                <w:jc w:val="center"/>
                                <w:rPr>
                                  <w:rFonts w:ascii="Times New Roman" w:hAnsi="Times New Roman" w:eastAsia="宋体" w:cs="Times New Roman"/>
                                  <w:b/>
                                  <w:sz w:val="18"/>
                                  <w:szCs w:val="18"/>
                                </w:rPr>
                              </w:pPr>
                              <w:r>
                                <w:rPr>
                                  <w:rFonts w:ascii="Times New Roman" w:hAnsi="Times New Roman" w:eastAsia="宋体" w:cs="宋体"/>
                                  <w:b/>
                                  <w:sz w:val="18"/>
                                </w:rPr>
                                <w:t>产品性能</w:t>
                              </w:r>
                            </w:p>
                            <w:p w14:paraId="7370E2FA">
                              <w:pPr>
                                <w:jc w:val="center"/>
                                <w:rPr>
                                  <w:rFonts w:ascii="Times New Roman" w:hAnsi="Times New Roman" w:eastAsia="宋体" w:cs="Times New Roman"/>
                                  <w:i/>
                                  <w:sz w:val="18"/>
                                  <w:szCs w:val="18"/>
                                </w:rPr>
                              </w:pPr>
                              <w:r>
                                <w:rPr>
                                  <w:rFonts w:ascii="Times New Roman" w:hAnsi="Times New Roman" w:eastAsia="宋体" w:cs="宋体"/>
                                  <w:i/>
                                  <w:sz w:val="18"/>
                                </w:rPr>
                                <w:t>验证和确认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91" name="文本框 91"/>
                        <wps:cNvSpPr txBox="1"/>
                        <wps:spPr>
                          <a:xfrm>
                            <a:off x="2967318" y="645459"/>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89084">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分析/技术确认</w:t>
                              </w:r>
                            </w:p>
                            <w:p w14:paraId="3F1CC80F">
                              <w:pPr>
                                <w:jc w:val="center"/>
                                <w:rPr>
                                  <w:rFonts w:ascii="Times New Roman" w:hAnsi="Times New Roman" w:eastAsia="宋体" w:cs="Times New Roman"/>
                                  <w:b/>
                                  <w:sz w:val="18"/>
                                  <w:szCs w:val="18"/>
                                  <w:lang w:eastAsia="zh-CN"/>
                                </w:rPr>
                              </w:pPr>
                            </w:p>
                            <w:p w14:paraId="4E33B274">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准确度、可靠性、精确度......</w:t>
                              </w:r>
                            </w:p>
                          </w:txbxContent>
                        </wps:txbx>
                        <wps:bodyPr rot="0" spcFirstLastPara="0" vertOverflow="overflow" horzOverflow="overflow" vert="horz" wrap="square" lIns="0" tIns="0" rIns="0" bIns="0" numCol="1" spcCol="0" rtlCol="0" fromWordArt="0" anchor="ctr" anchorCtr="0" forceAA="0" compatLnSpc="1">
                          <a:noAutofit/>
                        </wps:bodyPr>
                      </wps:wsp>
                      <wps:wsp>
                        <wps:cNvPr id="92" name="文本框 92"/>
                        <wps:cNvSpPr txBox="1"/>
                        <wps:spPr>
                          <a:xfrm>
                            <a:off x="4069977" y="654424"/>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B0BA0">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临床确认</w:t>
                              </w:r>
                            </w:p>
                            <w:p w14:paraId="0729C9E7">
                              <w:pPr>
                                <w:jc w:val="center"/>
                                <w:rPr>
                                  <w:rFonts w:ascii="Times New Roman" w:hAnsi="Times New Roman" w:eastAsia="宋体" w:cs="Times New Roman"/>
                                  <w:i/>
                                  <w:sz w:val="18"/>
                                  <w:szCs w:val="18"/>
                                  <w:lang w:eastAsia="zh-CN"/>
                                </w:rPr>
                              </w:pPr>
                            </w:p>
                            <w:p w14:paraId="69334F0C">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灵敏度、特异性、比值比......</w:t>
                              </w:r>
                            </w:p>
                          </w:txbxContent>
                        </wps:txbx>
                        <wps:bodyPr rot="0" spcFirstLastPara="0" vertOverflow="overflow" horzOverflow="overflow" vert="horz" wrap="square" lIns="0" tIns="0" rIns="0" bIns="0" numCol="1" spcCol="0" rtlCol="0" fromWordArt="0" anchor="ctr" anchorCtr="0" forceAA="0" compatLnSpc="1">
                          <a:noAutofit/>
                        </wps:bodyPr>
                      </wps:wsp>
                      <wps:wsp>
                        <wps:cNvPr id="93" name="文本框 93"/>
                        <wps:cNvSpPr txBox="1"/>
                        <wps:spPr>
                          <a:xfrm>
                            <a:off x="4007224" y="1766047"/>
                            <a:ext cx="765313"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269E5">
                              <w:pPr>
                                <w:jc w:val="center"/>
                                <w:rPr>
                                  <w:rFonts w:ascii="Times New Roman" w:hAnsi="Times New Roman" w:eastAsia="宋体" w:cs="Times New Roman"/>
                                  <w:b/>
                                  <w:i/>
                                  <w:sz w:val="15"/>
                                  <w:szCs w:val="15"/>
                                </w:rPr>
                              </w:pPr>
                              <w:r>
                                <w:rPr>
                                  <w:rFonts w:hint="eastAsia" w:ascii="Times New Roman" w:hAnsi="Times New Roman" w:eastAsia="宋体" w:cs="宋体"/>
                                  <w:b/>
                                  <w:i/>
                                  <w:sz w:val="14"/>
                                </w:rPr>
                                <w:t>验证和确认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94" name="文本框 94"/>
                        <wps:cNvSpPr txBox="1"/>
                        <wps:spPr>
                          <a:xfrm>
                            <a:off x="0" y="1739153"/>
                            <a:ext cx="1997765" cy="12622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0E7DE">
                              <w:pPr>
                                <w:jc w:val="center"/>
                                <w:rPr>
                                  <w:rFonts w:ascii="Times New Roman" w:hAnsi="Times New Roman" w:eastAsia="宋体" w:cs="Times New Roman"/>
                                  <w:b/>
                                  <w:sz w:val="16"/>
                                  <w:szCs w:val="16"/>
                                  <w:lang w:eastAsia="zh-CN"/>
                                </w:rPr>
                              </w:pPr>
                              <w:r>
                                <w:rPr>
                                  <w:rFonts w:ascii="Times New Roman" w:hAnsi="Times New Roman" w:eastAsia="宋体" w:cs="宋体"/>
                                  <w:b/>
                                  <w:sz w:val="16"/>
                                  <w:lang w:eastAsia="zh-CN"/>
                                </w:rPr>
                                <w:t>SaMD定义表述</w:t>
                              </w:r>
                            </w:p>
                            <w:p w14:paraId="0A1BE992">
                              <w:pPr>
                                <w:ind w:left="320"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SaMD的预期医疗用途</w:t>
                              </w:r>
                            </w:p>
                            <w:p w14:paraId="6BDC492C">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治疗</w:t>
                              </w:r>
                              <w:r>
                                <w:rPr>
                                  <w:rFonts w:hint="eastAsia" w:ascii="Times New Roman" w:hAnsi="Times New Roman" w:eastAsia="宋体" w:cs="宋体"/>
                                  <w:sz w:val="16"/>
                                  <w:lang w:eastAsia="zh-CN"/>
                                </w:rPr>
                                <w:t>或</w:t>
                              </w:r>
                              <w:r>
                                <w:rPr>
                                  <w:rFonts w:ascii="Times New Roman" w:hAnsi="Times New Roman" w:eastAsia="宋体" w:cs="宋体"/>
                                  <w:sz w:val="16"/>
                                  <w:lang w:eastAsia="zh-CN"/>
                                </w:rPr>
                                <w:t>诊断</w:t>
                              </w:r>
                            </w:p>
                            <w:p w14:paraId="7CF01398">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推动临床管理</w:t>
                              </w:r>
                            </w:p>
                            <w:p w14:paraId="212C9CBD">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告知临床管理</w:t>
                              </w:r>
                            </w:p>
                            <w:p w14:paraId="4785D580">
                              <w:pPr>
                                <w:ind w:left="320"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SaMD目标医疗情况或状况</w:t>
                              </w:r>
                            </w:p>
                            <w:p w14:paraId="745C7D58">
                              <w:pPr>
                                <w:ind w:left="709" w:leftChars="162" w:hanging="320" w:hangingChars="200"/>
                                <w:rPr>
                                  <w:rFonts w:ascii="Times New Roman" w:hAnsi="Times New Roman" w:eastAsia="宋体" w:cs="Times New Roman"/>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危急</w:t>
                              </w:r>
                            </w:p>
                            <w:p w14:paraId="1B417DC0">
                              <w:pPr>
                                <w:ind w:left="709" w:leftChars="162" w:hanging="320" w:hangingChars="200"/>
                                <w:rPr>
                                  <w:rFonts w:ascii="Times New Roman" w:hAnsi="Times New Roman" w:eastAsia="宋体" w:cs="Times New Roman"/>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严重</w:t>
                              </w:r>
                            </w:p>
                            <w:p w14:paraId="3A81EE11">
                              <w:pPr>
                                <w:ind w:left="709" w:leftChars="162" w:hanging="320" w:hangingChars="200"/>
                                <w:rPr>
                                  <w:rFonts w:ascii="Times New Roman" w:hAnsi="Times New Roman" w:eastAsia="宋体" w:cs="Times New Roman"/>
                                  <w:i/>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95" name="文本框 95"/>
                        <wps:cNvSpPr txBox="1"/>
                        <wps:spPr>
                          <a:xfrm>
                            <a:off x="304800" y="3110753"/>
                            <a:ext cx="1381539" cy="11926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F5924">
                              <w:pPr>
                                <w:jc w:val="center"/>
                                <w:rPr>
                                  <w:rFonts w:ascii="Times New Roman" w:hAnsi="Times New Roman" w:eastAsia="宋体" w:cs="Times New Roman"/>
                                  <w:i/>
                                  <w:sz w:val="16"/>
                                  <w:szCs w:val="16"/>
                                </w:rPr>
                              </w:pPr>
                              <w:r>
                                <w:rPr>
                                  <w:rFonts w:ascii="Times New Roman" w:hAnsi="Times New Roman" w:eastAsia="宋体" w:cs="宋体"/>
                                  <w:b/>
                                  <w:sz w:val="16"/>
                                </w:rPr>
                                <w:t>SaMD类别</w:t>
                              </w:r>
                            </w:p>
                          </w:txbxContent>
                        </wps:txbx>
                        <wps:bodyPr rot="0" spcFirstLastPara="0" vertOverflow="overflow" horzOverflow="overflow" vert="horz" wrap="square" lIns="0" tIns="0" rIns="0" bIns="0" numCol="1" spcCol="0" rtlCol="0" fromWordArt="0" anchor="ctr" anchorCtr="0" forceAA="0" compatLnSpc="1">
                          <a:noAutofit/>
                        </wps:bodyPr>
                      </wps:wsp>
                      <wps:wsp>
                        <wps:cNvPr id="96" name="文本框 96"/>
                        <wps:cNvSpPr txBox="1"/>
                        <wps:spPr>
                          <a:xfrm>
                            <a:off x="609600" y="3290047"/>
                            <a:ext cx="340066" cy="25693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8425B">
                              <w:pPr>
                                <w:jc w:val="center"/>
                                <w:rPr>
                                  <w:rFonts w:ascii="Times New Roman" w:hAnsi="Times New Roman" w:eastAsia="宋体" w:cs="Times New Roman"/>
                                  <w:i/>
                                  <w:sz w:val="11"/>
                                  <w:szCs w:val="11"/>
                                </w:rPr>
                              </w:pPr>
                              <w:r>
                                <w:rPr>
                                  <w:rFonts w:ascii="Times New Roman" w:hAnsi="Times New Roman" w:eastAsia="宋体" w:cs="宋体"/>
                                  <w:sz w:val="10"/>
                                </w:rPr>
                                <w:t>治疗或诊断</w:t>
                              </w:r>
                            </w:p>
                          </w:txbxContent>
                        </wps:txbx>
                        <wps:bodyPr rot="0" spcFirstLastPara="0" vertOverflow="overflow" horzOverflow="overflow" vert="horz" wrap="square" lIns="0" tIns="0" rIns="0" bIns="0" numCol="1" spcCol="0" rtlCol="0" fromWordArt="0" anchor="ctr" anchorCtr="0" forceAA="0" compatLnSpc="1">
                          <a:noAutofit/>
                        </wps:bodyPr>
                      </wps:wsp>
                      <wps:wsp>
                        <wps:cNvPr id="97" name="文本框 97"/>
                        <wps:cNvSpPr txBox="1"/>
                        <wps:spPr>
                          <a:xfrm>
                            <a:off x="977153" y="3290047"/>
                            <a:ext cx="339725" cy="2565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1D851">
                              <w:pPr>
                                <w:ind w:left="60" w:leftChars="25" w:right="60" w:rightChars="25"/>
                                <w:jc w:val="center"/>
                                <w:rPr>
                                  <w:rFonts w:ascii="Times New Roman" w:hAnsi="Times New Roman" w:eastAsia="宋体" w:cs="Times New Roman"/>
                                  <w:i/>
                                  <w:sz w:val="11"/>
                                  <w:szCs w:val="11"/>
                                </w:rPr>
                              </w:pPr>
                              <w:r>
                                <w:rPr>
                                  <w:rFonts w:ascii="Times New Roman" w:hAnsi="Times New Roman" w:eastAsia="宋体" w:cs="宋体"/>
                                  <w:sz w:val="10"/>
                                </w:rPr>
                                <w:t>推动临床管理</w:t>
                              </w:r>
                            </w:p>
                          </w:txbxContent>
                        </wps:txbx>
                        <wps:bodyPr rot="0" spcFirstLastPara="0" vertOverflow="overflow" horzOverflow="overflow" vert="horz" wrap="square" lIns="0" tIns="0" rIns="0" bIns="0" numCol="1" spcCol="0" rtlCol="0" fromWordArt="0" anchor="ctr" anchorCtr="0" forceAA="0" compatLnSpc="1">
                          <a:noAutofit/>
                        </wps:bodyPr>
                      </wps:wsp>
                      <wps:wsp>
                        <wps:cNvPr id="98" name="文本框 98"/>
                        <wps:cNvSpPr txBox="1"/>
                        <wps:spPr>
                          <a:xfrm>
                            <a:off x="1353671" y="3299012"/>
                            <a:ext cx="339725" cy="2565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ACEF6">
                              <w:pPr>
                                <w:ind w:left="60" w:leftChars="25" w:right="60" w:rightChars="25"/>
                                <w:jc w:val="center"/>
                                <w:rPr>
                                  <w:rFonts w:ascii="Times New Roman" w:hAnsi="Times New Roman" w:eastAsia="宋体" w:cs="Times New Roman"/>
                                  <w:i/>
                                  <w:sz w:val="11"/>
                                  <w:szCs w:val="11"/>
                                </w:rPr>
                              </w:pPr>
                              <w:r>
                                <w:rPr>
                                  <w:rFonts w:ascii="Times New Roman" w:hAnsi="Times New Roman" w:eastAsia="宋体" w:cs="宋体"/>
                                  <w:sz w:val="10"/>
                                </w:rPr>
                                <w:t>告知临床管理</w:t>
                              </w:r>
                            </w:p>
                          </w:txbxContent>
                        </wps:txbx>
                        <wps:bodyPr rot="0" spcFirstLastPara="0" vertOverflow="overflow" horzOverflow="overflow" vert="horz" wrap="square" lIns="0" tIns="0" rIns="0" bIns="0" numCol="1" spcCol="0" rtlCol="0" fromWordArt="0" anchor="ctr" anchorCtr="0" forceAA="0" compatLnSpc="1">
                          <a:noAutofit/>
                        </wps:bodyPr>
                      </wps:wsp>
                      <wps:wsp>
                        <wps:cNvPr id="99" name="文本框 99"/>
                        <wps:cNvSpPr txBox="1"/>
                        <wps:spPr>
                          <a:xfrm>
                            <a:off x="304800" y="3621741"/>
                            <a:ext cx="264496" cy="12091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C9F178">
                              <w:pPr>
                                <w:rPr>
                                  <w:rFonts w:ascii="Times New Roman" w:hAnsi="Times New Roman" w:eastAsia="宋体" w:cs="Times New Roman"/>
                                  <w:i/>
                                  <w:sz w:val="11"/>
                                  <w:szCs w:val="11"/>
                                </w:rPr>
                              </w:pPr>
                              <w:r>
                                <w:rPr>
                                  <w:rFonts w:ascii="Times New Roman" w:hAnsi="Times New Roman" w:eastAsia="宋体" w:cs="宋体"/>
                                  <w:sz w:val="10"/>
                                </w:rPr>
                                <w:t>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100" name="文本框 100"/>
                        <wps:cNvSpPr txBox="1"/>
                        <wps:spPr>
                          <a:xfrm>
                            <a:off x="313765" y="3827930"/>
                            <a:ext cx="264160" cy="1206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0B1B0">
                              <w:pPr>
                                <w:rPr>
                                  <w:rFonts w:ascii="Times New Roman" w:hAnsi="Times New Roman" w:eastAsia="宋体" w:cs="Times New Roman"/>
                                  <w:i/>
                                  <w:sz w:val="11"/>
                                  <w:szCs w:val="11"/>
                                </w:rPr>
                              </w:pPr>
                              <w:r>
                                <w:rPr>
                                  <w:rFonts w:ascii="Times New Roman" w:hAnsi="Times New Roman" w:eastAsia="宋体" w:cs="宋体"/>
                                  <w:sz w:val="10"/>
                                </w:rPr>
                                <w:t>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01" name="文本框 101"/>
                        <wps:cNvSpPr txBox="1"/>
                        <wps:spPr>
                          <a:xfrm>
                            <a:off x="313765" y="4025153"/>
                            <a:ext cx="256603" cy="15869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167CE">
                              <w:pPr>
                                <w:rPr>
                                  <w:rFonts w:ascii="Times New Roman" w:hAnsi="Times New Roman" w:eastAsia="宋体" w:cs="Times New Roman"/>
                                  <w:i/>
                                  <w:sz w:val="11"/>
                                  <w:szCs w:val="11"/>
                                </w:rPr>
                              </w:pPr>
                              <w:r>
                                <w:rPr>
                                  <w:rFonts w:ascii="Times New Roman" w:hAnsi="Times New Roman" w:eastAsia="宋体" w:cs="宋体"/>
                                  <w:sz w:val="10"/>
                                </w:rPr>
                                <w:t>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02" name="文本框 102"/>
                        <wps:cNvSpPr txBox="1"/>
                        <wps:spPr>
                          <a:xfrm>
                            <a:off x="53789" y="4276165"/>
                            <a:ext cx="1919485" cy="32495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F7797">
                              <w:pPr>
                                <w:jc w:val="center"/>
                                <w:rPr>
                                  <w:rFonts w:ascii="Times New Roman" w:hAnsi="Times New Roman" w:eastAsia="宋体" w:cs="Times New Roman"/>
                                  <w:i/>
                                  <w:sz w:val="18"/>
                                  <w:szCs w:val="18"/>
                                  <w:lang w:eastAsia="zh-CN"/>
                                </w:rPr>
                              </w:pPr>
                              <w:r>
                                <w:rPr>
                                  <w:rFonts w:ascii="Times New Roman" w:hAnsi="Times New Roman" w:eastAsia="宋体" w:cs="宋体"/>
                                  <w:b/>
                                  <w:sz w:val="18"/>
                                  <w:lang w:eastAsia="zh-CN"/>
                                </w:rPr>
                                <w:t>SaMD N12</w:t>
                              </w:r>
                              <w:r>
                                <w:rPr>
                                  <w:rFonts w:ascii="Times New Roman" w:hAnsi="Times New Roman" w:eastAsia="宋体" w:cs="宋体"/>
                                  <w:sz w:val="18"/>
                                  <w:lang w:eastAsia="zh-CN"/>
                                </w:rPr>
                                <w:t>风险分类框架</w:t>
                              </w:r>
                            </w:p>
                          </w:txbxContent>
                        </wps:txbx>
                        <wps:bodyPr rot="0" spcFirstLastPara="0" vertOverflow="overflow" horzOverflow="overflow" vert="horz" wrap="square" lIns="0" tIns="0" rIns="0" bIns="0" numCol="1" spcCol="0" rtlCol="0" fromWordArt="0" anchor="ctr" anchorCtr="0" forceAA="0" compatLnSpc="1">
                          <a:noAutofit/>
                        </wps:bodyPr>
                      </wps:wsp>
                      <wps:wsp>
                        <wps:cNvPr id="103" name="文本框 103"/>
                        <wps:cNvSpPr txBox="1"/>
                        <wps:spPr>
                          <a:xfrm>
                            <a:off x="2635624" y="1792941"/>
                            <a:ext cx="1328252" cy="136026"/>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712BC">
                              <w:pPr>
                                <w:jc w:val="center"/>
                                <w:rPr>
                                  <w:rFonts w:ascii="Times New Roman" w:hAnsi="Times New Roman" w:eastAsia="宋体" w:cs="Times New Roman"/>
                                  <w:i/>
                                  <w:sz w:val="15"/>
                                  <w:szCs w:val="15"/>
                                </w:rPr>
                              </w:pPr>
                              <w:r>
                                <w:rPr>
                                  <w:rFonts w:ascii="Times New Roman" w:hAnsi="Times New Roman" w:eastAsia="宋体" w:cs="宋体"/>
                                  <w:i/>
                                  <w:sz w:val="14"/>
                                </w:rPr>
                                <w:t>要求、设计、开发、</w:t>
                              </w:r>
                            </w:p>
                          </w:txbxContent>
                        </wps:txbx>
                        <wps:bodyPr rot="0" spcFirstLastPara="0" vertOverflow="overflow" horzOverflow="overflow" vert="horz" wrap="square" lIns="0" tIns="0" rIns="0" bIns="0" numCol="1" spcCol="0" rtlCol="0" fromWordArt="0" anchor="ctr" anchorCtr="0" forceAA="0" compatLnSpc="1">
                          <a:noAutofit/>
                        </wps:bodyPr>
                      </wps:wsp>
                      <wps:wsp>
                        <wps:cNvPr id="104" name="文本框 104"/>
                        <wps:cNvSpPr txBox="1"/>
                        <wps:spPr>
                          <a:xfrm>
                            <a:off x="3164542" y="1909483"/>
                            <a:ext cx="1327785" cy="13589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9D9A9">
                              <w:pPr>
                                <w:rPr>
                                  <w:rFonts w:ascii="Times New Roman" w:hAnsi="Times New Roman" w:eastAsia="宋体" w:cs="Times New Roman"/>
                                  <w:i/>
                                  <w:sz w:val="15"/>
                                  <w:szCs w:val="15"/>
                                </w:rPr>
                              </w:pPr>
                              <w:r>
                                <w:rPr>
                                  <w:rFonts w:ascii="Times New Roman" w:hAnsi="Times New Roman" w:eastAsia="宋体" w:cs="宋体"/>
                                  <w:i/>
                                  <w:sz w:val="14"/>
                                </w:rPr>
                                <w:t>部署、维护、弃用</w:t>
                              </w:r>
                            </w:p>
                          </w:txbxContent>
                        </wps:txbx>
                        <wps:bodyPr rot="0" spcFirstLastPara="0" vertOverflow="overflow" horzOverflow="overflow" vert="horz" wrap="square" lIns="0" tIns="0" rIns="0" bIns="0" numCol="1" spcCol="0" rtlCol="0" fromWordArt="0" anchor="ctr" anchorCtr="0" forceAA="0" compatLnSpc="1">
                          <a:noAutofit/>
                        </wps:bodyPr>
                      </wps:wsp>
                      <wps:wsp>
                        <wps:cNvPr id="105" name="文本框 105"/>
                        <wps:cNvSpPr txBox="1"/>
                        <wps:spPr>
                          <a:xfrm>
                            <a:off x="2725271" y="2034988"/>
                            <a:ext cx="2019641"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2AED4">
                              <w:pPr>
                                <w:jc w:val="center"/>
                                <w:rPr>
                                  <w:rFonts w:ascii="Times New Roman" w:hAnsi="Times New Roman" w:eastAsia="宋体" w:cs="Times New Roman"/>
                                  <w:b/>
                                  <w:sz w:val="15"/>
                                  <w:szCs w:val="15"/>
                                  <w:lang w:eastAsia="zh-CN"/>
                                </w:rPr>
                              </w:pPr>
                              <w:r>
                                <w:rPr>
                                  <w:rFonts w:ascii="Times New Roman" w:hAnsi="Times New Roman" w:eastAsia="宋体" w:cs="宋体"/>
                                  <w:b/>
                                  <w:sz w:val="14"/>
                                  <w:lang w:eastAsia="zh-CN"/>
                                </w:rPr>
                                <w:t>SaMD实现和使用过程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106" name="文本框 106"/>
                        <wps:cNvSpPr txBox="1"/>
                        <wps:spPr>
                          <a:xfrm>
                            <a:off x="2644589" y="2214283"/>
                            <a:ext cx="2109984" cy="362738"/>
                          </a:xfrm>
                          <a:prstGeom prst="rect">
                            <a:avLst/>
                          </a:prstGeom>
                          <a:solidFill>
                            <a:srgbClr val="C4BD9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8B08B">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计划、</w:t>
                              </w:r>
                              <w:r>
                                <w:rPr>
                                  <w:rFonts w:ascii="Times New Roman" w:hAnsi="Times New Roman" w:eastAsia="宋体" w:cs="宋体"/>
                                  <w:b/>
                                  <w:i/>
                                  <w:sz w:val="14"/>
                                  <w:lang w:eastAsia="zh-CN"/>
                                </w:rPr>
                                <w:t>风险管理</w:t>
                              </w:r>
                              <w:r>
                                <w:rPr>
                                  <w:rFonts w:ascii="Times New Roman" w:hAnsi="Times New Roman" w:eastAsia="宋体" w:cs="宋体"/>
                                  <w:i/>
                                  <w:sz w:val="14"/>
                                  <w:lang w:eastAsia="zh-CN"/>
                                </w:rPr>
                                <w:t>、</w:t>
                              </w:r>
                              <w:r>
                                <w:rPr>
                                  <w:rFonts w:hint="eastAsia" w:ascii="Times New Roman" w:hAnsi="Times New Roman" w:eastAsia="宋体" w:cs="宋体"/>
                                  <w:i/>
                                  <w:sz w:val="14"/>
                                  <w:lang w:eastAsia="zh-CN"/>
                                </w:rPr>
                                <w:t>记录</w:t>
                              </w:r>
                              <w:r>
                                <w:rPr>
                                  <w:rFonts w:ascii="Times New Roman" w:hAnsi="Times New Roman" w:eastAsia="宋体" w:cs="宋体"/>
                                  <w:i/>
                                  <w:sz w:val="14"/>
                                  <w:lang w:eastAsia="zh-CN"/>
                                </w:rPr>
                                <w:t>、配置、测量、外包</w:t>
                              </w:r>
                            </w:p>
                            <w:p w14:paraId="7F9993B1">
                              <w:pPr>
                                <w:jc w:val="center"/>
                                <w:rPr>
                                  <w:rFonts w:ascii="Times New Roman" w:hAnsi="Times New Roman" w:eastAsia="宋体" w:cs="Times New Roman"/>
                                  <w:b/>
                                  <w:sz w:val="15"/>
                                  <w:szCs w:val="15"/>
                                </w:rPr>
                              </w:pPr>
                              <w:r>
                                <w:rPr>
                                  <w:rFonts w:ascii="Times New Roman" w:hAnsi="Times New Roman" w:eastAsia="宋体" w:cs="宋体"/>
                                  <w:b/>
                                  <w:sz w:val="14"/>
                                </w:rPr>
                                <w:t>SaMD生命周期支持过程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107" name="文本框 107"/>
                        <wps:cNvSpPr txBox="1"/>
                        <wps:spPr>
                          <a:xfrm>
                            <a:off x="2554942" y="2626659"/>
                            <a:ext cx="2297336" cy="362585"/>
                          </a:xfrm>
                          <a:prstGeom prst="rect">
                            <a:avLst/>
                          </a:prstGeom>
                          <a:solidFill>
                            <a:srgbClr val="FCD5B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29FED">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人员、基础设施、工作环境</w:t>
                              </w:r>
                            </w:p>
                            <w:p w14:paraId="0C6E067E">
                              <w:pPr>
                                <w:jc w:val="center"/>
                                <w:rPr>
                                  <w:rFonts w:ascii="Times New Roman" w:hAnsi="Times New Roman" w:eastAsia="宋体" w:cs="Times New Roman"/>
                                  <w:b/>
                                  <w:sz w:val="15"/>
                                  <w:szCs w:val="15"/>
                                </w:rPr>
                              </w:pPr>
                              <w:r>
                                <w:rPr>
                                  <w:rFonts w:ascii="Times New Roman" w:hAnsi="Times New Roman" w:eastAsia="宋体" w:cs="宋体"/>
                                  <w:b/>
                                  <w:sz w:val="14"/>
                                </w:rPr>
                                <w:t>领导力和组织支持</w:t>
                              </w:r>
                            </w:p>
                          </w:txbxContent>
                        </wps:txbx>
                        <wps:bodyPr rot="0" spcFirstLastPara="0" vertOverflow="overflow" horzOverflow="overflow" vert="horz" wrap="square" lIns="0" tIns="0" rIns="0" bIns="0" numCol="1" spcCol="0" rtlCol="0" fromWordArt="0" anchor="ctr" anchorCtr="0" forceAA="0" compatLnSpc="1">
                          <a:noAutofit/>
                        </wps:bodyPr>
                      </wps:wsp>
                      <wps:wsp>
                        <wps:cNvPr id="108" name="文本框 108"/>
                        <wps:cNvSpPr txBox="1"/>
                        <wps:spPr>
                          <a:xfrm>
                            <a:off x="2554942" y="3074894"/>
                            <a:ext cx="2346562" cy="219007"/>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595E9">
                              <w:pPr>
                                <w:jc w:val="center"/>
                                <w:rPr>
                                  <w:rFonts w:ascii="Times New Roman" w:hAnsi="Times New Roman" w:eastAsia="宋体" w:cs="Times New Roman"/>
                                  <w:i/>
                                  <w:sz w:val="18"/>
                                  <w:szCs w:val="18"/>
                                </w:rPr>
                              </w:pPr>
                              <w:r>
                                <w:rPr>
                                  <w:rFonts w:ascii="Times New Roman" w:hAnsi="Times New Roman" w:eastAsia="宋体" w:cs="宋体"/>
                                  <w:b/>
                                  <w:sz w:val="18"/>
                                </w:rPr>
                                <w:t>SaMD N23质量管理体系</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26.5pt;margin-top:5.3pt;height:362.3pt;width:399.45pt;z-index:251660288;mso-width-relative:page;mso-height-relative:page;" coordsize="5073277,4601117" o:gfxdata="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DXFOQvaAAAACQEAAA8AAAAAAAAAAQAgAAAAIgAAAGRycy9kb3ducmV2LnhtbFBLAQIUABQA&#10;AAAIAIdO4kBeWdwLYgYAALM8AAAOAAAAAAAAAAEAIAAAACkBAABkcnMvZTJvRG9jLnhtbFBLBQYA&#10;AAAABgAGAFkBAAD9CQAAAAA=&#10;">
                <o:lock v:ext="edit" aspectratio="f"/>
                <v:shape id="_x0000_s1026" o:spid="_x0000_s1026" o:spt="202" type="#_x0000_t202" style="position:absolute;left:1963271;top:0;height:208721;width:2186609;v-text-anchor:middle;" fillcolor="#FFFFFF [3212]" filled="t" stroked="f" coordsize="21600,21600" o:gfxdata="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XKaYugAAANs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7E6C0180">
                        <w:pPr>
                          <w:jc w:val="center"/>
                          <w:rPr>
                            <w:rFonts w:ascii="Times New Roman" w:hAnsi="Times New Roman" w:eastAsia="宋体" w:cs="Times New Roman"/>
                            <w:b/>
                          </w:rPr>
                        </w:pPr>
                        <w:r>
                          <w:rPr>
                            <w:rFonts w:ascii="Times New Roman" w:hAnsi="Times New Roman" w:eastAsia="宋体" w:cs="宋体"/>
                            <w:b/>
                          </w:rPr>
                          <w:t>SaMD N41</w:t>
                        </w:r>
                        <w:r>
                          <w:rPr>
                            <w:rFonts w:hint="eastAsia" w:ascii="Times New Roman" w:hAnsi="Times New Roman" w:eastAsia="宋体" w:cs="宋体"/>
                            <w:b/>
                          </w:rPr>
                          <w:t>临床评价</w:t>
                        </w:r>
                      </w:p>
                    </w:txbxContent>
                  </v:textbox>
                </v:shape>
                <v:shape id="_x0000_s1026" o:spid="_x0000_s1026" o:spt="202" type="#_x0000_t202" style="position:absolute;left:1066800;top:295836;height:1113182;width:1689652;v-text-anchor:middle;" fillcolor="#D9D9D9" filled="t" stroked="f" coordsize="21600,21600" o:gfxdata="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ZhEY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78286D50">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临床关联</w:t>
                        </w:r>
                      </w:p>
                      <w:p w14:paraId="41F67ED0">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SaMD输出与临床状况之间的临床关联</w:t>
                        </w:r>
                      </w:p>
                      <w:p w14:paraId="286BC901">
                        <w:pPr>
                          <w:jc w:val="center"/>
                          <w:rPr>
                            <w:rFonts w:ascii="Times New Roman" w:hAnsi="Times New Roman" w:eastAsia="宋体" w:cs="Times New Roman"/>
                            <w:sz w:val="18"/>
                            <w:szCs w:val="18"/>
                            <w:lang w:eastAsia="zh-CN"/>
                          </w:rPr>
                        </w:pPr>
                      </w:p>
                      <w:p w14:paraId="4A0B043A">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文献检索、原始临床研究、专业协会指南、二次数据分析、临床试验</w:t>
                        </w:r>
                      </w:p>
                    </w:txbxContent>
                  </v:textbox>
                </v:shape>
                <v:shape id="_x0000_s1026" o:spid="_x0000_s1026" o:spt="202" type="#_x0000_t202" style="position:absolute;left:3218330;top:295836;height:298173;width:1689100;v-text-anchor:middle;" fillcolor="#D9D9D9" filled="t" stroked="f" coordsize="21600,21600" o:gfxdata="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4UuWLsAAADb&#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678BA61F">
                        <w:pPr>
                          <w:jc w:val="center"/>
                          <w:rPr>
                            <w:rFonts w:ascii="Times New Roman" w:hAnsi="Times New Roman" w:eastAsia="宋体" w:cs="Times New Roman"/>
                            <w:b/>
                            <w:sz w:val="18"/>
                            <w:szCs w:val="18"/>
                          </w:rPr>
                        </w:pPr>
                        <w:r>
                          <w:rPr>
                            <w:rFonts w:ascii="Times New Roman" w:hAnsi="Times New Roman" w:eastAsia="宋体" w:cs="宋体"/>
                            <w:b/>
                            <w:sz w:val="18"/>
                          </w:rPr>
                          <w:t>产品性能</w:t>
                        </w:r>
                      </w:p>
                      <w:p w14:paraId="7370E2FA">
                        <w:pPr>
                          <w:jc w:val="center"/>
                          <w:rPr>
                            <w:rFonts w:ascii="Times New Roman" w:hAnsi="Times New Roman" w:eastAsia="宋体" w:cs="Times New Roman"/>
                            <w:i/>
                            <w:sz w:val="18"/>
                            <w:szCs w:val="18"/>
                          </w:rPr>
                        </w:pPr>
                        <w:r>
                          <w:rPr>
                            <w:rFonts w:ascii="Times New Roman" w:hAnsi="Times New Roman" w:eastAsia="宋体" w:cs="宋体"/>
                            <w:i/>
                            <w:sz w:val="18"/>
                          </w:rPr>
                          <w:t>验证和确认</w:t>
                        </w:r>
                      </w:p>
                    </w:txbxContent>
                  </v:textbox>
                </v:shape>
                <v:shape id="_x0000_s1026" o:spid="_x0000_s1026" o:spt="202" type="#_x0000_t202" style="position:absolute;left:2967318;top:645459;height:784860;width:1003300;v-text-anchor:middle;" fillcolor="#D9D9D9" filled="t" stroked="f" coordsize="21600,21600" o:gfxdata="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yYvD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11889084">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分析/技术确认</w:t>
                        </w:r>
                      </w:p>
                      <w:p w14:paraId="3F1CC80F">
                        <w:pPr>
                          <w:jc w:val="center"/>
                          <w:rPr>
                            <w:rFonts w:ascii="Times New Roman" w:hAnsi="Times New Roman" w:eastAsia="宋体" w:cs="Times New Roman"/>
                            <w:b/>
                            <w:sz w:val="18"/>
                            <w:szCs w:val="18"/>
                            <w:lang w:eastAsia="zh-CN"/>
                          </w:rPr>
                        </w:pPr>
                      </w:p>
                      <w:p w14:paraId="4E33B274">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准确度、可靠性、精确度......</w:t>
                        </w:r>
                      </w:p>
                    </w:txbxContent>
                  </v:textbox>
                </v:shape>
                <v:shape id="_x0000_s1026" o:spid="_x0000_s1026" o:spt="202" type="#_x0000_t202" style="position:absolute;left:4069977;top:654424;height:784860;width:1003300;v-text-anchor:middle;" fillcolor="#D9D9D9" filled="t" stroked="f" coordsize="21600,21600" o:gfxdata="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GxW0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4FEB0BA0">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临床确认</w:t>
                        </w:r>
                      </w:p>
                      <w:p w14:paraId="0729C9E7">
                        <w:pPr>
                          <w:jc w:val="center"/>
                          <w:rPr>
                            <w:rFonts w:ascii="Times New Roman" w:hAnsi="Times New Roman" w:eastAsia="宋体" w:cs="Times New Roman"/>
                            <w:i/>
                            <w:sz w:val="18"/>
                            <w:szCs w:val="18"/>
                            <w:lang w:eastAsia="zh-CN"/>
                          </w:rPr>
                        </w:pPr>
                      </w:p>
                      <w:p w14:paraId="69334F0C">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灵敏度、特异性、比值比......</w:t>
                        </w:r>
                      </w:p>
                    </w:txbxContent>
                  </v:textbox>
                </v:shape>
                <v:shape id="_x0000_s1026" o:spid="_x0000_s1026" o:spt="202" type="#_x0000_t202" style="position:absolute;left:4007224;top:1766047;height:108000;width:765313;v-text-anchor:middle;" fillcolor="#B7DEE8" filled="t" stroked="f" coordsize="21600,21600" o:gfxdata="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0Kfe8AAAA&#10;2w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0D5269E5">
                        <w:pPr>
                          <w:jc w:val="center"/>
                          <w:rPr>
                            <w:rFonts w:ascii="Times New Roman" w:hAnsi="Times New Roman" w:eastAsia="宋体" w:cs="Times New Roman"/>
                            <w:b/>
                            <w:i/>
                            <w:sz w:val="15"/>
                            <w:szCs w:val="15"/>
                          </w:rPr>
                        </w:pPr>
                        <w:r>
                          <w:rPr>
                            <w:rFonts w:hint="eastAsia" w:ascii="Times New Roman" w:hAnsi="Times New Roman" w:eastAsia="宋体" w:cs="宋体"/>
                            <w:b/>
                            <w:i/>
                            <w:sz w:val="14"/>
                          </w:rPr>
                          <w:t>验证和确认</w:t>
                        </w:r>
                      </w:p>
                    </w:txbxContent>
                  </v:textbox>
                </v:shape>
                <v:shape id="_x0000_s1026" o:spid="_x0000_s1026" o:spt="202" type="#_x0000_t202" style="position:absolute;left:0;top:1739153;height:1262270;width:1997765;v-text-anchor:middle;" fillcolor="#FFFFFF [3212]" filled="t" stroked="f" coordsize="21600,21600" o:gfxdata="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DpA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1890E7DE">
                        <w:pPr>
                          <w:jc w:val="center"/>
                          <w:rPr>
                            <w:rFonts w:ascii="Times New Roman" w:hAnsi="Times New Roman" w:eastAsia="宋体" w:cs="Times New Roman"/>
                            <w:b/>
                            <w:sz w:val="16"/>
                            <w:szCs w:val="16"/>
                            <w:lang w:eastAsia="zh-CN"/>
                          </w:rPr>
                        </w:pPr>
                        <w:r>
                          <w:rPr>
                            <w:rFonts w:ascii="Times New Roman" w:hAnsi="Times New Roman" w:eastAsia="宋体" w:cs="宋体"/>
                            <w:b/>
                            <w:sz w:val="16"/>
                            <w:lang w:eastAsia="zh-CN"/>
                          </w:rPr>
                          <w:t>SaMD定义表述</w:t>
                        </w:r>
                      </w:p>
                      <w:p w14:paraId="0A1BE992">
                        <w:pPr>
                          <w:ind w:left="320"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SaMD的预期医疗用途</w:t>
                        </w:r>
                      </w:p>
                      <w:p w14:paraId="6BDC492C">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治疗</w:t>
                        </w:r>
                        <w:r>
                          <w:rPr>
                            <w:rFonts w:hint="eastAsia" w:ascii="Times New Roman" w:hAnsi="Times New Roman" w:eastAsia="宋体" w:cs="宋体"/>
                            <w:sz w:val="16"/>
                            <w:lang w:eastAsia="zh-CN"/>
                          </w:rPr>
                          <w:t>或</w:t>
                        </w:r>
                        <w:r>
                          <w:rPr>
                            <w:rFonts w:ascii="Times New Roman" w:hAnsi="Times New Roman" w:eastAsia="宋体" w:cs="宋体"/>
                            <w:sz w:val="16"/>
                            <w:lang w:eastAsia="zh-CN"/>
                          </w:rPr>
                          <w:t>诊断</w:t>
                        </w:r>
                      </w:p>
                      <w:p w14:paraId="7CF01398">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推动临床管理</w:t>
                        </w:r>
                      </w:p>
                      <w:p w14:paraId="212C9CBD">
                        <w:pPr>
                          <w:ind w:left="709" w:leftChars="162"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告知临床管理</w:t>
                        </w:r>
                      </w:p>
                      <w:p w14:paraId="4785D580">
                        <w:pPr>
                          <w:ind w:left="320" w:hanging="320" w:hangingChars="200"/>
                          <w:rPr>
                            <w:rFonts w:ascii="Times New Roman" w:hAnsi="Times New Roman" w:eastAsia="宋体" w:cs="Times New Roman"/>
                            <w:sz w:val="16"/>
                            <w:szCs w:val="16"/>
                            <w:lang w:eastAsia="zh-CN"/>
                          </w:rPr>
                        </w:pPr>
                        <w:r>
                          <w:rPr>
                            <w:rFonts w:ascii="Times New Roman" w:hAnsi="Times New Roman" w:eastAsia="宋体" w:cs="宋体"/>
                            <w:sz w:val="16"/>
                            <w:lang w:eastAsia="zh-CN"/>
                          </w:rPr>
                          <w:t>•</w:t>
                        </w:r>
                        <w:r>
                          <w:rPr>
                            <w:rFonts w:ascii="Times New Roman" w:hAnsi="Times New Roman" w:eastAsia="宋体" w:cs="宋体"/>
                            <w:sz w:val="16"/>
                            <w:lang w:eastAsia="zh-CN"/>
                          </w:rPr>
                          <w:tab/>
                        </w:r>
                        <w:r>
                          <w:rPr>
                            <w:rFonts w:ascii="Times New Roman" w:hAnsi="Times New Roman" w:eastAsia="宋体" w:cs="宋体"/>
                            <w:sz w:val="16"/>
                            <w:lang w:eastAsia="zh-CN"/>
                          </w:rPr>
                          <w:t>SaMD目标医疗情况或状况</w:t>
                        </w:r>
                      </w:p>
                      <w:p w14:paraId="745C7D58">
                        <w:pPr>
                          <w:ind w:left="709" w:leftChars="162" w:hanging="320" w:hangingChars="200"/>
                          <w:rPr>
                            <w:rFonts w:ascii="Times New Roman" w:hAnsi="Times New Roman" w:eastAsia="宋体" w:cs="Times New Roman"/>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危急</w:t>
                        </w:r>
                      </w:p>
                      <w:p w14:paraId="1B417DC0">
                        <w:pPr>
                          <w:ind w:left="709" w:leftChars="162" w:hanging="320" w:hangingChars="200"/>
                          <w:rPr>
                            <w:rFonts w:ascii="Times New Roman" w:hAnsi="Times New Roman" w:eastAsia="宋体" w:cs="Times New Roman"/>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严重</w:t>
                        </w:r>
                      </w:p>
                      <w:p w14:paraId="3A81EE11">
                        <w:pPr>
                          <w:ind w:left="709" w:leftChars="162" w:hanging="320" w:hangingChars="200"/>
                          <w:rPr>
                            <w:rFonts w:ascii="Times New Roman" w:hAnsi="Times New Roman" w:eastAsia="宋体" w:cs="Times New Roman"/>
                            <w:i/>
                            <w:sz w:val="16"/>
                            <w:szCs w:val="16"/>
                          </w:rPr>
                        </w:pPr>
                        <w:r>
                          <w:rPr>
                            <w:rFonts w:ascii="Times New Roman" w:hAnsi="Times New Roman" w:eastAsia="宋体" w:cs="宋体"/>
                            <w:sz w:val="16"/>
                          </w:rPr>
                          <w:t>-</w:t>
                        </w:r>
                        <w:r>
                          <w:rPr>
                            <w:rFonts w:ascii="Times New Roman" w:hAnsi="Times New Roman" w:eastAsia="宋体" w:cs="宋体"/>
                            <w:sz w:val="16"/>
                          </w:rPr>
                          <w:tab/>
                        </w:r>
                        <w:r>
                          <w:rPr>
                            <w:rFonts w:ascii="Times New Roman" w:hAnsi="Times New Roman" w:eastAsia="宋体" w:cs="宋体"/>
                            <w:sz w:val="16"/>
                          </w:rPr>
                          <w:t>非严重</w:t>
                        </w:r>
                      </w:p>
                    </w:txbxContent>
                  </v:textbox>
                </v:shape>
                <v:shape id="_x0000_s1026" o:spid="_x0000_s1026" o:spt="202" type="#_x0000_t202" style="position:absolute;left:304800;top:3110753;height:119269;width:1381539;v-text-anchor:middle;" fillcolor="#FFFFFF [3212]" filled="t" stroked="f" coordsize="21600,21600" o:gfxdata="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hJ/b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248F5924">
                        <w:pPr>
                          <w:jc w:val="center"/>
                          <w:rPr>
                            <w:rFonts w:ascii="Times New Roman" w:hAnsi="Times New Roman" w:eastAsia="宋体" w:cs="Times New Roman"/>
                            <w:i/>
                            <w:sz w:val="16"/>
                            <w:szCs w:val="16"/>
                          </w:rPr>
                        </w:pPr>
                        <w:r>
                          <w:rPr>
                            <w:rFonts w:ascii="Times New Roman" w:hAnsi="Times New Roman" w:eastAsia="宋体" w:cs="宋体"/>
                            <w:b/>
                            <w:sz w:val="16"/>
                          </w:rPr>
                          <w:t>SaMD类别</w:t>
                        </w:r>
                      </w:p>
                    </w:txbxContent>
                  </v:textbox>
                </v:shape>
                <v:shape id="_x0000_s1026" o:spid="_x0000_s1026" o:spt="202" type="#_x0000_t202" style="position:absolute;left:609600;top:3290047;height:256939;width:340066;v-text-anchor:middle;" fillcolor="#FFFFFF [3212]" filled="t" stroked="f" coordsize="21600,21600" o:gfxdata="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VgGs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11E8425B">
                        <w:pPr>
                          <w:jc w:val="center"/>
                          <w:rPr>
                            <w:rFonts w:ascii="Times New Roman" w:hAnsi="Times New Roman" w:eastAsia="宋体" w:cs="Times New Roman"/>
                            <w:i/>
                            <w:sz w:val="11"/>
                            <w:szCs w:val="11"/>
                          </w:rPr>
                        </w:pPr>
                        <w:r>
                          <w:rPr>
                            <w:rFonts w:ascii="Times New Roman" w:hAnsi="Times New Roman" w:eastAsia="宋体" w:cs="宋体"/>
                            <w:sz w:val="10"/>
                          </w:rPr>
                          <w:t>治疗或诊断</w:t>
                        </w:r>
                      </w:p>
                    </w:txbxContent>
                  </v:textbox>
                </v:shape>
                <v:shape id="_x0000_s1026" o:spid="_x0000_s1026" o:spt="202" type="#_x0000_t202" style="position:absolute;left:977153;top:3290047;height:256540;width:339725;v-text-anchor:middle;" fillcolor="#FFFFFF [3212]" filled="t" stroked="f" coordsize="21600,21600" o:gfxdata="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qQ3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2141D851">
                        <w:pPr>
                          <w:ind w:left="60" w:leftChars="25" w:right="60" w:rightChars="25"/>
                          <w:jc w:val="center"/>
                          <w:rPr>
                            <w:rFonts w:ascii="Times New Roman" w:hAnsi="Times New Roman" w:eastAsia="宋体" w:cs="Times New Roman"/>
                            <w:i/>
                            <w:sz w:val="11"/>
                            <w:szCs w:val="11"/>
                          </w:rPr>
                        </w:pPr>
                        <w:r>
                          <w:rPr>
                            <w:rFonts w:ascii="Times New Roman" w:hAnsi="Times New Roman" w:eastAsia="宋体" w:cs="宋体"/>
                            <w:sz w:val="10"/>
                          </w:rPr>
                          <w:t>推动临床管理</w:t>
                        </w:r>
                      </w:p>
                    </w:txbxContent>
                  </v:textbox>
                </v:shape>
                <v:shape id="_x0000_s1026" o:spid="_x0000_s1026" o:spt="202" type="#_x0000_t202" style="position:absolute;left:1353671;top:3299012;height:256540;width:339725;v-text-anchor:middle;" fillcolor="#FFFFFF [3212]" filled="t" stroked="f" coordsize="21600,21600" o:gfxdata="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hTBFugAAANs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061ACEF6">
                        <w:pPr>
                          <w:ind w:left="60" w:leftChars="25" w:right="60" w:rightChars="25"/>
                          <w:jc w:val="center"/>
                          <w:rPr>
                            <w:rFonts w:ascii="Times New Roman" w:hAnsi="Times New Roman" w:eastAsia="宋体" w:cs="Times New Roman"/>
                            <w:i/>
                            <w:sz w:val="11"/>
                            <w:szCs w:val="11"/>
                          </w:rPr>
                        </w:pPr>
                        <w:r>
                          <w:rPr>
                            <w:rFonts w:ascii="Times New Roman" w:hAnsi="Times New Roman" w:eastAsia="宋体" w:cs="宋体"/>
                            <w:sz w:val="10"/>
                          </w:rPr>
                          <w:t>告知临床管理</w:t>
                        </w:r>
                      </w:p>
                    </w:txbxContent>
                  </v:textbox>
                </v:shape>
                <v:shape id="_x0000_s1026" o:spid="_x0000_s1026" o:spt="202" type="#_x0000_t202" style="position:absolute;left:304800;top:3621741;height:120912;width:264496;v-text-anchor:middle;" fillcolor="#FFFFFF [3212]" filled="t" stroked="f" coordsize="21600,21600" o:gfxdata="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Jld68AAAA&#10;2w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1FC9F178">
                        <w:pPr>
                          <w:rPr>
                            <w:rFonts w:ascii="Times New Roman" w:hAnsi="Times New Roman" w:eastAsia="宋体" w:cs="Times New Roman"/>
                            <w:i/>
                            <w:sz w:val="11"/>
                            <w:szCs w:val="11"/>
                          </w:rPr>
                        </w:pPr>
                        <w:r>
                          <w:rPr>
                            <w:rFonts w:ascii="Times New Roman" w:hAnsi="Times New Roman" w:eastAsia="宋体" w:cs="宋体"/>
                            <w:sz w:val="10"/>
                          </w:rPr>
                          <w:t>危急</w:t>
                        </w:r>
                      </w:p>
                    </w:txbxContent>
                  </v:textbox>
                </v:shape>
                <v:shape id="_x0000_s1026" o:spid="_x0000_s1026" o:spt="202" type="#_x0000_t202" style="position:absolute;left:313765;top:3827930;height:120650;width:264160;v-text-anchor:middle;" fillcolor="#FFFFFF [3212]" filled="t" stroked="f" coordsize="21600,21600" o:gfxdata="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Ae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6150B1B0">
                        <w:pPr>
                          <w:rPr>
                            <w:rFonts w:ascii="Times New Roman" w:hAnsi="Times New Roman" w:eastAsia="宋体" w:cs="Times New Roman"/>
                            <w:i/>
                            <w:sz w:val="11"/>
                            <w:szCs w:val="11"/>
                          </w:rPr>
                        </w:pPr>
                        <w:r>
                          <w:rPr>
                            <w:rFonts w:ascii="Times New Roman" w:hAnsi="Times New Roman" w:eastAsia="宋体" w:cs="宋体"/>
                            <w:sz w:val="10"/>
                          </w:rPr>
                          <w:t>严重</w:t>
                        </w:r>
                      </w:p>
                    </w:txbxContent>
                  </v:textbox>
                </v:shape>
                <v:shape id="_x0000_s1026" o:spid="_x0000_s1026" o:spt="202" type="#_x0000_t202" style="position:absolute;left:313765;top:4025153;height:158698;width:256603;v-text-anchor:middle;" fillcolor="#FFFFFF [3212]" filled="t" stroked="f" coordsize="21600,21600" o:gfxdata="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Xl4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89167CE">
                        <w:pPr>
                          <w:rPr>
                            <w:rFonts w:ascii="Times New Roman" w:hAnsi="Times New Roman" w:eastAsia="宋体" w:cs="Times New Roman"/>
                            <w:i/>
                            <w:sz w:val="11"/>
                            <w:szCs w:val="11"/>
                          </w:rPr>
                        </w:pPr>
                        <w:r>
                          <w:rPr>
                            <w:rFonts w:ascii="Times New Roman" w:hAnsi="Times New Roman" w:eastAsia="宋体" w:cs="宋体"/>
                            <w:sz w:val="10"/>
                          </w:rPr>
                          <w:t>非严重</w:t>
                        </w:r>
                      </w:p>
                    </w:txbxContent>
                  </v:textbox>
                </v:shape>
                <v:shape id="_x0000_s1026" o:spid="_x0000_s1026" o:spt="202" type="#_x0000_t202" style="position:absolute;left:53789;top:4276165;height:324952;width:1919485;v-text-anchor:middle;" fillcolor="#D9D9D9" filled="t" stroked="f" coordsize="21600,21600" o:gfxdata="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u+z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35F7797">
                        <w:pPr>
                          <w:jc w:val="center"/>
                          <w:rPr>
                            <w:rFonts w:ascii="Times New Roman" w:hAnsi="Times New Roman" w:eastAsia="宋体" w:cs="Times New Roman"/>
                            <w:i/>
                            <w:sz w:val="18"/>
                            <w:szCs w:val="18"/>
                            <w:lang w:eastAsia="zh-CN"/>
                          </w:rPr>
                        </w:pPr>
                        <w:r>
                          <w:rPr>
                            <w:rFonts w:ascii="Times New Roman" w:hAnsi="Times New Roman" w:eastAsia="宋体" w:cs="宋体"/>
                            <w:b/>
                            <w:sz w:val="18"/>
                            <w:lang w:eastAsia="zh-CN"/>
                          </w:rPr>
                          <w:t>SaMD N12</w:t>
                        </w:r>
                        <w:r>
                          <w:rPr>
                            <w:rFonts w:ascii="Times New Roman" w:hAnsi="Times New Roman" w:eastAsia="宋体" w:cs="宋体"/>
                            <w:sz w:val="18"/>
                            <w:lang w:eastAsia="zh-CN"/>
                          </w:rPr>
                          <w:t>风险分类框架</w:t>
                        </w:r>
                      </w:p>
                    </w:txbxContent>
                  </v:textbox>
                </v:shape>
                <v:shape id="_x0000_s1026" o:spid="_x0000_s1026" o:spt="202" type="#_x0000_t202" style="position:absolute;left:2635624;top:1792941;height:136026;width:1328252;v-text-anchor:middle;" fillcolor="#B7DEE8" filled="t" stroked="f" coordsize="21600,21600" o:gfxdata="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3DPl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34712BC">
                        <w:pPr>
                          <w:jc w:val="center"/>
                          <w:rPr>
                            <w:rFonts w:ascii="Times New Roman" w:hAnsi="Times New Roman" w:eastAsia="宋体" w:cs="Times New Roman"/>
                            <w:i/>
                            <w:sz w:val="15"/>
                            <w:szCs w:val="15"/>
                          </w:rPr>
                        </w:pPr>
                        <w:r>
                          <w:rPr>
                            <w:rFonts w:ascii="Times New Roman" w:hAnsi="Times New Roman" w:eastAsia="宋体" w:cs="宋体"/>
                            <w:i/>
                            <w:sz w:val="14"/>
                          </w:rPr>
                          <w:t>要求、设计、开发、</w:t>
                        </w:r>
                      </w:p>
                    </w:txbxContent>
                  </v:textbox>
                </v:shape>
                <v:shape id="_x0000_s1026" o:spid="_x0000_s1026" o:spt="202" type="#_x0000_t202" style="position:absolute;left:3164542;top:1909483;height:135890;width:1327785;v-text-anchor:middle;" fillcolor="#B7DEE8" filled="t" stroked="f" coordsize="21600,21600" o:gfxdata="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lX4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989D9A9">
                        <w:pPr>
                          <w:rPr>
                            <w:rFonts w:ascii="Times New Roman" w:hAnsi="Times New Roman" w:eastAsia="宋体" w:cs="Times New Roman"/>
                            <w:i/>
                            <w:sz w:val="15"/>
                            <w:szCs w:val="15"/>
                          </w:rPr>
                        </w:pPr>
                        <w:r>
                          <w:rPr>
                            <w:rFonts w:ascii="Times New Roman" w:hAnsi="Times New Roman" w:eastAsia="宋体" w:cs="宋体"/>
                            <w:i/>
                            <w:sz w:val="14"/>
                          </w:rPr>
                          <w:t>部署、维护、弃用</w:t>
                        </w:r>
                      </w:p>
                    </w:txbxContent>
                  </v:textbox>
                </v:shape>
                <v:shape id="_x0000_s1026" o:spid="_x0000_s1026" o:spt="202" type="#_x0000_t202" style="position:absolute;left:2725271;top:2034988;height:108000;width:2019641;v-text-anchor:middle;" fillcolor="#B7DEE8" filled="t" stroked="f" coordsize="21600,21600" o:gfxdata="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V8nq5AAAA3A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1E62AED4">
                        <w:pPr>
                          <w:jc w:val="center"/>
                          <w:rPr>
                            <w:rFonts w:ascii="Times New Roman" w:hAnsi="Times New Roman" w:eastAsia="宋体" w:cs="Times New Roman"/>
                            <w:b/>
                            <w:sz w:val="15"/>
                            <w:szCs w:val="15"/>
                            <w:lang w:eastAsia="zh-CN"/>
                          </w:rPr>
                        </w:pPr>
                        <w:r>
                          <w:rPr>
                            <w:rFonts w:ascii="Times New Roman" w:hAnsi="Times New Roman" w:eastAsia="宋体" w:cs="宋体"/>
                            <w:b/>
                            <w:sz w:val="14"/>
                            <w:lang w:eastAsia="zh-CN"/>
                          </w:rPr>
                          <w:t>SaMD实现和使用过程</w:t>
                        </w:r>
                      </w:p>
                    </w:txbxContent>
                  </v:textbox>
                </v:shape>
                <v:shape id="_x0000_s1026" o:spid="_x0000_s1026" o:spt="202" type="#_x0000_t202" style="position:absolute;left:2644589;top:2214283;height:362738;width:2109984;v-text-anchor:middle;" fillcolor="#C4BD97" filled="t" stroked="f" coordsize="21600,21600" o:gfxdata="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Z1kL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20F8B08B">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计划、</w:t>
                        </w:r>
                        <w:r>
                          <w:rPr>
                            <w:rFonts w:ascii="Times New Roman" w:hAnsi="Times New Roman" w:eastAsia="宋体" w:cs="宋体"/>
                            <w:b/>
                            <w:i/>
                            <w:sz w:val="14"/>
                            <w:lang w:eastAsia="zh-CN"/>
                          </w:rPr>
                          <w:t>风险管理</w:t>
                        </w:r>
                        <w:r>
                          <w:rPr>
                            <w:rFonts w:ascii="Times New Roman" w:hAnsi="Times New Roman" w:eastAsia="宋体" w:cs="宋体"/>
                            <w:i/>
                            <w:sz w:val="14"/>
                            <w:lang w:eastAsia="zh-CN"/>
                          </w:rPr>
                          <w:t>、</w:t>
                        </w:r>
                        <w:r>
                          <w:rPr>
                            <w:rFonts w:hint="eastAsia" w:ascii="Times New Roman" w:hAnsi="Times New Roman" w:eastAsia="宋体" w:cs="宋体"/>
                            <w:i/>
                            <w:sz w:val="14"/>
                            <w:lang w:eastAsia="zh-CN"/>
                          </w:rPr>
                          <w:t>记录</w:t>
                        </w:r>
                        <w:r>
                          <w:rPr>
                            <w:rFonts w:ascii="Times New Roman" w:hAnsi="Times New Roman" w:eastAsia="宋体" w:cs="宋体"/>
                            <w:i/>
                            <w:sz w:val="14"/>
                            <w:lang w:eastAsia="zh-CN"/>
                          </w:rPr>
                          <w:t>、配置、测量、外包</w:t>
                        </w:r>
                      </w:p>
                      <w:p w14:paraId="7F9993B1">
                        <w:pPr>
                          <w:jc w:val="center"/>
                          <w:rPr>
                            <w:rFonts w:ascii="Times New Roman" w:hAnsi="Times New Roman" w:eastAsia="宋体" w:cs="Times New Roman"/>
                            <w:b/>
                            <w:sz w:val="15"/>
                            <w:szCs w:val="15"/>
                          </w:rPr>
                        </w:pPr>
                        <w:r>
                          <w:rPr>
                            <w:rFonts w:ascii="Times New Roman" w:hAnsi="Times New Roman" w:eastAsia="宋体" w:cs="宋体"/>
                            <w:b/>
                            <w:sz w:val="14"/>
                          </w:rPr>
                          <w:t>SaMD生命周期支持过程</w:t>
                        </w:r>
                      </w:p>
                    </w:txbxContent>
                  </v:textbox>
                </v:shape>
                <v:shape id="_x0000_s1026" o:spid="_x0000_s1026" o:spt="202" type="#_x0000_t202" style="position:absolute;left:2554942;top:2626659;height:362585;width:2297336;v-text-anchor:middle;" fillcolor="#FCD5B5" filled="t" stroked="f" coordsize="21600,21600" o:gfxdata="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Pf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14729FED">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人员、基础设施、工作环境</w:t>
                        </w:r>
                      </w:p>
                      <w:p w14:paraId="0C6E067E">
                        <w:pPr>
                          <w:jc w:val="center"/>
                          <w:rPr>
                            <w:rFonts w:ascii="Times New Roman" w:hAnsi="Times New Roman" w:eastAsia="宋体" w:cs="Times New Roman"/>
                            <w:b/>
                            <w:sz w:val="15"/>
                            <w:szCs w:val="15"/>
                          </w:rPr>
                        </w:pPr>
                        <w:r>
                          <w:rPr>
                            <w:rFonts w:ascii="Times New Roman" w:hAnsi="Times New Roman" w:eastAsia="宋体" w:cs="宋体"/>
                            <w:b/>
                            <w:sz w:val="14"/>
                          </w:rPr>
                          <w:t>领导力和组织支持</w:t>
                        </w:r>
                      </w:p>
                    </w:txbxContent>
                  </v:textbox>
                </v:shape>
                <v:shape id="_x0000_s1026" o:spid="_x0000_s1026" o:spt="202" type="#_x0000_t202" style="position:absolute;left:2554942;top:3074894;height:219007;width:2346562;v-text-anchor:middle;" fillcolor="#D9D9D9" filled="t" stroked="f" coordsize="21600,21600" o:gfxdata="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OJJ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1A9595E9">
                        <w:pPr>
                          <w:jc w:val="center"/>
                          <w:rPr>
                            <w:rFonts w:ascii="Times New Roman" w:hAnsi="Times New Roman" w:eastAsia="宋体" w:cs="Times New Roman"/>
                            <w:i/>
                            <w:sz w:val="18"/>
                            <w:szCs w:val="18"/>
                          </w:rPr>
                        </w:pPr>
                        <w:r>
                          <w:rPr>
                            <w:rFonts w:ascii="Times New Roman" w:hAnsi="Times New Roman" w:eastAsia="宋体" w:cs="宋体"/>
                            <w:b/>
                            <w:sz w:val="18"/>
                          </w:rPr>
                          <w:t>SaMD N23质量管理体系</w:t>
                        </w:r>
                      </w:p>
                    </w:txbxContent>
                  </v:textbox>
                </v:shape>
              </v:group>
            </w:pict>
          </mc:Fallback>
        </mc:AlternateContent>
      </w:r>
      <w:r>
        <w:rPr>
          <w:rFonts w:ascii="宋体" w:hAnsi="宋体" w:eastAsia="宋体" w:cs="宋体"/>
          <w:lang w:eastAsia="zh-CN" w:bidi="ar-SA"/>
        </w:rPr>
        <w:drawing>
          <wp:inline distT="0" distB="0" distL="0" distR="0">
            <wp:extent cx="5486400" cy="4742815"/>
            <wp:effectExtent l="0" t="0" r="0" b="63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9"/>
                    <a:stretch>
                      <a:fillRect/>
                    </a:stretch>
                  </pic:blipFill>
                  <pic:spPr>
                    <a:xfrm>
                      <a:off x="0" y="0"/>
                      <a:ext cx="5486400" cy="4742815"/>
                    </a:xfrm>
                    <a:prstGeom prst="rect">
                      <a:avLst/>
                    </a:prstGeom>
                  </pic:spPr>
                </pic:pic>
              </a:graphicData>
            </a:graphic>
          </wp:inline>
        </w:drawing>
      </w:r>
    </w:p>
    <w:p w14:paraId="1C7AA70A">
      <w:pPr>
        <w:pStyle w:val="17"/>
        <w:adjustRightInd w:val="0"/>
        <w:snapToGrid w:val="0"/>
        <w:spacing w:before="120" w:beforeLines="50" w:after="0" w:line="300" w:lineRule="auto"/>
        <w:jc w:val="center"/>
        <w:rPr>
          <w:rFonts w:eastAsia="宋体"/>
          <w:snapToGrid w:val="0"/>
          <w:lang w:eastAsia="zh-CN"/>
        </w:rPr>
      </w:pPr>
      <w:r>
        <w:rPr>
          <w:rFonts w:eastAsia="宋体" w:cs="宋体"/>
          <w:b/>
          <w:lang w:eastAsia="zh-CN"/>
        </w:rPr>
        <w:t>图2 - SaMD版块</w:t>
      </w:r>
    </w:p>
    <w:p w14:paraId="2866E9CD">
      <w:pPr>
        <w:pStyle w:val="21"/>
        <w:adjustRightInd w:val="0"/>
        <w:snapToGrid w:val="0"/>
        <w:spacing w:before="120" w:beforeLines="50" w:line="300" w:lineRule="auto"/>
        <w:jc w:val="both"/>
        <w:rPr>
          <w:rFonts w:eastAsia="宋体"/>
          <w:snapToGrid w:val="0"/>
          <w:sz w:val="24"/>
          <w:szCs w:val="24"/>
          <w:lang w:eastAsia="zh-CN"/>
        </w:rPr>
      </w:pPr>
    </w:p>
    <w:p w14:paraId="0F2415AC">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66023CC">
      <w:pPr>
        <w:pStyle w:val="36"/>
        <w:rPr>
          <w:rFonts w:eastAsia="宋体"/>
          <w:lang w:eastAsia="zh-CN"/>
        </w:rPr>
      </w:pPr>
      <w:bookmarkStart w:id="1" w:name="_Toc92183882"/>
      <w:r>
        <w:rPr>
          <w:rFonts w:eastAsia="宋体" w:cs="宋体"/>
          <w:lang w:eastAsia="zh-CN"/>
        </w:rPr>
        <w:t>2.0 背景</w:t>
      </w:r>
      <w:bookmarkEnd w:id="1"/>
    </w:p>
    <w:p w14:paraId="614A51C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经IMDRF确认，软件是医疗产品发展过程中越来越重要的一个领域，并且 IMDRF编制了一系列有关SaMD质量体系原则的定义、分类和应用的文件。</w:t>
      </w:r>
    </w:p>
    <w:p w14:paraId="7B30251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2013年，IMDRF的SaMD工作组发布了SaMD N10</w:t>
      </w:r>
      <w:r>
        <w:rPr>
          <w:rFonts w:ascii="Times New Roman" w:hAnsi="Times New Roman" w:eastAsia="宋体" w:cs="宋体"/>
          <w:vertAlign w:val="superscript"/>
          <w:lang w:eastAsia="zh-CN"/>
        </w:rPr>
        <w:t>[1]</w:t>
      </w:r>
      <w:r>
        <w:fldChar w:fldCharType="begin"/>
      </w:r>
      <w:r>
        <w:instrText xml:space="preserve"> HYPERLINK "http://www.imdrf.org/docs/imdrf/final/technical/imdrf-tech-131209-samd-key-definitions-140901.pdf" </w:instrText>
      </w:r>
      <w:r>
        <w:fldChar w:fldCharType="separate"/>
      </w:r>
      <w:r>
        <w:rPr>
          <w:rFonts w:ascii="Times New Roman" w:hAnsi="Times New Roman" w:eastAsia="宋体" w:cs="宋体"/>
          <w:i/>
          <w:iCs/>
          <w:snapToGrid w:val="0"/>
          <w:color w:val="0000FF"/>
          <w:u w:val="single"/>
          <w:lang w:eastAsia="zh-CN"/>
        </w:rPr>
        <w:t>《医疗器械独立软件（SaMD）：关键定义</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lang w:eastAsia="zh-CN"/>
        </w:rPr>
        <w:t>》，旨在创建SaMD标准术语。第二年，IMDRF采用了SaMD N12</w:t>
      </w:r>
      <w:r>
        <w:rPr>
          <w:rFonts w:ascii="Times New Roman" w:hAnsi="Times New Roman" w:eastAsia="宋体" w:cs="宋体"/>
          <w:vertAlign w:val="superscript"/>
          <w:lang w:eastAsia="zh-CN"/>
        </w:rPr>
        <w:t>[2]</w:t>
      </w:r>
      <w:r>
        <w:fldChar w:fldCharType="begin"/>
      </w:r>
      <w:r>
        <w:instrText xml:space="preserve"> HYPERLINK "http://www.imdrf.org/docs/imdrf/final/technical/imdrf-tech-140918-samd-framework-risk-categorization-141013.pdf" </w:instrText>
      </w:r>
      <w:r>
        <w:fldChar w:fldCharType="separate"/>
      </w:r>
      <w:r>
        <w:rPr>
          <w:rFonts w:ascii="Times New Roman" w:hAnsi="Times New Roman" w:eastAsia="宋体" w:cs="宋体"/>
          <w:snapToGrid w:val="0"/>
          <w:lang w:eastAsia="zh-CN"/>
        </w:rPr>
        <w:t>《医疗器械独立软件：风险分类的可能框架和相应的考虑因素》</w:t>
      </w:r>
      <w:r>
        <w:rPr>
          <w:rFonts w:ascii="Times New Roman" w:hAnsi="Times New Roman" w:eastAsia="宋体" w:cs="宋体"/>
          <w:snapToGrid w:val="0"/>
          <w:lang w:eastAsia="zh-CN"/>
        </w:rPr>
        <w:fldChar w:fldCharType="end"/>
      </w:r>
      <w:r>
        <w:rPr>
          <w:rFonts w:ascii="Times New Roman" w:hAnsi="Times New Roman" w:eastAsia="宋体" w:cs="宋体"/>
          <w:lang w:eastAsia="zh-CN"/>
        </w:rPr>
        <w:t>，提出了一种根据SaMD拟处理状况的严重性对SaMD进行分类的方法。2015年，SaMD工作组发布了SaMD N23</w:t>
      </w:r>
      <w:r>
        <w:rPr>
          <w:rFonts w:ascii="Times New Roman" w:hAnsi="Times New Roman" w:eastAsia="宋体" w:cs="宋体"/>
          <w:vertAlign w:val="superscript"/>
          <w:lang w:eastAsia="zh-CN"/>
        </w:rPr>
        <w:t>[3]</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iCs/>
          <w:snapToGrid w:val="0"/>
          <w:color w:val="0000FF"/>
          <w:u w:val="single"/>
          <w:lang w:eastAsia="zh-CN"/>
        </w:rPr>
        <w:t>《医疗器械独立软件（SaMD）：质量管理体系的应用》</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lang w:eastAsia="zh-CN"/>
        </w:rPr>
        <w:t>，概述了制造商应如何遵循医疗器械的质量管理体系（QMS）原则以及良好的软件工程规范。</w:t>
      </w:r>
    </w:p>
    <w:p w14:paraId="010CEA5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了解前三个版本的IMDRF SaMD文件是阅读本文件的先决条件。</w:t>
      </w:r>
    </w:p>
    <w:p w14:paraId="6786913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本文件和之前版本的文件提供了可供各个管辖区根据各自的监管框架予以采用的统一原则。这些原则并非法规。</w:t>
      </w:r>
    </w:p>
    <w:p w14:paraId="307E297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统一SaMD框架的目标、策略、原则和概念以及实施途径如下图3所示。</w:t>
      </w:r>
    </w:p>
    <w:tbl>
      <w:tblPr>
        <w:tblStyle w:val="11"/>
        <w:tblW w:w="5000" w:type="pct"/>
        <w:tblInd w:w="0" w:type="dxa"/>
        <w:tblLayout w:type="autofit"/>
        <w:tblCellMar>
          <w:top w:w="0" w:type="dxa"/>
          <w:left w:w="108" w:type="dxa"/>
          <w:bottom w:w="0" w:type="dxa"/>
          <w:right w:w="108" w:type="dxa"/>
        </w:tblCellMar>
      </w:tblPr>
      <w:tblGrid>
        <w:gridCol w:w="2218"/>
        <w:gridCol w:w="2353"/>
        <w:gridCol w:w="2454"/>
        <w:gridCol w:w="2262"/>
      </w:tblGrid>
      <w:tr w14:paraId="3AAE6F22">
        <w:tblPrEx>
          <w:tblCellMar>
            <w:top w:w="0" w:type="dxa"/>
            <w:left w:w="108" w:type="dxa"/>
            <w:bottom w:w="0" w:type="dxa"/>
            <w:right w:w="108" w:type="dxa"/>
          </w:tblCellMar>
        </w:tblPrEx>
        <w:tc>
          <w:tcPr>
            <w:tcW w:w="5000" w:type="pct"/>
            <w:gridSpan w:val="4"/>
            <w:tcBorders>
              <w:top w:val="single" w:color="auto" w:sz="4" w:space="0"/>
              <w:left w:val="single" w:color="auto" w:sz="4" w:space="0"/>
              <w:right w:val="single" w:color="auto" w:sz="4" w:space="0"/>
            </w:tcBorders>
            <w:shd w:val="clear" w:color="auto" w:fill="FFFFFF"/>
            <w:vAlign w:val="center"/>
          </w:tcPr>
          <w:p w14:paraId="7308FBBD">
            <w:pPr>
              <w:pStyle w:val="17"/>
              <w:adjustRightInd w:val="0"/>
              <w:snapToGrid w:val="0"/>
              <w:spacing w:before="36" w:beforeLines="15" w:after="0" w:line="276" w:lineRule="auto"/>
              <w:jc w:val="center"/>
              <w:rPr>
                <w:snapToGrid w:val="0"/>
                <w:lang w:eastAsia="zh-CN"/>
              </w:rPr>
            </w:pPr>
            <w:r>
              <w:rPr>
                <w:rFonts w:eastAsia="宋体" w:cs="宋体"/>
                <w:b/>
                <w:lang w:eastAsia="zh-CN"/>
              </w:rPr>
              <w:t>目标 -</w:t>
            </w:r>
            <w:r>
              <w:rPr>
                <w:rFonts w:eastAsia="宋体" w:cs="宋体"/>
                <w:lang w:eastAsia="zh-CN"/>
              </w:rPr>
              <w:t xml:space="preserve"> 统一SaMD框架和相关控制</w:t>
            </w:r>
          </w:p>
        </w:tc>
      </w:tr>
      <w:tr w14:paraId="42DB2399">
        <w:tblPrEx>
          <w:tblCellMar>
            <w:top w:w="0" w:type="dxa"/>
            <w:left w:w="108" w:type="dxa"/>
            <w:bottom w:w="0" w:type="dxa"/>
            <w:right w:w="108" w:type="dxa"/>
          </w:tblCellMar>
        </w:tblPrEx>
        <w:tc>
          <w:tcPr>
            <w:tcW w:w="5000" w:type="pct"/>
            <w:gridSpan w:val="4"/>
            <w:tcBorders>
              <w:top w:val="single" w:color="auto" w:sz="4" w:space="0"/>
            </w:tcBorders>
            <w:shd w:val="clear" w:color="auto" w:fill="FFFFFF"/>
            <w:vAlign w:val="center"/>
          </w:tcPr>
          <w:p w14:paraId="50EA2D5D">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2552065" cy="237490"/>
                  <wp:effectExtent l="0" t="0" r="63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2552381" cy="238095"/>
                          </a:xfrm>
                          <a:prstGeom prst="rect">
                            <a:avLst/>
                          </a:prstGeom>
                        </pic:spPr>
                      </pic:pic>
                    </a:graphicData>
                  </a:graphic>
                </wp:inline>
              </w:drawing>
            </w:r>
          </w:p>
        </w:tc>
      </w:tr>
      <w:tr w14:paraId="2B663D14">
        <w:tblPrEx>
          <w:tblCellMar>
            <w:top w:w="0" w:type="dxa"/>
            <w:left w:w="108" w:type="dxa"/>
            <w:bottom w:w="0" w:type="dxa"/>
            <w:right w:w="108" w:type="dxa"/>
          </w:tblCellMar>
        </w:tblPrEx>
        <w:tc>
          <w:tcPr>
            <w:tcW w:w="5000" w:type="pct"/>
            <w:gridSpan w:val="4"/>
            <w:tcBorders>
              <w:top w:val="single" w:color="auto" w:sz="4" w:space="0"/>
              <w:left w:val="single" w:color="auto" w:sz="4" w:space="0"/>
              <w:right w:val="single" w:color="auto" w:sz="4" w:space="0"/>
            </w:tcBorders>
            <w:shd w:val="clear" w:color="auto" w:fill="FFFFFF"/>
            <w:vAlign w:val="center"/>
          </w:tcPr>
          <w:p w14:paraId="6BF1841D">
            <w:pPr>
              <w:pStyle w:val="17"/>
              <w:adjustRightInd w:val="0"/>
              <w:snapToGrid w:val="0"/>
              <w:spacing w:before="36" w:beforeLines="15" w:after="0" w:line="276" w:lineRule="auto"/>
              <w:jc w:val="center"/>
              <w:rPr>
                <w:snapToGrid w:val="0"/>
                <w:lang w:eastAsia="zh-CN"/>
              </w:rPr>
            </w:pPr>
            <w:r>
              <w:rPr>
                <w:rFonts w:eastAsia="宋体" w:cs="宋体"/>
                <w:b/>
                <w:lang w:eastAsia="zh-CN"/>
              </w:rPr>
              <w:t>策略 -</w:t>
            </w:r>
            <w:r>
              <w:rPr>
                <w:rFonts w:eastAsia="宋体" w:cs="宋体"/>
                <w:lang w:eastAsia="zh-CN"/>
              </w:rPr>
              <w:t xml:space="preserve"> 创建有助于实现目标的构建模块</w:t>
            </w:r>
          </w:p>
        </w:tc>
      </w:tr>
      <w:tr w14:paraId="42A6DB45">
        <w:tblPrEx>
          <w:tblCellMar>
            <w:top w:w="0" w:type="dxa"/>
            <w:left w:w="108" w:type="dxa"/>
            <w:bottom w:w="0" w:type="dxa"/>
            <w:right w:w="108" w:type="dxa"/>
          </w:tblCellMar>
        </w:tblPrEx>
        <w:tc>
          <w:tcPr>
            <w:tcW w:w="1194" w:type="pct"/>
            <w:vMerge w:val="restart"/>
            <w:tcBorders>
              <w:top w:val="single" w:color="auto" w:sz="4" w:space="0"/>
            </w:tcBorders>
            <w:shd w:val="clear" w:color="auto" w:fill="FFFFFF"/>
            <w:vAlign w:val="center"/>
          </w:tcPr>
          <w:p w14:paraId="0C41FB84">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408940" cy="761365"/>
                  <wp:effectExtent l="0" t="0" r="0" b="6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409524" cy="761905"/>
                          </a:xfrm>
                          <a:prstGeom prst="rect">
                            <a:avLst/>
                          </a:prstGeom>
                        </pic:spPr>
                      </pic:pic>
                    </a:graphicData>
                  </a:graphic>
                </wp:inline>
              </w:drawing>
            </w:r>
          </w:p>
        </w:tc>
        <w:tc>
          <w:tcPr>
            <w:tcW w:w="1267" w:type="pct"/>
            <w:vMerge w:val="restart"/>
            <w:tcBorders>
              <w:top w:val="single" w:color="auto" w:sz="4" w:space="0"/>
            </w:tcBorders>
            <w:shd w:val="clear" w:color="auto" w:fill="FFFFFF"/>
            <w:vAlign w:val="center"/>
          </w:tcPr>
          <w:p w14:paraId="5A5AA2DC">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408940" cy="761365"/>
                  <wp:effectExtent l="0" t="0" r="0"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409524" cy="761905"/>
                          </a:xfrm>
                          <a:prstGeom prst="rect">
                            <a:avLst/>
                          </a:prstGeom>
                        </pic:spPr>
                      </pic:pic>
                    </a:graphicData>
                  </a:graphic>
                </wp:inline>
              </w:drawing>
            </w:r>
          </w:p>
        </w:tc>
        <w:tc>
          <w:tcPr>
            <w:tcW w:w="1321" w:type="pct"/>
            <w:tcBorders>
              <w:top w:val="single" w:color="auto" w:sz="4" w:space="0"/>
            </w:tcBorders>
            <w:shd w:val="clear" w:color="auto" w:fill="FFFFFF"/>
            <w:vAlign w:val="center"/>
          </w:tcPr>
          <w:p w14:paraId="6226BCB1">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370840" cy="44704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371429" cy="447619"/>
                          </a:xfrm>
                          <a:prstGeom prst="rect">
                            <a:avLst/>
                          </a:prstGeom>
                        </pic:spPr>
                      </pic:pic>
                    </a:graphicData>
                  </a:graphic>
                </wp:inline>
              </w:drawing>
            </w:r>
          </w:p>
        </w:tc>
        <w:tc>
          <w:tcPr>
            <w:tcW w:w="1218" w:type="pct"/>
            <w:tcBorders>
              <w:top w:val="single" w:color="auto" w:sz="4" w:space="0"/>
            </w:tcBorders>
            <w:shd w:val="clear" w:color="auto" w:fill="FFFFFF"/>
            <w:vAlign w:val="center"/>
          </w:tcPr>
          <w:p w14:paraId="0321CC4A">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370840" cy="44704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2"/>
                          <a:stretch>
                            <a:fillRect/>
                          </a:stretch>
                        </pic:blipFill>
                        <pic:spPr>
                          <a:xfrm>
                            <a:off x="0" y="0"/>
                            <a:ext cx="371429" cy="447619"/>
                          </a:xfrm>
                          <a:prstGeom prst="rect">
                            <a:avLst/>
                          </a:prstGeom>
                        </pic:spPr>
                      </pic:pic>
                    </a:graphicData>
                  </a:graphic>
                </wp:inline>
              </w:drawing>
            </w:r>
          </w:p>
        </w:tc>
      </w:tr>
      <w:tr w14:paraId="3439DDA1">
        <w:tblPrEx>
          <w:tblCellMar>
            <w:top w:w="0" w:type="dxa"/>
            <w:left w:w="108" w:type="dxa"/>
            <w:bottom w:w="0" w:type="dxa"/>
            <w:right w:w="108" w:type="dxa"/>
          </w:tblCellMar>
        </w:tblPrEx>
        <w:tc>
          <w:tcPr>
            <w:tcW w:w="1194" w:type="pct"/>
            <w:vMerge w:val="continue"/>
            <w:shd w:val="clear" w:color="auto" w:fill="FFFFFF"/>
            <w:vAlign w:val="center"/>
          </w:tcPr>
          <w:p w14:paraId="1636BC3D">
            <w:pPr>
              <w:adjustRightInd w:val="0"/>
              <w:snapToGrid w:val="0"/>
              <w:spacing w:before="36" w:beforeLines="15" w:line="276" w:lineRule="auto"/>
              <w:jc w:val="center"/>
              <w:rPr>
                <w:rFonts w:ascii="Times New Roman" w:hAnsi="Times New Roman" w:cs="Times New Roman"/>
                <w:snapToGrid w:val="0"/>
              </w:rPr>
            </w:pPr>
          </w:p>
        </w:tc>
        <w:tc>
          <w:tcPr>
            <w:tcW w:w="1267" w:type="pct"/>
            <w:vMerge w:val="continue"/>
            <w:shd w:val="clear" w:color="auto" w:fill="FFFFFF"/>
            <w:vAlign w:val="center"/>
          </w:tcPr>
          <w:p w14:paraId="4CE0364B">
            <w:pPr>
              <w:adjustRightInd w:val="0"/>
              <w:snapToGrid w:val="0"/>
              <w:spacing w:before="36" w:beforeLines="15" w:line="276" w:lineRule="auto"/>
              <w:jc w:val="center"/>
              <w:rPr>
                <w:rFonts w:ascii="Times New Roman" w:hAnsi="Times New Roman" w:cs="Times New Roman"/>
                <w:snapToGrid w:val="0"/>
              </w:rPr>
            </w:pPr>
          </w:p>
        </w:tc>
        <w:tc>
          <w:tcPr>
            <w:tcW w:w="2539" w:type="pct"/>
            <w:gridSpan w:val="2"/>
            <w:tcBorders>
              <w:top w:val="single" w:color="auto" w:sz="4" w:space="0"/>
              <w:left w:val="single" w:color="auto" w:sz="4" w:space="0"/>
              <w:right w:val="single" w:color="auto" w:sz="4" w:space="0"/>
            </w:tcBorders>
            <w:shd w:val="clear" w:color="auto" w:fill="FFFFFF"/>
            <w:vAlign w:val="center"/>
          </w:tcPr>
          <w:p w14:paraId="508FB5AF">
            <w:pPr>
              <w:pStyle w:val="17"/>
              <w:adjustRightInd w:val="0"/>
              <w:snapToGrid w:val="0"/>
              <w:spacing w:before="36" w:beforeLines="15" w:after="0" w:line="276" w:lineRule="auto"/>
              <w:jc w:val="center"/>
              <w:rPr>
                <w:snapToGrid w:val="0"/>
              </w:rPr>
            </w:pPr>
            <w:r>
              <w:rPr>
                <w:rFonts w:eastAsia="宋体" w:cs="宋体"/>
                <w:b/>
              </w:rPr>
              <w:t>SaMD控制</w:t>
            </w:r>
          </w:p>
        </w:tc>
      </w:tr>
      <w:tr w14:paraId="6988D99F">
        <w:tblPrEx>
          <w:tblCellMar>
            <w:top w:w="0" w:type="dxa"/>
            <w:left w:w="108" w:type="dxa"/>
            <w:bottom w:w="0" w:type="dxa"/>
            <w:right w:w="108" w:type="dxa"/>
          </w:tblCellMar>
        </w:tblPrEx>
        <w:tc>
          <w:tcPr>
            <w:tcW w:w="1194" w:type="pct"/>
            <w:vMerge w:val="continue"/>
            <w:tcBorders>
              <w:bottom w:val="single" w:color="auto" w:sz="4" w:space="0"/>
            </w:tcBorders>
            <w:shd w:val="clear" w:color="auto" w:fill="FFFFFF"/>
            <w:vAlign w:val="center"/>
          </w:tcPr>
          <w:p w14:paraId="2AF84846">
            <w:pPr>
              <w:adjustRightInd w:val="0"/>
              <w:snapToGrid w:val="0"/>
              <w:spacing w:before="36" w:beforeLines="15" w:line="276" w:lineRule="auto"/>
              <w:jc w:val="center"/>
              <w:rPr>
                <w:rFonts w:ascii="Times New Roman" w:hAnsi="Times New Roman" w:cs="Times New Roman"/>
                <w:snapToGrid w:val="0"/>
              </w:rPr>
            </w:pPr>
          </w:p>
        </w:tc>
        <w:tc>
          <w:tcPr>
            <w:tcW w:w="1267" w:type="pct"/>
            <w:vMerge w:val="continue"/>
            <w:tcBorders>
              <w:bottom w:val="single" w:color="auto" w:sz="4" w:space="0"/>
            </w:tcBorders>
            <w:shd w:val="clear" w:color="auto" w:fill="FFFFFF"/>
            <w:vAlign w:val="center"/>
          </w:tcPr>
          <w:p w14:paraId="11F976A8">
            <w:pPr>
              <w:adjustRightInd w:val="0"/>
              <w:snapToGrid w:val="0"/>
              <w:spacing w:before="36" w:beforeLines="15" w:line="276" w:lineRule="auto"/>
              <w:jc w:val="center"/>
              <w:rPr>
                <w:rFonts w:ascii="Times New Roman" w:hAnsi="Times New Roman" w:cs="Times New Roman"/>
                <w:snapToGrid w:val="0"/>
              </w:rPr>
            </w:pPr>
          </w:p>
        </w:tc>
        <w:tc>
          <w:tcPr>
            <w:tcW w:w="2539" w:type="pct"/>
            <w:gridSpan w:val="2"/>
            <w:tcBorders>
              <w:top w:val="single" w:color="auto" w:sz="4" w:space="0"/>
            </w:tcBorders>
            <w:shd w:val="clear" w:color="auto" w:fill="FFFFFF"/>
            <w:vAlign w:val="center"/>
          </w:tcPr>
          <w:p w14:paraId="2A49BA9D">
            <w:pPr>
              <w:adjustRightInd w:val="0"/>
              <w:snapToGrid w:val="0"/>
              <w:spacing w:before="36" w:beforeLines="15" w:line="276" w:lineRule="auto"/>
              <w:jc w:val="center"/>
              <w:rPr>
                <w:rFonts w:ascii="Times New Roman" w:hAnsi="Times New Roman" w:cs="Times New Roman"/>
                <w:snapToGrid w:val="0"/>
              </w:rPr>
            </w:pPr>
          </w:p>
        </w:tc>
      </w:tr>
      <w:tr w14:paraId="039884B7">
        <w:tblPrEx>
          <w:tblCellMar>
            <w:top w:w="0" w:type="dxa"/>
            <w:left w:w="108" w:type="dxa"/>
            <w:bottom w:w="0" w:type="dxa"/>
            <w:right w:w="108" w:type="dxa"/>
          </w:tblCellMar>
        </w:tblPrEx>
        <w:trPr>
          <w:trHeight w:val="317" w:hRule="atLeast"/>
        </w:trPr>
        <w:tc>
          <w:tcPr>
            <w:tcW w:w="1194" w:type="pct"/>
            <w:vMerge w:val="restart"/>
            <w:tcBorders>
              <w:top w:val="single" w:color="auto" w:sz="4" w:space="0"/>
              <w:left w:val="single" w:color="auto" w:sz="4" w:space="0"/>
              <w:right w:val="double" w:color="auto" w:sz="4" w:space="0"/>
            </w:tcBorders>
            <w:shd w:val="clear" w:color="auto" w:fill="FFFFFF"/>
            <w:vAlign w:val="center"/>
          </w:tcPr>
          <w:p w14:paraId="421198A1">
            <w:pPr>
              <w:pStyle w:val="17"/>
              <w:adjustRightInd w:val="0"/>
              <w:snapToGrid w:val="0"/>
              <w:spacing w:before="36" w:beforeLines="15" w:after="0" w:line="276" w:lineRule="auto"/>
              <w:jc w:val="center"/>
              <w:rPr>
                <w:rFonts w:eastAsia="宋体"/>
                <w:b/>
                <w:bCs/>
                <w:snapToGrid w:val="0"/>
                <w:lang w:eastAsia="zh-CN"/>
              </w:rPr>
            </w:pPr>
            <w:r>
              <w:rPr>
                <w:rFonts w:eastAsia="宋体" w:cs="宋体"/>
                <w:b/>
              </w:rPr>
              <w:t>SaMD定义</w:t>
            </w:r>
          </w:p>
          <w:p w14:paraId="38193999">
            <w:pPr>
              <w:pStyle w:val="17"/>
              <w:adjustRightInd w:val="0"/>
              <w:snapToGrid w:val="0"/>
              <w:spacing w:before="36" w:beforeLines="15" w:after="0" w:line="276" w:lineRule="auto"/>
              <w:jc w:val="center"/>
              <w:rPr>
                <w:rFonts w:eastAsia="宋体"/>
                <w:snapToGrid w:val="0"/>
                <w:lang w:eastAsia="zh-CN"/>
              </w:rPr>
            </w:pPr>
          </w:p>
          <w:p w14:paraId="3AC365A5">
            <w:pPr>
              <w:pStyle w:val="17"/>
              <w:adjustRightInd w:val="0"/>
              <w:snapToGrid w:val="0"/>
              <w:spacing w:before="36" w:beforeLines="15" w:after="0" w:line="276" w:lineRule="auto"/>
              <w:jc w:val="center"/>
              <w:rPr>
                <w:snapToGrid w:val="0"/>
              </w:rPr>
            </w:pPr>
            <w:r>
              <w:rPr>
                <w:rFonts w:eastAsia="宋体" w:cs="宋体"/>
                <w:b/>
                <w:i/>
              </w:rPr>
              <w:t>（</w:t>
            </w:r>
            <w:r>
              <w:rPr>
                <w:rFonts w:eastAsia="宋体" w:cs="宋体"/>
                <w:b/>
                <w:i/>
                <w:color w:val="0505A8"/>
                <w:u w:val="single"/>
              </w:rPr>
              <w:t>SaMD N10</w:t>
            </w:r>
            <w:r>
              <w:rPr>
                <w:rFonts w:eastAsia="宋体" w:cs="宋体"/>
                <w:b/>
                <w:i/>
              </w:rPr>
              <w:t>）</w:t>
            </w:r>
          </w:p>
        </w:tc>
        <w:tc>
          <w:tcPr>
            <w:tcW w:w="1267" w:type="pct"/>
            <w:vMerge w:val="restart"/>
            <w:tcBorders>
              <w:top w:val="single" w:color="auto" w:sz="4" w:space="0"/>
              <w:left w:val="double" w:color="auto" w:sz="4" w:space="0"/>
              <w:right w:val="double" w:color="auto" w:sz="4" w:space="0"/>
            </w:tcBorders>
            <w:shd w:val="clear" w:color="auto" w:fill="FFFFFF"/>
            <w:vAlign w:val="center"/>
          </w:tcPr>
          <w:p w14:paraId="751F3438">
            <w:pPr>
              <w:pStyle w:val="17"/>
              <w:adjustRightInd w:val="0"/>
              <w:snapToGrid w:val="0"/>
              <w:spacing w:before="36" w:beforeLines="15" w:after="0" w:line="276" w:lineRule="auto"/>
              <w:jc w:val="center"/>
              <w:rPr>
                <w:rFonts w:eastAsia="宋体"/>
                <w:snapToGrid w:val="0"/>
              </w:rPr>
            </w:pPr>
            <w:r>
              <w:rPr>
                <w:rFonts w:eastAsia="宋体" w:cs="宋体"/>
                <w:b/>
              </w:rPr>
              <w:t>SaMD风险框架</w:t>
            </w:r>
          </w:p>
          <w:p w14:paraId="49233AE9">
            <w:pPr>
              <w:pStyle w:val="17"/>
              <w:adjustRightInd w:val="0"/>
              <w:snapToGrid w:val="0"/>
              <w:spacing w:before="36" w:beforeLines="15" w:after="0" w:line="276" w:lineRule="auto"/>
              <w:jc w:val="center"/>
              <w:rPr>
                <w:snapToGrid w:val="0"/>
              </w:rPr>
            </w:pPr>
            <w:r>
              <w:rPr>
                <w:rFonts w:eastAsia="宋体" w:cs="宋体"/>
                <w:b/>
                <w:i/>
              </w:rPr>
              <w:t>（</w:t>
            </w:r>
            <w:r>
              <w:rPr>
                <w:rFonts w:eastAsia="宋体" w:cs="宋体"/>
                <w:b/>
                <w:i/>
                <w:color w:val="0505A8"/>
                <w:u w:val="single"/>
              </w:rPr>
              <w:t>SaMD N12</w:t>
            </w:r>
            <w:r>
              <w:rPr>
                <w:rFonts w:eastAsia="宋体" w:cs="宋体"/>
                <w:b/>
                <w:i/>
              </w:rPr>
              <w:t>）</w:t>
            </w:r>
          </w:p>
        </w:tc>
        <w:tc>
          <w:tcPr>
            <w:tcW w:w="1321" w:type="pct"/>
            <w:vMerge w:val="restart"/>
            <w:tcBorders>
              <w:top w:val="single" w:color="auto" w:sz="4" w:space="0"/>
              <w:left w:val="double" w:color="auto" w:sz="4" w:space="0"/>
              <w:right w:val="double" w:color="auto" w:sz="4" w:space="0"/>
            </w:tcBorders>
            <w:shd w:val="clear" w:color="auto" w:fill="FFFFFF"/>
            <w:vAlign w:val="center"/>
          </w:tcPr>
          <w:p w14:paraId="6797CC24">
            <w:pPr>
              <w:pStyle w:val="17"/>
              <w:adjustRightInd w:val="0"/>
              <w:snapToGrid w:val="0"/>
              <w:spacing w:before="36" w:beforeLines="15" w:after="0" w:line="276" w:lineRule="auto"/>
              <w:jc w:val="center"/>
              <w:rPr>
                <w:rFonts w:eastAsia="宋体"/>
                <w:b/>
                <w:bCs/>
                <w:snapToGrid w:val="0"/>
                <w:lang w:eastAsia="zh-CN"/>
              </w:rPr>
            </w:pPr>
            <w:r>
              <w:rPr>
                <w:rFonts w:eastAsia="宋体"/>
                <w:b/>
                <w:bCs/>
                <w:snapToGrid w:val="0"/>
              </w:rPr>
              <w:t>SaMD QMS</w:t>
            </w:r>
          </w:p>
          <w:p w14:paraId="457F7691">
            <w:pPr>
              <w:pStyle w:val="17"/>
              <w:adjustRightInd w:val="0"/>
              <w:snapToGrid w:val="0"/>
              <w:spacing w:before="36" w:beforeLines="15" w:after="0" w:line="276" w:lineRule="auto"/>
              <w:jc w:val="center"/>
              <w:rPr>
                <w:rFonts w:eastAsia="宋体"/>
                <w:snapToGrid w:val="0"/>
                <w:lang w:eastAsia="zh-CN"/>
              </w:rPr>
            </w:pPr>
          </w:p>
          <w:p w14:paraId="45F46B52">
            <w:pPr>
              <w:pStyle w:val="17"/>
              <w:adjustRightInd w:val="0"/>
              <w:snapToGrid w:val="0"/>
              <w:spacing w:before="36" w:beforeLines="15" w:after="0" w:line="276" w:lineRule="auto"/>
              <w:jc w:val="center"/>
              <w:rPr>
                <w:rFonts w:eastAsiaTheme="minorEastAsia"/>
                <w:snapToGrid w:val="0"/>
                <w:lang w:eastAsia="zh-CN"/>
              </w:rPr>
            </w:pPr>
            <w:r>
              <w:rPr>
                <w:rFonts w:hint="eastAsia" w:eastAsia="宋体" w:cs="宋体"/>
                <w:b/>
                <w:i/>
              </w:rPr>
              <w:t>（</w:t>
            </w:r>
            <w:r>
              <w:rPr>
                <w:rFonts w:eastAsia="宋体"/>
                <w:b/>
                <w:bCs/>
                <w:i/>
                <w:iCs/>
                <w:snapToGrid w:val="0"/>
                <w:color w:val="0404C0"/>
                <w:u w:val="single"/>
              </w:rPr>
              <w:t>SaMD N23</w:t>
            </w:r>
            <w:r>
              <w:rPr>
                <w:rFonts w:hint="eastAsia" w:eastAsia="宋体" w:cs="宋体"/>
                <w:b/>
                <w:i/>
              </w:rPr>
              <w:t>）</w:t>
            </w:r>
          </w:p>
        </w:tc>
        <w:tc>
          <w:tcPr>
            <w:tcW w:w="1218" w:type="pct"/>
            <w:vMerge w:val="restart"/>
            <w:tcBorders>
              <w:top w:val="single" w:color="auto" w:sz="4" w:space="0"/>
              <w:left w:val="double" w:color="auto" w:sz="4" w:space="0"/>
              <w:bottom w:val="single" w:color="auto" w:sz="4" w:space="0"/>
              <w:right w:val="single" w:color="auto" w:sz="4" w:space="0"/>
            </w:tcBorders>
            <w:shd w:val="clear" w:color="auto" w:fill="7F7F7F"/>
            <w:vAlign w:val="center"/>
          </w:tcPr>
          <w:p w14:paraId="4CC6100A">
            <w:pPr>
              <w:adjustRightInd w:val="0"/>
              <w:snapToGrid w:val="0"/>
              <w:spacing w:before="36" w:beforeLines="15" w:line="276" w:lineRule="auto"/>
              <w:jc w:val="center"/>
              <w:rPr>
                <w:rFonts w:ascii="Times New Roman" w:hAnsi="Times New Roman" w:eastAsia="宋体" w:cs="Times New Roman"/>
                <w:b/>
                <w:color w:val="FFFFFF" w:themeColor="background1"/>
                <w14:textFill>
                  <w14:solidFill>
                    <w14:schemeClr w14:val="bg1"/>
                  </w14:solidFill>
                </w14:textFill>
              </w:rPr>
            </w:pPr>
            <w:r>
              <w:rPr>
                <w:rFonts w:ascii="Times New Roman" w:hAnsi="Times New Roman" w:eastAsia="宋体" w:cs="宋体"/>
                <w:b/>
                <w:color w:val="FFFFFF"/>
              </w:rPr>
              <w:t>SaMD临床评价</w:t>
            </w:r>
          </w:p>
          <w:p w14:paraId="65623502">
            <w:pPr>
              <w:adjustRightInd w:val="0"/>
              <w:snapToGrid w:val="0"/>
              <w:spacing w:before="36" w:beforeLines="15" w:line="276" w:lineRule="auto"/>
              <w:jc w:val="center"/>
              <w:rPr>
                <w:rFonts w:ascii="Times New Roman" w:hAnsi="Times New Roman" w:cs="Times New Roman"/>
                <w:b/>
                <w:color w:val="FFFFFF" w:themeColor="background1"/>
                <w14:textFill>
                  <w14:solidFill>
                    <w14:schemeClr w14:val="bg1"/>
                  </w14:solidFill>
                </w14:textFill>
              </w:rPr>
            </w:pPr>
            <w:r>
              <w:rPr>
                <w:rFonts w:ascii="Times New Roman" w:hAnsi="Times New Roman" w:eastAsia="宋体" w:cs="宋体"/>
                <w:b/>
                <w:color w:val="FFFFFF"/>
              </w:rPr>
              <w:t>（SaMD N41）</w:t>
            </w:r>
          </w:p>
        </w:tc>
      </w:tr>
      <w:tr w14:paraId="5673FCD9">
        <w:tblPrEx>
          <w:tblCellMar>
            <w:top w:w="0" w:type="dxa"/>
            <w:left w:w="108" w:type="dxa"/>
            <w:bottom w:w="0" w:type="dxa"/>
            <w:right w:w="108" w:type="dxa"/>
          </w:tblCellMar>
        </w:tblPrEx>
        <w:trPr>
          <w:trHeight w:val="353" w:hRule="atLeast"/>
        </w:trPr>
        <w:tc>
          <w:tcPr>
            <w:tcW w:w="1194" w:type="pct"/>
            <w:vMerge w:val="continue"/>
            <w:tcBorders>
              <w:top w:val="single" w:color="auto" w:sz="4" w:space="0"/>
              <w:left w:val="single" w:color="auto" w:sz="4" w:space="0"/>
              <w:right w:val="double" w:color="auto" w:sz="4" w:space="0"/>
            </w:tcBorders>
            <w:shd w:val="clear" w:color="auto" w:fill="FFFFFF"/>
            <w:vAlign w:val="center"/>
          </w:tcPr>
          <w:p w14:paraId="0D28250B">
            <w:pPr>
              <w:adjustRightInd w:val="0"/>
              <w:snapToGrid w:val="0"/>
              <w:spacing w:before="36" w:beforeLines="15" w:line="276" w:lineRule="auto"/>
              <w:jc w:val="center"/>
              <w:rPr>
                <w:rFonts w:ascii="Times New Roman" w:hAnsi="Times New Roman" w:cs="Times New Roman"/>
                <w:snapToGrid w:val="0"/>
              </w:rPr>
            </w:pPr>
          </w:p>
        </w:tc>
        <w:tc>
          <w:tcPr>
            <w:tcW w:w="1267" w:type="pct"/>
            <w:vMerge w:val="continue"/>
            <w:tcBorders>
              <w:top w:val="single" w:color="auto" w:sz="4" w:space="0"/>
              <w:left w:val="double" w:color="auto" w:sz="4" w:space="0"/>
              <w:right w:val="double" w:color="auto" w:sz="4" w:space="0"/>
            </w:tcBorders>
            <w:shd w:val="clear" w:color="auto" w:fill="FFFFFF"/>
            <w:vAlign w:val="center"/>
          </w:tcPr>
          <w:p w14:paraId="5821D230">
            <w:pPr>
              <w:adjustRightInd w:val="0"/>
              <w:snapToGrid w:val="0"/>
              <w:spacing w:before="36" w:beforeLines="15" w:line="276" w:lineRule="auto"/>
              <w:jc w:val="center"/>
              <w:rPr>
                <w:rFonts w:ascii="Times New Roman" w:hAnsi="Times New Roman" w:cs="Times New Roman"/>
                <w:snapToGrid w:val="0"/>
              </w:rPr>
            </w:pPr>
          </w:p>
        </w:tc>
        <w:tc>
          <w:tcPr>
            <w:tcW w:w="1321" w:type="pct"/>
            <w:vMerge w:val="continue"/>
            <w:tcBorders>
              <w:top w:val="single" w:color="auto" w:sz="4" w:space="0"/>
              <w:left w:val="double" w:color="auto" w:sz="4" w:space="0"/>
              <w:right w:val="double" w:color="auto" w:sz="4" w:space="0"/>
            </w:tcBorders>
            <w:shd w:val="clear" w:color="auto" w:fill="FFFFFF"/>
            <w:vAlign w:val="center"/>
          </w:tcPr>
          <w:p w14:paraId="2489684F">
            <w:pPr>
              <w:adjustRightInd w:val="0"/>
              <w:snapToGrid w:val="0"/>
              <w:spacing w:before="36" w:beforeLines="15" w:line="276" w:lineRule="auto"/>
              <w:jc w:val="center"/>
              <w:rPr>
                <w:rFonts w:ascii="Times New Roman" w:hAnsi="Times New Roman" w:cs="Times New Roman"/>
                <w:snapToGrid w:val="0"/>
              </w:rPr>
            </w:pPr>
          </w:p>
        </w:tc>
        <w:tc>
          <w:tcPr>
            <w:tcW w:w="1218" w:type="pct"/>
            <w:vMerge w:val="continue"/>
            <w:tcBorders>
              <w:top w:val="single" w:color="auto" w:sz="4" w:space="0"/>
              <w:left w:val="double" w:color="auto" w:sz="4" w:space="0"/>
              <w:bottom w:val="single" w:color="auto" w:sz="4" w:space="0"/>
              <w:right w:val="single" w:color="auto" w:sz="4" w:space="0"/>
            </w:tcBorders>
            <w:shd w:val="clear" w:color="auto" w:fill="7F7F7F"/>
            <w:vAlign w:val="center"/>
          </w:tcPr>
          <w:p w14:paraId="4673759E">
            <w:pPr>
              <w:adjustRightInd w:val="0"/>
              <w:snapToGrid w:val="0"/>
              <w:spacing w:before="36" w:beforeLines="15" w:line="276" w:lineRule="auto"/>
              <w:jc w:val="center"/>
              <w:rPr>
                <w:rFonts w:ascii="Times New Roman" w:hAnsi="Times New Roman" w:cs="Times New Roman"/>
                <w:snapToGrid w:val="0"/>
              </w:rPr>
            </w:pPr>
          </w:p>
        </w:tc>
      </w:tr>
      <w:tr w14:paraId="3692A7B3">
        <w:tblPrEx>
          <w:tblCellMar>
            <w:top w:w="0" w:type="dxa"/>
            <w:left w:w="108" w:type="dxa"/>
            <w:bottom w:w="0" w:type="dxa"/>
            <w:right w:w="108" w:type="dxa"/>
          </w:tblCellMar>
        </w:tblPrEx>
        <w:trPr>
          <w:trHeight w:val="353" w:hRule="atLeast"/>
        </w:trPr>
        <w:tc>
          <w:tcPr>
            <w:tcW w:w="1194" w:type="pct"/>
            <w:vMerge w:val="continue"/>
            <w:tcBorders>
              <w:top w:val="single" w:color="auto" w:sz="4" w:space="0"/>
              <w:left w:val="single" w:color="auto" w:sz="4" w:space="0"/>
              <w:right w:val="double" w:color="auto" w:sz="4" w:space="0"/>
            </w:tcBorders>
            <w:shd w:val="clear" w:color="auto" w:fill="FFFFFF"/>
            <w:vAlign w:val="center"/>
          </w:tcPr>
          <w:p w14:paraId="3AB7F17D">
            <w:pPr>
              <w:adjustRightInd w:val="0"/>
              <w:snapToGrid w:val="0"/>
              <w:spacing w:before="36" w:beforeLines="15" w:line="276" w:lineRule="auto"/>
              <w:jc w:val="center"/>
              <w:rPr>
                <w:rFonts w:ascii="Times New Roman" w:hAnsi="Times New Roman" w:cs="Times New Roman"/>
                <w:snapToGrid w:val="0"/>
              </w:rPr>
            </w:pPr>
          </w:p>
        </w:tc>
        <w:tc>
          <w:tcPr>
            <w:tcW w:w="1267" w:type="pct"/>
            <w:vMerge w:val="continue"/>
            <w:tcBorders>
              <w:top w:val="single" w:color="auto" w:sz="4" w:space="0"/>
              <w:left w:val="double" w:color="auto" w:sz="4" w:space="0"/>
              <w:right w:val="double" w:color="auto" w:sz="4" w:space="0"/>
            </w:tcBorders>
            <w:shd w:val="clear" w:color="auto" w:fill="FFFFFF"/>
            <w:vAlign w:val="center"/>
          </w:tcPr>
          <w:p w14:paraId="3DB82E63">
            <w:pPr>
              <w:adjustRightInd w:val="0"/>
              <w:snapToGrid w:val="0"/>
              <w:spacing w:before="36" w:beforeLines="15" w:line="276" w:lineRule="auto"/>
              <w:jc w:val="center"/>
              <w:rPr>
                <w:rFonts w:ascii="Times New Roman" w:hAnsi="Times New Roman" w:cs="Times New Roman"/>
                <w:snapToGrid w:val="0"/>
              </w:rPr>
            </w:pPr>
          </w:p>
        </w:tc>
        <w:tc>
          <w:tcPr>
            <w:tcW w:w="1321" w:type="pct"/>
            <w:vMerge w:val="continue"/>
            <w:tcBorders>
              <w:top w:val="single" w:color="auto" w:sz="4" w:space="0"/>
              <w:left w:val="double" w:color="auto" w:sz="4" w:space="0"/>
              <w:right w:val="double" w:color="auto" w:sz="4" w:space="0"/>
            </w:tcBorders>
            <w:shd w:val="clear" w:color="auto" w:fill="FFFFFF"/>
            <w:vAlign w:val="center"/>
          </w:tcPr>
          <w:p w14:paraId="5DD86DF8">
            <w:pPr>
              <w:adjustRightInd w:val="0"/>
              <w:snapToGrid w:val="0"/>
              <w:spacing w:before="36" w:beforeLines="15" w:line="276" w:lineRule="auto"/>
              <w:jc w:val="center"/>
              <w:rPr>
                <w:rFonts w:ascii="Times New Roman" w:hAnsi="Times New Roman" w:cs="Times New Roman"/>
                <w:snapToGrid w:val="0"/>
              </w:rPr>
            </w:pPr>
          </w:p>
        </w:tc>
        <w:tc>
          <w:tcPr>
            <w:tcW w:w="1218" w:type="pct"/>
            <w:vMerge w:val="continue"/>
            <w:tcBorders>
              <w:top w:val="single" w:color="auto" w:sz="4" w:space="0"/>
              <w:left w:val="double" w:color="auto" w:sz="4" w:space="0"/>
              <w:bottom w:val="single" w:color="auto" w:sz="4" w:space="0"/>
              <w:right w:val="single" w:color="auto" w:sz="4" w:space="0"/>
            </w:tcBorders>
            <w:shd w:val="clear" w:color="auto" w:fill="7F7F7F"/>
            <w:vAlign w:val="center"/>
          </w:tcPr>
          <w:p w14:paraId="52FFB369">
            <w:pPr>
              <w:adjustRightInd w:val="0"/>
              <w:snapToGrid w:val="0"/>
              <w:spacing w:before="36" w:beforeLines="15" w:line="276" w:lineRule="auto"/>
              <w:jc w:val="center"/>
              <w:rPr>
                <w:rFonts w:ascii="Times New Roman" w:hAnsi="Times New Roman" w:cs="Times New Roman"/>
                <w:snapToGrid w:val="0"/>
              </w:rPr>
            </w:pPr>
          </w:p>
        </w:tc>
      </w:tr>
      <w:tr w14:paraId="1231011A">
        <w:tblPrEx>
          <w:tblCellMar>
            <w:top w:w="0" w:type="dxa"/>
            <w:left w:w="108" w:type="dxa"/>
            <w:bottom w:w="0" w:type="dxa"/>
            <w:right w:w="108" w:type="dxa"/>
          </w:tblCellMar>
        </w:tblPrEx>
        <w:tc>
          <w:tcPr>
            <w:tcW w:w="5000" w:type="pct"/>
            <w:gridSpan w:val="4"/>
            <w:tcBorders>
              <w:top w:val="single" w:color="auto" w:sz="4" w:space="0"/>
            </w:tcBorders>
            <w:shd w:val="clear" w:color="auto" w:fill="FFFFFF"/>
            <w:vAlign w:val="center"/>
          </w:tcPr>
          <w:p w14:paraId="33384EBA">
            <w:pPr>
              <w:adjustRightInd w:val="0"/>
              <w:snapToGrid w:val="0"/>
              <w:spacing w:before="36" w:beforeLines="15" w:line="276" w:lineRule="auto"/>
              <w:jc w:val="center"/>
              <w:rPr>
                <w:rFonts w:ascii="Times New Roman" w:hAnsi="Times New Roman" w:cs="Times New Roman"/>
                <w:snapToGrid w:val="0"/>
              </w:rPr>
            </w:pPr>
            <w:r>
              <w:rPr>
                <w:rFonts w:ascii="宋体" w:hAnsi="宋体" w:eastAsia="宋体" w:cs="宋体"/>
                <w:lang w:eastAsia="zh-CN" w:bidi="ar-SA"/>
              </w:rPr>
              <w:drawing>
                <wp:inline distT="0" distB="0" distL="0" distR="0">
                  <wp:extent cx="2552065" cy="237490"/>
                  <wp:effectExtent l="0" t="0" r="635"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0"/>
                          <a:stretch>
                            <a:fillRect/>
                          </a:stretch>
                        </pic:blipFill>
                        <pic:spPr>
                          <a:xfrm>
                            <a:off x="0" y="0"/>
                            <a:ext cx="2552381" cy="238095"/>
                          </a:xfrm>
                          <a:prstGeom prst="rect">
                            <a:avLst/>
                          </a:prstGeom>
                        </pic:spPr>
                      </pic:pic>
                    </a:graphicData>
                  </a:graphic>
                </wp:inline>
              </w:drawing>
            </w:r>
          </w:p>
        </w:tc>
      </w:tr>
      <w:tr w14:paraId="1C882A33">
        <w:tblPrEx>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D03F984">
            <w:pPr>
              <w:pStyle w:val="17"/>
              <w:adjustRightInd w:val="0"/>
              <w:snapToGrid w:val="0"/>
              <w:spacing w:before="36" w:beforeLines="15" w:after="0" w:line="276" w:lineRule="auto"/>
              <w:jc w:val="center"/>
              <w:rPr>
                <w:snapToGrid w:val="0"/>
                <w:lang w:eastAsia="zh-CN"/>
              </w:rPr>
            </w:pPr>
            <w:r>
              <w:rPr>
                <w:rFonts w:eastAsia="宋体" w:cs="宋体"/>
                <w:b/>
                <w:lang w:eastAsia="zh-CN"/>
              </w:rPr>
              <w:t>实施 -</w:t>
            </w:r>
            <w:r>
              <w:rPr>
                <w:rFonts w:eastAsia="宋体" w:cs="宋体"/>
                <w:lang w:eastAsia="zh-CN"/>
              </w:rPr>
              <w:t xml:space="preserve"> 由监管辖区采用IMDRF统一原则独立实施</w:t>
            </w:r>
          </w:p>
        </w:tc>
      </w:tr>
    </w:tbl>
    <w:p w14:paraId="2EC7BA13">
      <w:pPr>
        <w:pStyle w:val="32"/>
        <w:adjustRightInd w:val="0"/>
        <w:snapToGrid w:val="0"/>
        <w:spacing w:before="120" w:beforeLines="50" w:line="300" w:lineRule="auto"/>
        <w:jc w:val="center"/>
        <w:rPr>
          <w:rFonts w:eastAsia="宋体"/>
          <w:snapToGrid w:val="0"/>
          <w:sz w:val="24"/>
          <w:szCs w:val="24"/>
          <w:lang w:eastAsia="zh-CN"/>
        </w:rPr>
      </w:pPr>
      <w:r>
        <w:rPr>
          <w:rFonts w:eastAsia="宋体" w:cs="宋体"/>
          <w:sz w:val="24"/>
          <w:lang w:eastAsia="zh-CN"/>
        </w:rPr>
        <w:t>图3 - SaMD监管途径</w:t>
      </w:r>
    </w:p>
    <w:p w14:paraId="3F3A32A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6B73DDD">
      <w:pPr>
        <w:pStyle w:val="36"/>
        <w:rPr>
          <w:rFonts w:eastAsia="宋体"/>
          <w:lang w:eastAsia="zh-CN"/>
        </w:rPr>
      </w:pPr>
      <w:bookmarkStart w:id="2" w:name="_Toc92183883"/>
      <w:r>
        <w:rPr>
          <w:rFonts w:eastAsia="宋体" w:cs="宋体"/>
          <w:lang w:eastAsia="zh-CN"/>
        </w:rPr>
        <w:t>3.0 引言</w:t>
      </w:r>
      <w:bookmarkEnd w:id="2"/>
    </w:p>
    <w:p w14:paraId="2ECD1C6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国际医疗器械监管机构论坛（IMDRF）旨在就证明SaMD安全性、有效性和性能的临床评价和原则达成共识。</w:t>
      </w:r>
    </w:p>
    <w:p w14:paraId="0DC7827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如图4所示，本文件可代表阐明该过程的全球协调工作。</w:t>
      </w:r>
    </w:p>
    <w:tbl>
      <w:tblPr>
        <w:tblStyle w:val="11"/>
        <w:tblW w:w="5000" w:type="pct"/>
        <w:tblInd w:w="0" w:type="dxa"/>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Layout w:type="autofit"/>
        <w:tblCellMar>
          <w:top w:w="0" w:type="dxa"/>
          <w:left w:w="108" w:type="dxa"/>
          <w:bottom w:w="0" w:type="dxa"/>
          <w:right w:w="108" w:type="dxa"/>
        </w:tblCellMar>
      </w:tblPr>
      <w:tblGrid>
        <w:gridCol w:w="2966"/>
        <w:gridCol w:w="3009"/>
        <w:gridCol w:w="3312"/>
      </w:tblGrid>
      <w:tr w14:paraId="7FA82473">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5000" w:type="pct"/>
            <w:gridSpan w:val="3"/>
            <w:shd w:val="clear" w:color="auto" w:fill="7F7F7F"/>
            <w:vAlign w:val="center"/>
          </w:tcPr>
          <w:p w14:paraId="39E41FE3">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临床评价</w:t>
            </w:r>
          </w:p>
        </w:tc>
      </w:tr>
      <w:tr w14:paraId="352416BF">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1597" w:type="pct"/>
            <w:shd w:val="clear" w:color="auto" w:fill="1F487C"/>
            <w:vAlign w:val="center"/>
          </w:tcPr>
          <w:p w14:paraId="708B3993">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有效临床关联</w:t>
            </w:r>
          </w:p>
        </w:tc>
        <w:tc>
          <w:tcPr>
            <w:tcW w:w="1620" w:type="pct"/>
            <w:shd w:val="clear" w:color="auto" w:fill="0071C1"/>
            <w:vAlign w:val="center"/>
          </w:tcPr>
          <w:p w14:paraId="282CA887">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分析确认</w:t>
            </w:r>
          </w:p>
        </w:tc>
        <w:tc>
          <w:tcPr>
            <w:tcW w:w="1783" w:type="pct"/>
            <w:shd w:val="clear" w:color="auto" w:fill="7030A0"/>
            <w:vAlign w:val="center"/>
          </w:tcPr>
          <w:p w14:paraId="5449FAB7">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临床确认</w:t>
            </w:r>
          </w:p>
        </w:tc>
      </w:tr>
      <w:tr w14:paraId="60A37CE4">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1597" w:type="pct"/>
            <w:shd w:val="clear" w:color="auto" w:fill="1F487C"/>
            <w:vAlign w:val="center"/>
          </w:tcPr>
          <w:p w14:paraId="4489762D">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SaMD输出与SaMD目标临床状况之间是否存在有效的临床关联？</w:t>
            </w:r>
          </w:p>
        </w:tc>
        <w:tc>
          <w:tcPr>
            <w:tcW w:w="1620" w:type="pct"/>
            <w:shd w:val="clear" w:color="auto" w:fill="0071C1"/>
            <w:vAlign w:val="center"/>
          </w:tcPr>
          <w:p w14:paraId="68877F8D">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SaMD是否对输入数据进行了正确处理，从而生成准确、可靠且精确的输出数据？</w:t>
            </w:r>
          </w:p>
        </w:tc>
        <w:tc>
          <w:tcPr>
            <w:tcW w:w="1783" w:type="pct"/>
            <w:shd w:val="clear" w:color="auto" w:fill="7030A0"/>
            <w:vAlign w:val="center"/>
          </w:tcPr>
          <w:p w14:paraId="313530F2">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使用SaMD的准确、可靠且精确的输出数据是否在临床护理的目标人群中达到预期目的？</w:t>
            </w:r>
          </w:p>
        </w:tc>
      </w:tr>
    </w:tbl>
    <w:p w14:paraId="7AFB33E1">
      <w:pPr>
        <w:pStyle w:val="27"/>
        <w:adjustRightInd w:val="0"/>
        <w:snapToGrid w:val="0"/>
        <w:spacing w:before="120" w:beforeLines="50" w:line="300" w:lineRule="auto"/>
        <w:jc w:val="center"/>
        <w:rPr>
          <w:rFonts w:eastAsia="宋体"/>
          <w:snapToGrid w:val="0"/>
          <w:sz w:val="24"/>
          <w:szCs w:val="24"/>
          <w:lang w:eastAsia="zh-CN"/>
        </w:rPr>
      </w:pPr>
      <w:r>
        <w:rPr>
          <w:rFonts w:eastAsia="宋体" w:cs="宋体"/>
          <w:b/>
          <w:color w:val="000000"/>
          <w:sz w:val="24"/>
          <w:lang w:eastAsia="zh-CN"/>
        </w:rPr>
        <w:t>图4 - 临床评价过程</w:t>
      </w:r>
    </w:p>
    <w:p w14:paraId="1202450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本文件就以下几点作出了进一步解释：</w:t>
      </w:r>
    </w:p>
    <w:p w14:paraId="7C1E4ABE">
      <w:pPr>
        <w:pStyle w:val="37"/>
        <w:numPr>
          <w:ilvl w:val="0"/>
          <w:numId w:val="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作为医疗器械质量管理体系的一部分，临床评价应该是一个连续的迭代过程（</w:t>
      </w:r>
      <w:r>
        <w:rPr>
          <w:rFonts w:ascii="Times New Roman" w:hAnsi="Times New Roman" w:eastAsia="宋体" w:cs="宋体"/>
          <w:i/>
          <w:lang w:eastAsia="zh-CN"/>
        </w:rPr>
        <w:t>更多信息请参见</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iCs/>
          <w:snapToGrid w:val="0"/>
          <w:color w:val="0000FF"/>
          <w:u w:val="single"/>
          <w:lang w:eastAsia="zh-CN"/>
        </w:rPr>
        <w:t>SaMD N23</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w:t>
      </w:r>
    </w:p>
    <w:p w14:paraId="3126663E">
      <w:pPr>
        <w:pStyle w:val="37"/>
        <w:numPr>
          <w:ilvl w:val="0"/>
          <w:numId w:val="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某些SaMD可能需要对临床评价结果进行独立审查，类似于同行评审或设计审查，以确保SaMD对用户具有临床意义。临床评价和独立审查</w:t>
      </w:r>
      <w:r>
        <w:rPr>
          <w:rFonts w:hint="eastAsia" w:ascii="Times New Roman" w:hAnsi="Times New Roman" w:eastAsia="宋体" w:cs="宋体"/>
          <w:lang w:eastAsia="zh-CN"/>
        </w:rPr>
        <w:t>的</w:t>
      </w:r>
      <w:r>
        <w:rPr>
          <w:rFonts w:ascii="Times New Roman" w:hAnsi="Times New Roman" w:eastAsia="宋体" w:cs="宋体"/>
          <w:lang w:eastAsia="zh-CN"/>
        </w:rPr>
        <w:t>水平应与特定SaMD所构成的风险相称（</w:t>
      </w:r>
      <w:r>
        <w:rPr>
          <w:rFonts w:ascii="Times New Roman" w:hAnsi="Times New Roman" w:eastAsia="宋体" w:cs="宋体"/>
          <w:i/>
          <w:lang w:eastAsia="zh-CN"/>
        </w:rPr>
        <w:t>更多信息请参见</w:t>
      </w:r>
      <w:r>
        <w:rPr>
          <w:rFonts w:ascii="Times New Roman" w:hAnsi="Times New Roman" w:eastAsia="宋体" w:cs="宋体"/>
          <w:i/>
          <w:color w:val="0000FF"/>
          <w:u w:val="single"/>
          <w:lang w:eastAsia="zh-CN"/>
        </w:rPr>
        <w:t>SaMD N12</w:t>
      </w:r>
      <w:r>
        <w:rPr>
          <w:rFonts w:ascii="Times New Roman" w:hAnsi="Times New Roman" w:eastAsia="宋体" w:cs="宋体"/>
          <w:i/>
          <w:vertAlign w:val="superscript"/>
          <w:lang w:eastAsia="zh-CN"/>
        </w:rPr>
        <w:t>[2]</w:t>
      </w:r>
      <w:r>
        <w:rPr>
          <w:rFonts w:ascii="Times New Roman" w:hAnsi="Times New Roman" w:eastAsia="宋体" w:cs="宋体"/>
          <w:lang w:eastAsia="zh-CN"/>
        </w:rPr>
        <w:t>）；和</w:t>
      </w:r>
    </w:p>
    <w:p w14:paraId="292D1EE2">
      <w:pPr>
        <w:pStyle w:val="37"/>
        <w:numPr>
          <w:ilvl w:val="0"/>
          <w:numId w:val="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软件的连通性水平具有独特性，可实现对SaMD安全性、有效性和性能的持续监测。本文件鼓励制造商利用该功能了解和修改基于真实世界性能的软件（</w:t>
      </w:r>
      <w:r>
        <w:rPr>
          <w:rFonts w:ascii="Times New Roman" w:hAnsi="Times New Roman" w:eastAsia="宋体" w:cs="宋体"/>
          <w:i/>
          <w:lang w:eastAsia="zh-CN"/>
        </w:rPr>
        <w:t>更多信息请参见“9.0 利用真实世界性能数据持续学习的途径</w:t>
      </w:r>
      <w:r>
        <w:rPr>
          <w:rFonts w:ascii="Times New Roman" w:hAnsi="Times New Roman" w:eastAsia="宋体" w:cs="宋体"/>
          <w:lang w:eastAsia="zh-CN"/>
        </w:rPr>
        <w:t>”）。</w:t>
      </w:r>
    </w:p>
    <w:p w14:paraId="43068D1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但是，随着医疗决策越来越多地依赖于SaMD输出提供的信息，这些决策将能够影响临床结局和患者护理。因此，全球的监管机构均期望SaMD的性能指标具有同样严格的科学水平，并与SaMD的风险和影响相</w:t>
      </w:r>
      <w:r>
        <w:rPr>
          <w:rFonts w:hint="eastAsia" w:ascii="Times New Roman" w:hAnsi="Times New Roman" w:eastAsia="宋体" w:cs="宋体"/>
          <w:lang w:eastAsia="zh-CN"/>
        </w:rPr>
        <w:t>匹配</w:t>
      </w:r>
      <w:r>
        <w:rPr>
          <w:rFonts w:ascii="Times New Roman" w:hAnsi="Times New Roman" w:eastAsia="宋体" w:cs="宋体"/>
          <w:lang w:eastAsia="zh-CN"/>
        </w:rPr>
        <w:t>，以证明安全性、有效性和性能均有保证。</w:t>
      </w:r>
    </w:p>
    <w:p w14:paraId="6D5F3552">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88D6AB2">
      <w:pPr>
        <w:pStyle w:val="36"/>
        <w:rPr>
          <w:rFonts w:eastAsia="宋体"/>
          <w:lang w:eastAsia="zh-CN"/>
        </w:rPr>
      </w:pPr>
      <w:bookmarkStart w:id="3" w:name="_Toc92183884"/>
      <w:r>
        <w:rPr>
          <w:rFonts w:eastAsia="宋体" w:cs="宋体"/>
          <w:lang w:eastAsia="zh-CN"/>
        </w:rPr>
        <w:t>4.0 范围</w:t>
      </w:r>
      <w:bookmarkEnd w:id="3"/>
    </w:p>
    <w:p w14:paraId="64431BAF">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lang w:eastAsia="zh-CN"/>
        </w:rPr>
        <w:t>本文件侧重于对SaMD进行临床评价所需的活动，并依赖于读者从之前版本的文件中获取知识，作为本文件的先决条件。</w:t>
      </w:r>
      <w:r>
        <w:rPr>
          <w:rFonts w:ascii="Times New Roman" w:hAnsi="Times New Roman" w:eastAsia="宋体" w:cs="宋体"/>
        </w:rPr>
        <w:t>具体而言，本文件：</w:t>
      </w:r>
    </w:p>
    <w:p w14:paraId="7D89ED80">
      <w:pPr>
        <w:pStyle w:val="37"/>
        <w:numPr>
          <w:ilvl w:val="0"/>
          <w:numId w:val="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希望读者了解之前版本的IMDRF SaMD文件的词汇、方法和常识；</w:t>
      </w:r>
    </w:p>
    <w:p w14:paraId="2F693B0A">
      <w:pPr>
        <w:pStyle w:val="37"/>
        <w:numPr>
          <w:ilvl w:val="0"/>
          <w:numId w:val="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希望读者了解这些概念仅限于SaMD，如</w:t>
      </w:r>
      <w:r>
        <w:rPr>
          <w:rFonts w:ascii="Times New Roman" w:hAnsi="Times New Roman" w:eastAsia="宋体" w:cs="宋体"/>
          <w:i/>
          <w:color w:val="0000FF"/>
          <w:u w:val="single"/>
          <w:lang w:eastAsia="zh-CN"/>
        </w:rPr>
        <w:t>SaMD N10</w:t>
      </w:r>
      <w:r>
        <w:rPr>
          <w:rFonts w:ascii="Times New Roman" w:hAnsi="Times New Roman" w:eastAsia="宋体" w:cs="宋体"/>
          <w:i/>
          <w:vertAlign w:val="superscript"/>
          <w:lang w:eastAsia="zh-CN"/>
        </w:rPr>
        <w:t>[1]</w:t>
      </w:r>
      <w:r>
        <w:rPr>
          <w:rFonts w:ascii="Times New Roman" w:hAnsi="Times New Roman" w:eastAsia="宋体" w:cs="宋体"/>
          <w:lang w:eastAsia="zh-CN"/>
        </w:rPr>
        <w:t>中所定义，重点关注具有医疗用途的软件；和</w:t>
      </w:r>
    </w:p>
    <w:p w14:paraId="730ACC11">
      <w:pPr>
        <w:pStyle w:val="37"/>
        <w:numPr>
          <w:ilvl w:val="0"/>
          <w:numId w:val="3"/>
        </w:numPr>
        <w:adjustRightInd w:val="0"/>
        <w:snapToGrid w:val="0"/>
        <w:spacing w:before="120" w:beforeLines="50" w:line="300" w:lineRule="auto"/>
        <w:ind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指（根据需要予以解释） -- 之前版本的全球协调工作组（GHTF</w:t>
      </w:r>
      <w:r>
        <w:rPr>
          <w:rFonts w:ascii="Times New Roman" w:hAnsi="Times New Roman" w:eastAsia="宋体" w:cs="宋体"/>
          <w:vertAlign w:val="superscript"/>
          <w:lang w:eastAsia="zh-CN"/>
        </w:rPr>
        <w:t>3</w:t>
      </w:r>
      <w:r>
        <w:rPr>
          <w:rFonts w:ascii="Times New Roman" w:hAnsi="Times New Roman" w:eastAsia="宋体" w:cs="宋体"/>
          <w:lang w:eastAsia="zh-CN"/>
        </w:rPr>
        <w:t>）和IMDRF文件，其针对证明SaMD性能指标的临床评价，提供术语、概念和原则的共识和应用。</w:t>
      </w:r>
    </w:p>
    <w:p w14:paraId="0043956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本文件未详尽阐述与SaMD相关的所有监管要求，这些要求可能因管辖区而异（例如知情同意书、上市前监管审查）。此外，本文件不重复之前版本的SaMD文件中的以下概念：</w:t>
      </w:r>
    </w:p>
    <w:p w14:paraId="3BC823C8">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SaMD定义（</w:t>
      </w:r>
      <w:r>
        <w:fldChar w:fldCharType="begin"/>
      </w:r>
      <w:r>
        <w:instrText xml:space="preserve"> HYPERLINK "http://www.imdrf.org/docs/imdrf/final/technical/imdrf-tech-131209-samd-key-definitions-140901.pdf" </w:instrText>
      </w:r>
      <w:r>
        <w:fldChar w:fldCharType="separate"/>
      </w:r>
      <w:r>
        <w:rPr>
          <w:rFonts w:ascii="Times New Roman" w:hAnsi="Times New Roman" w:eastAsia="宋体" w:cs="宋体"/>
          <w:i/>
          <w:iCs/>
          <w:snapToGrid w:val="0"/>
          <w:color w:val="0000FF"/>
          <w:u w:val="single"/>
        </w:rPr>
        <w:t>SaMD N10</w:t>
      </w:r>
      <w:r>
        <w:rPr>
          <w:rFonts w:ascii="Times New Roman" w:hAnsi="Times New Roman" w:eastAsia="宋体" w:cs="宋体"/>
          <w:i/>
          <w:iCs/>
          <w:snapToGrid w:val="0"/>
          <w:color w:val="0000FF"/>
          <w:u w:val="single"/>
        </w:rPr>
        <w:fldChar w:fldCharType="end"/>
      </w:r>
      <w:r>
        <w:rPr>
          <w:rFonts w:ascii="Times New Roman" w:hAnsi="Times New Roman" w:eastAsia="宋体" w:cs="宋体"/>
          <w:i/>
          <w:vertAlign w:val="superscript"/>
        </w:rPr>
        <w:t>[1]</w:t>
      </w:r>
      <w:r>
        <w:rPr>
          <w:rFonts w:ascii="Times New Roman" w:hAnsi="Times New Roman" w:eastAsia="宋体" w:cs="宋体"/>
        </w:rPr>
        <w:t>）；</w:t>
      </w:r>
    </w:p>
    <w:p w14:paraId="08117771">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SaMD示例（</w:t>
      </w:r>
      <w:r>
        <w:fldChar w:fldCharType="begin"/>
      </w:r>
      <w:r>
        <w:instrText xml:space="preserve"> HYPERLINK "http://www.imdrf.org/docs/imdrf/final/technical/imdrf-tech-140918-samd-framework-risk-categorization-141013.pdf" </w:instrText>
      </w:r>
      <w:r>
        <w:fldChar w:fldCharType="separate"/>
      </w:r>
      <w:r>
        <w:rPr>
          <w:rFonts w:ascii="Times New Roman" w:hAnsi="Times New Roman" w:eastAsia="宋体" w:cs="宋体"/>
          <w:i/>
          <w:iCs/>
          <w:snapToGrid w:val="0"/>
          <w:color w:val="0000FF"/>
          <w:u w:val="single"/>
        </w:rPr>
        <w:t>SaMD N12</w:t>
      </w:r>
      <w:r>
        <w:rPr>
          <w:rFonts w:ascii="Times New Roman" w:hAnsi="Times New Roman" w:eastAsia="宋体" w:cs="宋体"/>
          <w:i/>
          <w:iCs/>
          <w:snapToGrid w:val="0"/>
          <w:color w:val="0000FF"/>
          <w:u w:val="single"/>
        </w:rPr>
        <w:fldChar w:fldCharType="end"/>
      </w:r>
      <w:r>
        <w:rPr>
          <w:rFonts w:ascii="Times New Roman" w:hAnsi="Times New Roman" w:eastAsia="宋体" w:cs="宋体"/>
          <w:i/>
          <w:vertAlign w:val="superscript"/>
        </w:rPr>
        <w:t>[2]</w:t>
      </w:r>
      <w:r>
        <w:rPr>
          <w:rFonts w:ascii="Times New Roman" w:hAnsi="Times New Roman" w:eastAsia="宋体" w:cs="宋体"/>
        </w:rPr>
        <w:t>）；</w:t>
      </w:r>
    </w:p>
    <w:p w14:paraId="211FEC5D">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SaMD所属的风险分类和对风险类别的描述（</w:t>
      </w:r>
      <w:r>
        <w:fldChar w:fldCharType="begin"/>
      </w:r>
      <w:r>
        <w:instrText xml:space="preserve"> HYPERLINK "http://www.imdrf.org/docs/imdrf/final/technical/imdrf-tech-140918-samd-framework-risk-categorization-141013.pdf" </w:instrText>
      </w:r>
      <w:r>
        <w:fldChar w:fldCharType="separate"/>
      </w:r>
      <w:r>
        <w:rPr>
          <w:rFonts w:ascii="Times New Roman" w:hAnsi="Times New Roman" w:eastAsia="宋体" w:cs="宋体"/>
          <w:i/>
          <w:iCs/>
          <w:snapToGrid w:val="0"/>
          <w:color w:val="0000FF"/>
          <w:u w:val="single"/>
          <w:lang w:eastAsia="zh-CN"/>
        </w:rPr>
        <w:t>SaMD N12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）；和</w:t>
      </w:r>
    </w:p>
    <w:p w14:paraId="60BB7C1B">
      <w:pPr>
        <w:pStyle w:val="37"/>
        <w:numPr>
          <w:ilvl w:val="0"/>
          <w:numId w:val="4"/>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SaMD适用的质量管理原则（</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iCs/>
          <w:snapToGrid w:val="0"/>
          <w:color w:val="0000FF"/>
          <w:u w:val="single"/>
        </w:rPr>
        <w:t>SaMD N23</w:t>
      </w:r>
      <w:r>
        <w:rPr>
          <w:rFonts w:ascii="Times New Roman" w:hAnsi="Times New Roman" w:eastAsia="宋体" w:cs="宋体"/>
          <w:i/>
          <w:iCs/>
          <w:snapToGrid w:val="0"/>
          <w:color w:val="0000FF"/>
          <w:u w:val="single"/>
        </w:rPr>
        <w:fldChar w:fldCharType="end"/>
      </w:r>
      <w:r>
        <w:rPr>
          <w:rFonts w:ascii="Times New Roman" w:hAnsi="Times New Roman" w:eastAsia="宋体" w:cs="宋体"/>
          <w:i/>
          <w:vertAlign w:val="superscript"/>
        </w:rPr>
        <w:t>[3]</w:t>
      </w:r>
      <w:r>
        <w:rPr>
          <w:rFonts w:ascii="Times New Roman" w:hAnsi="Times New Roman" w:eastAsia="宋体" w:cs="宋体"/>
        </w:rPr>
        <w:t>）。</w:t>
      </w:r>
    </w:p>
    <w:p w14:paraId="13950D39">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58290F62">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3A400DF9">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4664EE76">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291CF903">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5789C141">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5AC7BA4C">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3B42CDBA">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0CDB236D">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4DEAD1AE">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447AEC2F">
      <w:pPr>
        <w:pStyle w:val="29"/>
        <w:tabs>
          <w:tab w:val="left" w:pos="120"/>
        </w:tabs>
        <w:adjustRightInd w:val="0"/>
        <w:snapToGrid w:val="0"/>
        <w:spacing w:before="120" w:beforeLines="50" w:line="300" w:lineRule="auto"/>
        <w:jc w:val="both"/>
        <w:rPr>
          <w:rFonts w:eastAsia="宋体"/>
          <w:snapToGrid w:val="0"/>
          <w:sz w:val="24"/>
          <w:szCs w:val="24"/>
          <w:shd w:val="clear" w:color="auto" w:fill="FFFFFF"/>
          <w:vertAlign w:val="superscript"/>
          <w:lang w:eastAsia="zh-CN"/>
        </w:rPr>
      </w:pPr>
    </w:p>
    <w:p w14:paraId="3AC39719">
      <w:pPr>
        <w:pStyle w:val="29"/>
        <w:tabs>
          <w:tab w:val="left" w:pos="120"/>
        </w:tabs>
        <w:adjustRightInd w:val="0"/>
        <w:snapToGrid w:val="0"/>
        <w:spacing w:before="120" w:beforeLines="50" w:line="300" w:lineRule="auto"/>
        <w:jc w:val="both"/>
        <w:rPr>
          <w:rFonts w:eastAsia="宋体"/>
          <w:snapToGrid w:val="0"/>
          <w:sz w:val="24"/>
          <w:szCs w:val="24"/>
          <w:shd w:val="clear" w:color="auto" w:fill="FFFFFF"/>
          <w:lang w:eastAsia="zh-CN"/>
        </w:rPr>
      </w:pPr>
      <w:r>
        <w:rPr>
          <w:rFonts w:eastAsia="宋体" w:cs="宋体"/>
          <w:sz w:val="24"/>
        </w:rPr>
        <w:t>_____________________</w:t>
      </w:r>
    </w:p>
    <w:p w14:paraId="7C88739E">
      <w:pPr>
        <w:pStyle w:val="29"/>
        <w:tabs>
          <w:tab w:val="left" w:pos="120"/>
        </w:tabs>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3</w:t>
      </w:r>
      <w:r>
        <w:rPr>
          <w:rFonts w:eastAsia="宋体" w:cs="宋体"/>
          <w:sz w:val="21"/>
          <w:lang w:eastAsia="zh-CN"/>
        </w:rPr>
        <w:t xml:space="preserve"> GHTF（</w:t>
      </w:r>
      <w:r>
        <w:rPr>
          <w:rFonts w:eastAsia="宋体" w:cs="宋体"/>
          <w:lang w:eastAsia="zh-CN"/>
        </w:rPr>
        <w:t>Global Harmonization Task Force</w:t>
      </w:r>
      <w:r>
        <w:rPr>
          <w:rFonts w:eastAsia="宋体" w:cs="宋体"/>
          <w:sz w:val="21"/>
          <w:lang w:eastAsia="zh-CN"/>
        </w:rPr>
        <w:t>）是一个志愿组织，由来自各国医疗器械监管机构和行业的代表组成。GHTF于2012年解散，由IMDRF代为执行其使命。</w:t>
      </w:r>
    </w:p>
    <w:p w14:paraId="19C876ED">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A8725C2">
      <w:pPr>
        <w:pStyle w:val="36"/>
        <w:rPr>
          <w:rFonts w:eastAsia="宋体"/>
          <w:lang w:eastAsia="zh-CN"/>
        </w:rPr>
      </w:pPr>
      <w:bookmarkStart w:id="4" w:name="_Toc92183885"/>
      <w:r>
        <w:rPr>
          <w:rFonts w:eastAsia="宋体" w:cs="宋体"/>
          <w:lang w:eastAsia="zh-CN"/>
        </w:rPr>
        <w:t>5.0 定义</w:t>
      </w:r>
      <w:bookmarkEnd w:id="4"/>
    </w:p>
    <w:p w14:paraId="6DC05E23">
      <w:pPr>
        <w:pStyle w:val="40"/>
        <w:rPr>
          <w:rFonts w:eastAsia="宋体"/>
        </w:rPr>
      </w:pPr>
      <w:bookmarkStart w:id="5" w:name="_Toc92183886"/>
      <w:r>
        <w:rPr>
          <w:rFonts w:eastAsia="宋体" w:cs="宋体"/>
        </w:rPr>
        <w:t xml:space="preserve">5.1 </w:t>
      </w:r>
      <w:r>
        <w:rPr>
          <w:rFonts w:eastAsia="宋体" w:cs="宋体"/>
        </w:rPr>
        <w:tab/>
      </w:r>
      <w:r>
        <w:rPr>
          <w:rFonts w:eastAsia="宋体" w:cs="宋体"/>
        </w:rPr>
        <w:t>SaMD的临床评价</w:t>
      </w:r>
      <w:bookmarkEnd w:id="5"/>
    </w:p>
    <w:tbl>
      <w:tblPr>
        <w:tblStyle w:val="11"/>
        <w:tblW w:w="9360" w:type="dxa"/>
        <w:tblInd w:w="0" w:type="dxa"/>
        <w:tblLayout w:type="fixed"/>
        <w:tblCellMar>
          <w:top w:w="0" w:type="dxa"/>
          <w:left w:w="108" w:type="dxa"/>
          <w:bottom w:w="0" w:type="dxa"/>
          <w:right w:w="108" w:type="dxa"/>
        </w:tblCellMar>
      </w:tblPr>
      <w:tblGrid>
        <w:gridCol w:w="5760"/>
        <w:gridCol w:w="3600"/>
      </w:tblGrid>
      <w:tr w14:paraId="41BBBFC7">
        <w:tblPrEx>
          <w:tblCellMar>
            <w:top w:w="0" w:type="dxa"/>
            <w:left w:w="108" w:type="dxa"/>
            <w:bottom w:w="0" w:type="dxa"/>
            <w:right w:w="108" w:type="dxa"/>
          </w:tblCellMar>
        </w:tblPrEx>
        <w:tc>
          <w:tcPr>
            <w:tcW w:w="5760" w:type="dxa"/>
            <w:vMerge w:val="restart"/>
            <w:tcBorders>
              <w:right w:val="single" w:color="auto" w:sz="4" w:space="0"/>
            </w:tcBorders>
            <w:shd w:val="clear" w:color="auto" w:fill="FFFFFF"/>
          </w:tcPr>
          <w:p w14:paraId="07E85CAE">
            <w:pPr>
              <w:pStyle w:val="17"/>
              <w:adjustRightInd w:val="0"/>
              <w:snapToGrid w:val="0"/>
              <w:spacing w:before="120" w:beforeLines="50" w:after="0" w:line="300" w:lineRule="auto"/>
              <w:jc w:val="both"/>
              <w:rPr>
                <w:rFonts w:eastAsia="宋体"/>
                <w:snapToGrid w:val="0"/>
                <w:lang w:eastAsia="zh-CN"/>
              </w:rPr>
            </w:pPr>
            <w:r>
              <w:rPr>
                <w:rFonts w:eastAsia="宋体" w:cs="宋体"/>
                <w:lang w:eastAsia="zh-CN"/>
              </w:rPr>
              <w:t>就本文件而言，“SaMD的临床评价”定义为制造商在SaMD定义声明中预期对SaMD的临床安全性、有效性和性能进行评估和分析时开展的一系列持续活动。</w:t>
            </w:r>
          </w:p>
          <w:p w14:paraId="78382B57">
            <w:pPr>
              <w:pStyle w:val="17"/>
              <w:adjustRightInd w:val="0"/>
              <w:snapToGrid w:val="0"/>
              <w:spacing w:before="120" w:beforeLines="50" w:after="0" w:line="300" w:lineRule="auto"/>
              <w:jc w:val="both"/>
              <w:rPr>
                <w:snapToGrid w:val="0"/>
              </w:rPr>
            </w:pPr>
            <w:r>
              <w:rPr>
                <w:rFonts w:eastAsia="宋体" w:cs="宋体"/>
              </w:rPr>
              <w:t>该定义与之前版本的SaMD文件一致，改编自</w:t>
            </w:r>
            <w:r>
              <w:fldChar w:fldCharType="begin"/>
            </w:r>
            <w:r>
              <w:instrText xml:space="preserve"> HYPERLINK "http://www.imdrf.org/docs/ghtf/final/sg5/technical-docs/ghtf-sg5-n2r8-2007-clinical-evaluation-070501.pdf" </w:instrText>
            </w:r>
            <w:r>
              <w:fldChar w:fldCharType="separate"/>
            </w:r>
            <w:r>
              <w:rPr>
                <w:rStyle w:val="14"/>
                <w:rFonts w:eastAsia="宋体" w:cs="宋体"/>
              </w:rPr>
              <w:t>GHTF SG5 N2R8:2007</w:t>
            </w:r>
            <w:r>
              <w:rPr>
                <w:rStyle w:val="14"/>
                <w:rFonts w:eastAsia="宋体" w:cs="宋体"/>
              </w:rPr>
              <w:fldChar w:fldCharType="end"/>
            </w:r>
            <w:r>
              <w:rPr>
                <w:rFonts w:eastAsia="宋体" w:cs="宋体"/>
                <w:i/>
                <w:vertAlign w:val="superscript"/>
              </w:rPr>
              <w:t>[8]</w:t>
            </w:r>
            <w:r>
              <w:rPr>
                <w:rFonts w:eastAsia="宋体" w:cs="宋体"/>
              </w:rPr>
              <w:t>。</w:t>
            </w:r>
          </w:p>
        </w:tc>
        <w:tc>
          <w:tcPr>
            <w:tcW w:w="3600" w:type="dxa"/>
            <w:tcBorders>
              <w:top w:val="single" w:color="auto" w:sz="4" w:space="0"/>
              <w:left w:val="single" w:color="auto" w:sz="4" w:space="0"/>
              <w:bottom w:val="single" w:color="auto" w:sz="4" w:space="0"/>
              <w:right w:val="single" w:color="auto" w:sz="4" w:space="0"/>
            </w:tcBorders>
            <w:shd w:val="clear" w:color="auto" w:fill="7F7F7F"/>
            <w:vAlign w:val="bottom"/>
          </w:tcPr>
          <w:p w14:paraId="1DE3A849">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临床评价</w:t>
            </w:r>
          </w:p>
        </w:tc>
      </w:tr>
      <w:tr w14:paraId="5B16851C">
        <w:tblPrEx>
          <w:tblCellMar>
            <w:top w:w="0" w:type="dxa"/>
            <w:left w:w="108" w:type="dxa"/>
            <w:bottom w:w="0" w:type="dxa"/>
            <w:right w:w="108" w:type="dxa"/>
          </w:tblCellMar>
        </w:tblPrEx>
        <w:tc>
          <w:tcPr>
            <w:tcW w:w="5760" w:type="dxa"/>
            <w:vMerge w:val="continue"/>
            <w:shd w:val="clear" w:color="auto" w:fill="FFFFFF"/>
          </w:tcPr>
          <w:p w14:paraId="5AB9052A">
            <w:pPr>
              <w:pStyle w:val="17"/>
              <w:adjustRightInd w:val="0"/>
              <w:snapToGrid w:val="0"/>
              <w:spacing w:before="120" w:beforeLines="50" w:after="0" w:line="300" w:lineRule="auto"/>
              <w:jc w:val="both"/>
              <w:rPr>
                <w:snapToGrid w:val="0"/>
              </w:rPr>
            </w:pPr>
          </w:p>
        </w:tc>
        <w:tc>
          <w:tcPr>
            <w:tcW w:w="3600" w:type="dxa"/>
            <w:tcBorders>
              <w:top w:val="single" w:color="auto" w:sz="4" w:space="0"/>
              <w:bottom w:val="single" w:color="auto" w:sz="4" w:space="0"/>
            </w:tcBorders>
            <w:shd w:val="clear" w:color="auto" w:fill="auto"/>
            <w:vAlign w:val="bottom"/>
          </w:tcPr>
          <w:p w14:paraId="07080E3A">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p>
        </w:tc>
      </w:tr>
      <w:tr w14:paraId="0FC72CEE">
        <w:tblPrEx>
          <w:tblCellMar>
            <w:top w:w="0" w:type="dxa"/>
            <w:left w:w="108" w:type="dxa"/>
            <w:bottom w:w="0" w:type="dxa"/>
            <w:right w:w="108" w:type="dxa"/>
          </w:tblCellMar>
        </w:tblPrEx>
        <w:tc>
          <w:tcPr>
            <w:tcW w:w="5760" w:type="dxa"/>
            <w:vMerge w:val="continue"/>
            <w:tcBorders>
              <w:right w:val="single" w:color="auto" w:sz="4" w:space="0"/>
            </w:tcBorders>
            <w:shd w:val="clear" w:color="auto" w:fill="FFFFFF"/>
            <w:vAlign w:val="center"/>
          </w:tcPr>
          <w:p w14:paraId="09FD6C4D">
            <w:pPr>
              <w:adjustRightInd w:val="0"/>
              <w:snapToGrid w:val="0"/>
              <w:spacing w:before="120" w:beforeLines="50" w:line="300" w:lineRule="auto"/>
              <w:jc w:val="both"/>
              <w:rPr>
                <w:rFonts w:ascii="Times New Roman" w:hAnsi="Times New Roman" w:cs="Times New Roman"/>
                <w:snapToGrid w:val="0"/>
              </w:rPr>
            </w:pPr>
          </w:p>
        </w:tc>
        <w:tc>
          <w:tcPr>
            <w:tcW w:w="3600" w:type="dxa"/>
            <w:tcBorders>
              <w:top w:val="single" w:color="auto" w:sz="4" w:space="0"/>
              <w:left w:val="single" w:color="auto" w:sz="4" w:space="0"/>
              <w:bottom w:val="single" w:color="auto" w:sz="4" w:space="0"/>
              <w:right w:val="single" w:color="auto" w:sz="4" w:space="0"/>
            </w:tcBorders>
            <w:shd w:val="clear" w:color="auto" w:fill="7F7F7F"/>
            <w:vAlign w:val="bottom"/>
          </w:tcPr>
          <w:p w14:paraId="5A307361">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与医疗器械相关的临床数据评估和分析，以验证该器械按制造商的预期使用时的临床安全性、性能和有效性。</w:t>
            </w:r>
          </w:p>
        </w:tc>
      </w:tr>
      <w:tr w14:paraId="59C095B2">
        <w:tblPrEx>
          <w:tblCellMar>
            <w:top w:w="0" w:type="dxa"/>
            <w:left w:w="108" w:type="dxa"/>
            <w:bottom w:w="0" w:type="dxa"/>
            <w:right w:w="108" w:type="dxa"/>
          </w:tblCellMar>
        </w:tblPrEx>
        <w:tc>
          <w:tcPr>
            <w:tcW w:w="5760" w:type="dxa"/>
            <w:vMerge w:val="continue"/>
            <w:shd w:val="clear" w:color="auto" w:fill="FFFFFF"/>
            <w:vAlign w:val="center"/>
          </w:tcPr>
          <w:p w14:paraId="67134E05">
            <w:pPr>
              <w:adjustRightInd w:val="0"/>
              <w:snapToGrid w:val="0"/>
              <w:spacing w:before="120" w:beforeLines="50" w:line="300" w:lineRule="auto"/>
              <w:jc w:val="both"/>
              <w:rPr>
                <w:rFonts w:ascii="Times New Roman" w:hAnsi="Times New Roman" w:cs="Times New Roman"/>
                <w:snapToGrid w:val="0"/>
                <w:lang w:eastAsia="zh-CN"/>
              </w:rPr>
            </w:pPr>
          </w:p>
        </w:tc>
        <w:tc>
          <w:tcPr>
            <w:tcW w:w="3600" w:type="dxa"/>
            <w:tcBorders>
              <w:top w:val="single" w:color="auto" w:sz="4" w:space="0"/>
            </w:tcBorders>
            <w:shd w:val="clear" w:color="auto" w:fill="FFFFFF"/>
          </w:tcPr>
          <w:p w14:paraId="6AA5126B">
            <w:pPr>
              <w:pStyle w:val="17"/>
              <w:adjustRightInd w:val="0"/>
              <w:snapToGrid w:val="0"/>
              <w:spacing w:before="120" w:beforeLines="50" w:after="0" w:line="300" w:lineRule="auto"/>
              <w:jc w:val="center"/>
              <w:rPr>
                <w:snapToGrid w:val="0"/>
                <w:sz w:val="21"/>
                <w:szCs w:val="21"/>
              </w:rPr>
            </w:pPr>
            <w:r>
              <w:rPr>
                <w:rFonts w:eastAsia="宋体" w:cs="宋体"/>
                <w:b/>
                <w:sz w:val="21"/>
              </w:rPr>
              <w:t>图5 - 临床评价</w:t>
            </w:r>
          </w:p>
        </w:tc>
      </w:tr>
    </w:tbl>
    <w:p w14:paraId="4C3BAD0C">
      <w:pPr>
        <w:rPr>
          <w:rFonts w:ascii="Times New Roman" w:hAnsi="Times New Roman" w:eastAsia="宋体"/>
        </w:rPr>
      </w:pPr>
    </w:p>
    <w:tbl>
      <w:tblPr>
        <w:tblStyle w:val="11"/>
        <w:tblW w:w="9499" w:type="dxa"/>
        <w:tblInd w:w="0" w:type="dxa"/>
        <w:tblLayout w:type="fixed"/>
        <w:tblCellMar>
          <w:top w:w="0" w:type="dxa"/>
          <w:left w:w="108" w:type="dxa"/>
          <w:bottom w:w="0" w:type="dxa"/>
          <w:right w:w="108" w:type="dxa"/>
        </w:tblCellMar>
      </w:tblPr>
      <w:tblGrid>
        <w:gridCol w:w="9499"/>
      </w:tblGrid>
      <w:tr w14:paraId="19EEEA12">
        <w:tblPrEx>
          <w:tblCellMar>
            <w:top w:w="0" w:type="dxa"/>
            <w:left w:w="108" w:type="dxa"/>
            <w:bottom w:w="0" w:type="dxa"/>
            <w:right w:w="108" w:type="dxa"/>
          </w:tblCellMar>
        </w:tblPrEx>
        <w:tc>
          <w:tcPr>
            <w:tcW w:w="9499" w:type="dxa"/>
            <w:tcBorders>
              <w:top w:val="single" w:color="auto" w:sz="4" w:space="0"/>
              <w:left w:val="single" w:color="auto" w:sz="4" w:space="0"/>
              <w:bottom w:val="single" w:color="auto" w:sz="4" w:space="0"/>
              <w:right w:val="single" w:color="auto" w:sz="4" w:space="0"/>
            </w:tcBorders>
            <w:shd w:val="clear" w:color="auto" w:fill="FFFFFF"/>
            <w:vAlign w:val="center"/>
          </w:tcPr>
          <w:p w14:paraId="286A87F7">
            <w:pPr>
              <w:pStyle w:val="17"/>
              <w:adjustRightInd w:val="0"/>
              <w:snapToGrid w:val="0"/>
              <w:spacing w:before="36" w:beforeLines="15" w:after="0" w:line="276" w:lineRule="auto"/>
              <w:jc w:val="both"/>
              <w:textAlignment w:val="center"/>
              <w:rPr>
                <w:snapToGrid w:val="0"/>
                <w:sz w:val="21"/>
                <w:szCs w:val="21"/>
                <w:lang w:eastAsia="zh-CN"/>
              </w:rPr>
            </w:pPr>
            <w:r>
              <w:rPr>
                <w:rFonts w:ascii="宋体" w:hAnsi="宋体" w:eastAsia="宋体" w:cs="宋体"/>
                <w:sz w:val="21"/>
                <w:szCs w:val="21"/>
                <w:lang w:eastAsia="zh-CN" w:bidi="ar-SA"/>
              </w:rPr>
              <w:drawing>
                <wp:inline distT="0" distB="0" distL="0" distR="0">
                  <wp:extent cx="342265" cy="361315"/>
                  <wp:effectExtent l="0" t="0" r="635" b="63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r>
              <w:rPr>
                <w:rFonts w:eastAsia="宋体" w:cs="宋体"/>
                <w:b/>
                <w:i/>
                <w:sz w:val="21"/>
                <w:szCs w:val="21"/>
                <w:lang w:eastAsia="zh-CN"/>
              </w:rPr>
              <w:t xml:space="preserve">   临床评价</w:t>
            </w:r>
            <w:r>
              <w:rPr>
                <w:rFonts w:eastAsia="宋体" w:cs="宋体"/>
                <w:i/>
                <w:sz w:val="21"/>
                <w:szCs w:val="21"/>
                <w:lang w:eastAsia="zh-CN"/>
              </w:rPr>
              <w:t>参见</w:t>
            </w:r>
            <w:r>
              <w:fldChar w:fldCharType="begin"/>
            </w:r>
            <w:r>
              <w:instrText xml:space="preserve"> HYPERLINK "http://www.imdrf.org/docs/ghtf/final/sg5/technical-docs/ghtf-sg5-n2r8-2007-clinical-evaluation-070501.pdf" </w:instrText>
            </w:r>
            <w:r>
              <w:fldChar w:fldCharType="separate"/>
            </w:r>
            <w:r>
              <w:rPr>
                <w:rFonts w:eastAsia="宋体" w:cs="宋体"/>
                <w:i/>
                <w:iCs/>
                <w:snapToGrid w:val="0"/>
                <w:color w:val="0000FF"/>
                <w:sz w:val="21"/>
                <w:szCs w:val="21"/>
                <w:u w:val="single"/>
                <w:lang w:eastAsia="zh-CN"/>
              </w:rPr>
              <w:t>GHTF SG5 N2R8:2007</w:t>
            </w:r>
            <w:r>
              <w:rPr>
                <w:rFonts w:eastAsia="宋体" w:cs="宋体"/>
                <w:i/>
                <w:iCs/>
                <w:snapToGrid w:val="0"/>
                <w:color w:val="0000FF"/>
                <w:sz w:val="21"/>
                <w:szCs w:val="21"/>
                <w:u w:val="single"/>
                <w:lang w:eastAsia="zh-CN"/>
              </w:rPr>
              <w:fldChar w:fldCharType="end"/>
            </w:r>
            <w:r>
              <w:rPr>
                <w:rFonts w:eastAsia="宋体" w:cs="宋体"/>
                <w:i/>
                <w:sz w:val="21"/>
                <w:szCs w:val="21"/>
                <w:u w:val="single"/>
                <w:vertAlign w:val="superscript"/>
                <w:lang w:eastAsia="zh-CN"/>
              </w:rPr>
              <w:t>[8]</w:t>
            </w:r>
          </w:p>
        </w:tc>
      </w:tr>
    </w:tbl>
    <w:p w14:paraId="7D96781F">
      <w:pPr>
        <w:pStyle w:val="27"/>
        <w:adjustRightInd w:val="0"/>
        <w:snapToGrid w:val="0"/>
        <w:spacing w:before="120" w:beforeLines="50" w:line="300" w:lineRule="auto"/>
        <w:jc w:val="both"/>
        <w:rPr>
          <w:rFonts w:eastAsia="宋体"/>
          <w:b/>
          <w:bCs/>
          <w:i w:val="0"/>
          <w:iCs w:val="0"/>
          <w:snapToGrid w:val="0"/>
          <w:color w:val="000000"/>
          <w:sz w:val="24"/>
          <w:szCs w:val="24"/>
          <w:lang w:eastAsia="zh-CN"/>
        </w:rPr>
      </w:pPr>
    </w:p>
    <w:p w14:paraId="108B3753">
      <w:pPr>
        <w:pStyle w:val="40"/>
        <w:rPr>
          <w:rFonts w:eastAsia="宋体"/>
          <w:lang w:eastAsia="zh-CN"/>
        </w:rPr>
      </w:pPr>
      <w:bookmarkStart w:id="6" w:name="_Toc92183887"/>
      <w:r>
        <w:rPr>
          <w:rFonts w:eastAsia="宋体" w:cs="宋体"/>
          <w:lang w:eastAsia="zh-CN"/>
        </w:rPr>
        <w:t xml:space="preserve">5.2 </w:t>
      </w:r>
      <w:r>
        <w:rPr>
          <w:rFonts w:eastAsia="宋体" w:cs="宋体"/>
          <w:lang w:eastAsia="zh-CN"/>
        </w:rPr>
        <w:tab/>
      </w:r>
      <w:r>
        <w:rPr>
          <w:rFonts w:eastAsia="宋体" w:cs="宋体"/>
          <w:lang w:eastAsia="zh-CN"/>
        </w:rPr>
        <w:t>SaMD的有效临床关联</w:t>
      </w:r>
      <w:bookmarkEnd w:id="6"/>
    </w:p>
    <w:tbl>
      <w:tblPr>
        <w:tblStyle w:val="11"/>
        <w:tblW w:w="9327" w:type="dxa"/>
        <w:tblInd w:w="0" w:type="dxa"/>
        <w:tblLayout w:type="fixed"/>
        <w:tblCellMar>
          <w:top w:w="0" w:type="dxa"/>
          <w:left w:w="108" w:type="dxa"/>
          <w:bottom w:w="0" w:type="dxa"/>
          <w:right w:w="108" w:type="dxa"/>
        </w:tblCellMar>
      </w:tblPr>
      <w:tblGrid>
        <w:gridCol w:w="5765"/>
        <w:gridCol w:w="3562"/>
      </w:tblGrid>
      <w:tr w14:paraId="0DD42031">
        <w:tblPrEx>
          <w:tblCellMar>
            <w:top w:w="0" w:type="dxa"/>
            <w:left w:w="108" w:type="dxa"/>
            <w:bottom w:w="0" w:type="dxa"/>
            <w:right w:w="108" w:type="dxa"/>
          </w:tblCellMar>
        </w:tblPrEx>
        <w:tc>
          <w:tcPr>
            <w:tcW w:w="5765" w:type="dxa"/>
            <w:vMerge w:val="restart"/>
            <w:tcBorders>
              <w:right w:val="single" w:color="auto" w:sz="4" w:space="0"/>
            </w:tcBorders>
            <w:shd w:val="clear" w:color="auto" w:fill="FFFFFF"/>
          </w:tcPr>
          <w:p w14:paraId="47D61A95">
            <w:pPr>
              <w:pStyle w:val="17"/>
              <w:adjustRightInd w:val="0"/>
              <w:snapToGrid w:val="0"/>
              <w:spacing w:before="120" w:beforeLines="50" w:after="0" w:line="300" w:lineRule="auto"/>
              <w:jc w:val="both"/>
              <w:rPr>
                <w:snapToGrid w:val="0"/>
                <w:lang w:eastAsia="zh-CN"/>
              </w:rPr>
            </w:pPr>
            <w:r>
              <w:rPr>
                <w:rFonts w:eastAsia="宋体" w:cs="宋体"/>
                <w:lang w:eastAsia="zh-CN"/>
              </w:rPr>
              <w:t>就本文件而言，有效临床关联（又称为“科学有效性”）指SaMD的输出（概念、结论、衡量结果）在临床上被接受或有充分依据（基于已确立的科学框架或证据主体</w:t>
            </w:r>
            <w:r>
              <w:rPr>
                <w:rFonts w:eastAsia="宋体" w:cs="宋体"/>
                <w:vertAlign w:val="superscript"/>
                <w:lang w:eastAsia="zh-CN"/>
              </w:rPr>
              <w:t>4</w:t>
            </w:r>
            <w:r>
              <w:rPr>
                <w:rFonts w:eastAsia="宋体" w:cs="宋体"/>
                <w:lang w:eastAsia="zh-CN"/>
              </w:rPr>
              <w:t>）的程度，并在真实世界应用中与SaMD定义声明中确定的医疗情况和状况准确对应。</w:t>
            </w:r>
          </w:p>
        </w:tc>
        <w:tc>
          <w:tcPr>
            <w:tcW w:w="3562" w:type="dxa"/>
            <w:tcBorders>
              <w:top w:val="single" w:color="auto" w:sz="4" w:space="0"/>
              <w:left w:val="single" w:color="auto" w:sz="4" w:space="0"/>
              <w:bottom w:val="single" w:color="auto" w:sz="4" w:space="0"/>
              <w:right w:val="single" w:color="auto" w:sz="4" w:space="0"/>
            </w:tcBorders>
            <w:shd w:val="clear" w:color="auto" w:fill="1F487C"/>
            <w:vAlign w:val="center"/>
          </w:tcPr>
          <w:p w14:paraId="7BC69F24">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有效临床关联</w:t>
            </w:r>
          </w:p>
        </w:tc>
      </w:tr>
      <w:tr w14:paraId="7836D8FF">
        <w:tblPrEx>
          <w:tblCellMar>
            <w:top w:w="0" w:type="dxa"/>
            <w:left w:w="108" w:type="dxa"/>
            <w:bottom w:w="0" w:type="dxa"/>
            <w:right w:w="108" w:type="dxa"/>
          </w:tblCellMar>
        </w:tblPrEx>
        <w:tc>
          <w:tcPr>
            <w:tcW w:w="5765" w:type="dxa"/>
            <w:vMerge w:val="continue"/>
            <w:shd w:val="clear" w:color="auto" w:fill="FFFFFF"/>
            <w:vAlign w:val="bottom"/>
          </w:tcPr>
          <w:p w14:paraId="1DE3B1DF">
            <w:pPr>
              <w:pStyle w:val="17"/>
              <w:adjustRightInd w:val="0"/>
              <w:snapToGrid w:val="0"/>
              <w:spacing w:before="120" w:beforeLines="50" w:after="0" w:line="300" w:lineRule="auto"/>
              <w:jc w:val="both"/>
              <w:rPr>
                <w:snapToGrid w:val="0"/>
              </w:rPr>
            </w:pPr>
          </w:p>
        </w:tc>
        <w:tc>
          <w:tcPr>
            <w:tcW w:w="3562" w:type="dxa"/>
            <w:tcBorders>
              <w:top w:val="single" w:color="auto" w:sz="4" w:space="0"/>
              <w:bottom w:val="single" w:color="auto" w:sz="4" w:space="0"/>
            </w:tcBorders>
            <w:shd w:val="clear" w:color="auto" w:fill="auto"/>
            <w:vAlign w:val="center"/>
          </w:tcPr>
          <w:p w14:paraId="432B8916">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p>
        </w:tc>
      </w:tr>
      <w:tr w14:paraId="0F52A995">
        <w:tblPrEx>
          <w:tblCellMar>
            <w:top w:w="0" w:type="dxa"/>
            <w:left w:w="108" w:type="dxa"/>
            <w:bottom w:w="0" w:type="dxa"/>
            <w:right w:w="108" w:type="dxa"/>
          </w:tblCellMar>
        </w:tblPrEx>
        <w:trPr>
          <w:trHeight w:val="465" w:hRule="atLeast"/>
        </w:trPr>
        <w:tc>
          <w:tcPr>
            <w:tcW w:w="5765" w:type="dxa"/>
            <w:vMerge w:val="continue"/>
            <w:tcBorders>
              <w:right w:val="single" w:color="auto" w:sz="4" w:space="0"/>
            </w:tcBorders>
            <w:shd w:val="clear" w:color="auto" w:fill="FFFFFF"/>
            <w:vAlign w:val="bottom"/>
          </w:tcPr>
          <w:p w14:paraId="6B2F9DD4">
            <w:pPr>
              <w:adjustRightInd w:val="0"/>
              <w:snapToGrid w:val="0"/>
              <w:spacing w:before="120" w:beforeLines="50" w:line="300" w:lineRule="auto"/>
              <w:jc w:val="both"/>
              <w:rPr>
                <w:rFonts w:ascii="Times New Roman" w:hAnsi="Times New Roman" w:cs="Times New Roman"/>
                <w:snapToGrid w:val="0"/>
              </w:rPr>
            </w:pPr>
          </w:p>
        </w:tc>
        <w:tc>
          <w:tcPr>
            <w:tcW w:w="3562" w:type="dxa"/>
            <w:vMerge w:val="restart"/>
            <w:tcBorders>
              <w:top w:val="single" w:color="auto" w:sz="4" w:space="0"/>
              <w:left w:val="single" w:color="auto" w:sz="4" w:space="0"/>
              <w:bottom w:val="single" w:color="auto" w:sz="4" w:space="0"/>
              <w:right w:val="single" w:color="auto" w:sz="4" w:space="0"/>
            </w:tcBorders>
            <w:shd w:val="clear" w:color="auto" w:fill="1F487C"/>
          </w:tcPr>
          <w:p w14:paraId="1CC6BD23">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SaMD输出与SaMD目标临床状况之间是否存在有效的临床关联？</w:t>
            </w:r>
          </w:p>
        </w:tc>
      </w:tr>
      <w:tr w14:paraId="5AA7B290">
        <w:tblPrEx>
          <w:tblCellMar>
            <w:top w:w="0" w:type="dxa"/>
            <w:left w:w="108" w:type="dxa"/>
            <w:bottom w:w="0" w:type="dxa"/>
            <w:right w:w="108" w:type="dxa"/>
          </w:tblCellMar>
        </w:tblPrEx>
        <w:trPr>
          <w:trHeight w:val="465" w:hRule="atLeast"/>
        </w:trPr>
        <w:tc>
          <w:tcPr>
            <w:tcW w:w="5765" w:type="dxa"/>
            <w:vMerge w:val="continue"/>
            <w:tcBorders>
              <w:right w:val="single" w:color="auto" w:sz="4" w:space="0"/>
            </w:tcBorders>
            <w:shd w:val="clear" w:color="auto" w:fill="FFFFFF"/>
            <w:vAlign w:val="bottom"/>
          </w:tcPr>
          <w:p w14:paraId="71405FA4">
            <w:pPr>
              <w:adjustRightInd w:val="0"/>
              <w:snapToGrid w:val="0"/>
              <w:spacing w:before="120" w:beforeLines="50" w:line="300" w:lineRule="auto"/>
              <w:jc w:val="both"/>
              <w:rPr>
                <w:rFonts w:ascii="Times New Roman" w:hAnsi="Times New Roman" w:cs="Times New Roman"/>
                <w:snapToGrid w:val="0"/>
                <w:lang w:eastAsia="zh-CN"/>
              </w:rPr>
            </w:pPr>
          </w:p>
        </w:tc>
        <w:tc>
          <w:tcPr>
            <w:tcW w:w="3562" w:type="dxa"/>
            <w:vMerge w:val="continue"/>
            <w:tcBorders>
              <w:left w:val="single" w:color="auto" w:sz="4" w:space="0"/>
              <w:bottom w:val="single" w:color="auto" w:sz="4" w:space="0"/>
              <w:right w:val="single" w:color="auto" w:sz="4" w:space="0"/>
            </w:tcBorders>
            <w:shd w:val="clear" w:color="auto" w:fill="1F487C"/>
          </w:tcPr>
          <w:p w14:paraId="4DA1FE5A">
            <w:pPr>
              <w:adjustRightInd w:val="0"/>
              <w:snapToGrid w:val="0"/>
              <w:spacing w:before="120" w:beforeLines="50" w:line="276" w:lineRule="auto"/>
              <w:jc w:val="center"/>
              <w:rPr>
                <w:rFonts w:ascii="Times New Roman" w:hAnsi="Times New Roman" w:cs="Times New Roman"/>
                <w:snapToGrid w:val="0"/>
                <w:sz w:val="21"/>
                <w:szCs w:val="21"/>
                <w:lang w:eastAsia="zh-CN"/>
              </w:rPr>
            </w:pPr>
          </w:p>
        </w:tc>
      </w:tr>
      <w:tr w14:paraId="484D6DF7">
        <w:tblPrEx>
          <w:tblCellMar>
            <w:top w:w="0" w:type="dxa"/>
            <w:left w:w="108" w:type="dxa"/>
            <w:bottom w:w="0" w:type="dxa"/>
            <w:right w:w="108" w:type="dxa"/>
          </w:tblCellMar>
        </w:tblPrEx>
        <w:trPr>
          <w:trHeight w:val="465" w:hRule="atLeast"/>
        </w:trPr>
        <w:tc>
          <w:tcPr>
            <w:tcW w:w="5765" w:type="dxa"/>
            <w:vMerge w:val="continue"/>
            <w:shd w:val="clear" w:color="auto" w:fill="FFFFFF"/>
            <w:vAlign w:val="bottom"/>
          </w:tcPr>
          <w:p w14:paraId="6E7A1F6B">
            <w:pPr>
              <w:adjustRightInd w:val="0"/>
              <w:snapToGrid w:val="0"/>
              <w:spacing w:before="120" w:beforeLines="50" w:line="300" w:lineRule="auto"/>
              <w:jc w:val="both"/>
              <w:rPr>
                <w:rFonts w:ascii="Times New Roman" w:hAnsi="Times New Roman" w:cs="Times New Roman"/>
                <w:snapToGrid w:val="0"/>
                <w:lang w:eastAsia="zh-CN"/>
              </w:rPr>
            </w:pPr>
          </w:p>
        </w:tc>
        <w:tc>
          <w:tcPr>
            <w:tcW w:w="3562" w:type="dxa"/>
            <w:tcBorders>
              <w:top w:val="single" w:color="auto" w:sz="4" w:space="0"/>
            </w:tcBorders>
            <w:shd w:val="clear" w:color="auto" w:fill="FFFFFF"/>
          </w:tcPr>
          <w:p w14:paraId="5E14354B">
            <w:pPr>
              <w:pStyle w:val="17"/>
              <w:adjustRightInd w:val="0"/>
              <w:snapToGrid w:val="0"/>
              <w:spacing w:before="120" w:beforeLines="50" w:after="0" w:line="276" w:lineRule="auto"/>
              <w:jc w:val="center"/>
              <w:rPr>
                <w:snapToGrid w:val="0"/>
                <w:sz w:val="21"/>
                <w:szCs w:val="21"/>
              </w:rPr>
            </w:pPr>
            <w:r>
              <w:rPr>
                <w:rFonts w:eastAsia="宋体" w:cs="宋体"/>
                <w:b/>
                <w:sz w:val="21"/>
              </w:rPr>
              <w:t>图6 - 有效临床关联</w:t>
            </w:r>
          </w:p>
        </w:tc>
      </w:tr>
    </w:tbl>
    <w:p w14:paraId="5D806FE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有</w:t>
      </w:r>
      <w:r>
        <w:rPr>
          <w:rFonts w:hint="eastAsia" w:ascii="Times New Roman" w:hAnsi="Times New Roman" w:eastAsia="宋体" w:cs="宋体"/>
          <w:lang w:eastAsia="zh-CN"/>
        </w:rPr>
        <w:t>效临床关联是临床可接受度水平和</w:t>
      </w:r>
      <w:r>
        <w:rPr>
          <w:rFonts w:ascii="Times New Roman" w:hAnsi="Times New Roman" w:eastAsia="宋体" w:cs="宋体"/>
          <w:lang w:eastAsia="zh-CN"/>
        </w:rPr>
        <w:t>SaMD在预期医疗情况和临床状况/生理状态中的临床意义的含义及置信度指定程度的一种指标。</w:t>
      </w:r>
      <w:r>
        <w:rPr>
          <w:rFonts w:ascii="Times New Roman" w:hAnsi="Times New Roman" w:eastAsia="宋体" w:cs="宋体"/>
          <w:vertAlign w:val="superscript"/>
          <w:lang w:eastAsia="zh-CN"/>
        </w:rPr>
        <w:t>5</w:t>
      </w:r>
    </w:p>
    <w:tbl>
      <w:tblPr>
        <w:tblStyle w:val="11"/>
        <w:tblW w:w="9365"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17"/>
        <w:gridCol w:w="8548"/>
      </w:tblGrid>
      <w:tr w14:paraId="233EFA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17" w:type="dxa"/>
            <w:shd w:val="clear" w:color="auto" w:fill="FFFFFF"/>
          </w:tcPr>
          <w:p w14:paraId="2351BC39">
            <w:pPr>
              <w:pStyle w:val="17"/>
              <w:adjustRightInd w:val="0"/>
              <w:snapToGrid w:val="0"/>
              <w:spacing w:before="36" w:beforeLines="15" w:after="0" w:line="276" w:lineRule="auto"/>
              <w:jc w:val="both"/>
              <w:rPr>
                <w:snapToGrid w:val="0"/>
                <w:sz w:val="21"/>
                <w:szCs w:val="21"/>
              </w:rPr>
            </w:pPr>
            <w:r>
              <w:rPr>
                <w:rFonts w:ascii="宋体" w:hAnsi="宋体" w:eastAsia="宋体" w:cs="宋体"/>
                <w:sz w:val="21"/>
                <w:szCs w:val="21"/>
                <w:lang w:eastAsia="zh-CN" w:bidi="ar-SA"/>
              </w:rPr>
              <w:drawing>
                <wp:inline distT="0" distB="0" distL="0" distR="0">
                  <wp:extent cx="342265" cy="361315"/>
                  <wp:effectExtent l="0" t="0" r="635" b="63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p>
        </w:tc>
        <w:tc>
          <w:tcPr>
            <w:tcW w:w="8548" w:type="dxa"/>
            <w:shd w:val="clear" w:color="auto" w:fill="FFFFFF"/>
          </w:tcPr>
          <w:p w14:paraId="11AE9F3E">
            <w:pPr>
              <w:pStyle w:val="17"/>
              <w:adjustRightInd w:val="0"/>
              <w:snapToGrid w:val="0"/>
              <w:spacing w:before="36" w:beforeLines="15" w:after="0" w:line="276" w:lineRule="auto"/>
              <w:jc w:val="both"/>
              <w:rPr>
                <w:rFonts w:eastAsia="宋体"/>
                <w:b/>
                <w:bCs/>
                <w:i/>
                <w:iCs/>
                <w:snapToGrid w:val="0"/>
                <w:sz w:val="21"/>
                <w:szCs w:val="21"/>
                <w:lang w:eastAsia="zh-CN"/>
              </w:rPr>
            </w:pPr>
            <w:r>
              <w:rPr>
                <w:rFonts w:eastAsia="宋体" w:cs="宋体"/>
                <w:b/>
                <w:i/>
                <w:sz w:val="21"/>
                <w:szCs w:val="21"/>
                <w:lang w:eastAsia="zh-CN"/>
              </w:rPr>
              <w:t>SaMD定义声明</w:t>
            </w:r>
            <w:r>
              <w:rPr>
                <w:rFonts w:eastAsia="宋体" w:cs="宋体"/>
                <w:i/>
                <w:sz w:val="21"/>
                <w:szCs w:val="21"/>
                <w:lang w:eastAsia="zh-CN"/>
              </w:rPr>
              <w:t>参见</w:t>
            </w:r>
            <w:r>
              <w:fldChar w:fldCharType="begin"/>
            </w:r>
            <w:r>
              <w:instrText xml:space="preserve"> HYPERLINK "http://www.imdrf.org/docs/imdrf/final/technical/imdrf-tech-140918-samd-framework-risk-categorization-141013.pdf" </w:instrText>
            </w:r>
            <w:r>
              <w:fldChar w:fldCharType="separate"/>
            </w:r>
            <w:r>
              <w:rPr>
                <w:rFonts w:eastAsia="宋体" w:cs="宋体"/>
                <w:i/>
                <w:iCs/>
                <w:snapToGrid w:val="0"/>
                <w:color w:val="0000FF"/>
                <w:sz w:val="21"/>
                <w:szCs w:val="21"/>
                <w:u w:val="single"/>
                <w:lang w:eastAsia="zh-CN"/>
              </w:rPr>
              <w:t>SaMD N12</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[2]</w:t>
            </w:r>
            <w:r>
              <w:rPr>
                <w:rFonts w:eastAsia="宋体" w:cs="宋体"/>
                <w:i/>
                <w:sz w:val="21"/>
                <w:szCs w:val="21"/>
                <w:lang w:eastAsia="zh-CN"/>
              </w:rPr>
              <w:t>第6.0节</w:t>
            </w:r>
          </w:p>
          <w:p w14:paraId="731FBA67">
            <w:pPr>
              <w:pStyle w:val="17"/>
              <w:adjustRightInd w:val="0"/>
              <w:snapToGrid w:val="0"/>
              <w:spacing w:before="36" w:beforeLines="15" w:after="0" w:line="276" w:lineRule="auto"/>
              <w:jc w:val="both"/>
              <w:rPr>
                <w:snapToGrid w:val="0"/>
                <w:sz w:val="21"/>
                <w:szCs w:val="21"/>
                <w:lang w:eastAsia="zh-CN"/>
              </w:rPr>
            </w:pPr>
            <w:r>
              <w:rPr>
                <w:rFonts w:eastAsia="宋体" w:cs="宋体"/>
                <w:b/>
                <w:i/>
                <w:sz w:val="21"/>
                <w:szCs w:val="21"/>
                <w:lang w:eastAsia="zh-CN"/>
              </w:rPr>
              <w:t>SaMD临床考虑因素</w:t>
            </w:r>
            <w:r>
              <w:rPr>
                <w:rFonts w:eastAsia="宋体" w:cs="宋体"/>
                <w:i/>
                <w:sz w:val="21"/>
                <w:szCs w:val="21"/>
                <w:lang w:eastAsia="zh-CN"/>
              </w:rPr>
              <w:t>参见</w:t>
            </w:r>
            <w:r>
              <w:fldChar w:fldCharType="begin"/>
            </w:r>
            <w:r>
              <w:instrText xml:space="preserve"> HYPERLINK "http://www.imdrf.org/docs/imdrf/final/technical/imdrf-tech-140918-samd-framework-risk-categorization-141013.pdf" </w:instrText>
            </w:r>
            <w:r>
              <w:fldChar w:fldCharType="separate"/>
            </w:r>
            <w:r>
              <w:rPr>
                <w:rFonts w:eastAsia="宋体" w:cs="宋体"/>
                <w:i/>
                <w:iCs/>
                <w:snapToGrid w:val="0"/>
                <w:color w:val="0000FF"/>
                <w:sz w:val="21"/>
                <w:szCs w:val="21"/>
                <w:u w:val="single"/>
                <w:lang w:eastAsia="zh-CN"/>
              </w:rPr>
              <w:t>SaMD N12</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[2]</w:t>
            </w:r>
            <w:r>
              <w:rPr>
                <w:rFonts w:eastAsia="宋体" w:cs="宋体"/>
                <w:i/>
                <w:sz w:val="21"/>
                <w:szCs w:val="21"/>
                <w:lang w:eastAsia="zh-CN"/>
              </w:rPr>
              <w:t>第9.1节</w:t>
            </w:r>
          </w:p>
        </w:tc>
      </w:tr>
    </w:tbl>
    <w:p w14:paraId="420BAFA5">
      <w:pPr>
        <w:pStyle w:val="40"/>
        <w:rPr>
          <w:rFonts w:eastAsia="宋体"/>
          <w:lang w:eastAsia="zh-CN"/>
        </w:rPr>
      </w:pPr>
      <w:bookmarkStart w:id="7" w:name="_Toc92183888"/>
      <w:r>
        <w:rPr>
          <w:rFonts w:eastAsia="宋体" w:cs="宋体"/>
          <w:lang w:eastAsia="zh-CN"/>
        </w:rPr>
        <w:t xml:space="preserve">5.3 </w:t>
      </w:r>
      <w:r>
        <w:rPr>
          <w:rFonts w:eastAsia="宋体" w:cs="宋体"/>
          <w:lang w:eastAsia="zh-CN"/>
        </w:rPr>
        <w:tab/>
      </w:r>
      <w:r>
        <w:rPr>
          <w:rFonts w:eastAsia="宋体" w:cs="宋体"/>
          <w:lang w:eastAsia="zh-CN"/>
        </w:rPr>
        <w:t>SaMD的分析/技术确认</w:t>
      </w:r>
      <w:bookmarkEnd w:id="7"/>
    </w:p>
    <w:tbl>
      <w:tblPr>
        <w:tblStyle w:val="11"/>
        <w:tblW w:w="9293" w:type="dxa"/>
        <w:tblInd w:w="0" w:type="dxa"/>
        <w:tblLayout w:type="fixed"/>
        <w:tblCellMar>
          <w:top w:w="0" w:type="dxa"/>
          <w:left w:w="108" w:type="dxa"/>
          <w:bottom w:w="0" w:type="dxa"/>
          <w:right w:w="108" w:type="dxa"/>
        </w:tblCellMar>
      </w:tblPr>
      <w:tblGrid>
        <w:gridCol w:w="5779"/>
        <w:gridCol w:w="3514"/>
      </w:tblGrid>
      <w:tr w14:paraId="14EF42A5">
        <w:tblPrEx>
          <w:tblCellMar>
            <w:top w:w="0" w:type="dxa"/>
            <w:left w:w="108" w:type="dxa"/>
            <w:bottom w:w="0" w:type="dxa"/>
            <w:right w:w="108" w:type="dxa"/>
          </w:tblCellMar>
        </w:tblPrEx>
        <w:tc>
          <w:tcPr>
            <w:tcW w:w="5779" w:type="dxa"/>
            <w:vMerge w:val="restart"/>
            <w:tcBorders>
              <w:right w:val="single" w:color="auto" w:sz="4" w:space="0"/>
            </w:tcBorders>
            <w:shd w:val="clear" w:color="auto" w:fill="FFFFFF"/>
          </w:tcPr>
          <w:p w14:paraId="555E2E7F">
            <w:pPr>
              <w:pStyle w:val="17"/>
              <w:adjustRightInd w:val="0"/>
              <w:snapToGrid w:val="0"/>
              <w:spacing w:before="120" w:beforeLines="50" w:after="0" w:line="300" w:lineRule="auto"/>
              <w:jc w:val="both"/>
              <w:rPr>
                <w:snapToGrid w:val="0"/>
                <w:lang w:eastAsia="zh-CN"/>
              </w:rPr>
            </w:pPr>
            <w:r>
              <w:rPr>
                <w:rFonts w:eastAsia="宋体" w:cs="宋体"/>
                <w:lang w:eastAsia="zh-CN"/>
              </w:rPr>
              <w:t>分析确认衡量SaMD根据输入数据准确、可靠且精确生成预期技术输出的能力。换句话说，分析确认：</w:t>
            </w:r>
          </w:p>
        </w:tc>
        <w:tc>
          <w:tcPr>
            <w:tcW w:w="3514" w:type="dxa"/>
            <w:tcBorders>
              <w:top w:val="single" w:color="auto" w:sz="4" w:space="0"/>
              <w:left w:val="single" w:color="auto" w:sz="4" w:space="0"/>
              <w:bottom w:val="single" w:color="auto" w:sz="4" w:space="0"/>
              <w:right w:val="single" w:color="auto" w:sz="4" w:space="0"/>
            </w:tcBorders>
            <w:shd w:val="clear" w:color="auto" w:fill="3366FF"/>
            <w:vAlign w:val="center"/>
          </w:tcPr>
          <w:p w14:paraId="192AAB03">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rPr>
              <w:t>分析确认</w:t>
            </w:r>
          </w:p>
        </w:tc>
      </w:tr>
      <w:tr w14:paraId="4F15A786">
        <w:tblPrEx>
          <w:tblCellMar>
            <w:top w:w="0" w:type="dxa"/>
            <w:left w:w="108" w:type="dxa"/>
            <w:bottom w:w="0" w:type="dxa"/>
            <w:right w:w="108" w:type="dxa"/>
          </w:tblCellMar>
        </w:tblPrEx>
        <w:tc>
          <w:tcPr>
            <w:tcW w:w="5779" w:type="dxa"/>
            <w:vMerge w:val="continue"/>
            <w:shd w:val="clear" w:color="auto" w:fill="FFFFFF"/>
          </w:tcPr>
          <w:p w14:paraId="39DC8264">
            <w:pPr>
              <w:adjustRightInd w:val="0"/>
              <w:snapToGrid w:val="0"/>
              <w:spacing w:before="120" w:beforeLines="50" w:line="300" w:lineRule="auto"/>
              <w:jc w:val="both"/>
              <w:rPr>
                <w:rFonts w:ascii="Times New Roman" w:hAnsi="Times New Roman" w:cs="Times New Roman"/>
                <w:snapToGrid w:val="0"/>
              </w:rPr>
            </w:pPr>
          </w:p>
        </w:tc>
        <w:tc>
          <w:tcPr>
            <w:tcW w:w="3514" w:type="dxa"/>
            <w:tcBorders>
              <w:top w:val="single" w:color="auto" w:sz="4" w:space="0"/>
              <w:bottom w:val="single" w:color="auto" w:sz="4" w:space="0"/>
            </w:tcBorders>
            <w:shd w:val="clear" w:color="auto" w:fill="auto"/>
            <w:vAlign w:val="center"/>
          </w:tcPr>
          <w:p w14:paraId="5B8316FC">
            <w:pPr>
              <w:adjustRightInd w:val="0"/>
              <w:snapToGrid w:val="0"/>
              <w:jc w:val="center"/>
              <w:rPr>
                <w:rFonts w:ascii="Times New Roman" w:hAnsi="Times New Roman" w:cs="Times New Roman"/>
                <w:color w:val="FFFFFF" w:themeColor="background1"/>
                <w:sz w:val="21"/>
                <w:szCs w:val="21"/>
                <w14:textFill>
                  <w14:solidFill>
                    <w14:schemeClr w14:val="bg1"/>
                  </w14:solidFill>
                </w14:textFill>
              </w:rPr>
            </w:pPr>
          </w:p>
        </w:tc>
      </w:tr>
      <w:tr w14:paraId="0FE25D63">
        <w:tblPrEx>
          <w:tblCellMar>
            <w:top w:w="0" w:type="dxa"/>
            <w:left w:w="108" w:type="dxa"/>
            <w:bottom w:w="0" w:type="dxa"/>
            <w:right w:w="108" w:type="dxa"/>
          </w:tblCellMar>
        </w:tblPrEx>
        <w:tc>
          <w:tcPr>
            <w:tcW w:w="5779" w:type="dxa"/>
            <w:vMerge w:val="continue"/>
            <w:tcBorders>
              <w:right w:val="single" w:color="auto" w:sz="4" w:space="0"/>
            </w:tcBorders>
            <w:shd w:val="clear" w:color="auto" w:fill="FFFFFF"/>
          </w:tcPr>
          <w:p w14:paraId="0CC8A1B0">
            <w:pPr>
              <w:adjustRightInd w:val="0"/>
              <w:snapToGrid w:val="0"/>
              <w:spacing w:before="120" w:beforeLines="50" w:line="300" w:lineRule="auto"/>
              <w:jc w:val="both"/>
              <w:rPr>
                <w:rFonts w:ascii="Times New Roman" w:hAnsi="Times New Roman" w:cs="Times New Roman"/>
                <w:snapToGrid w:val="0"/>
              </w:rPr>
            </w:pPr>
          </w:p>
        </w:tc>
        <w:tc>
          <w:tcPr>
            <w:tcW w:w="3514" w:type="dxa"/>
            <w:tcBorders>
              <w:top w:val="single" w:color="auto" w:sz="4" w:space="0"/>
              <w:left w:val="single" w:color="auto" w:sz="4" w:space="0"/>
              <w:bottom w:val="single" w:color="auto" w:sz="4" w:space="0"/>
              <w:right w:val="single" w:color="auto" w:sz="4" w:space="0"/>
            </w:tcBorders>
            <w:shd w:val="clear" w:color="auto" w:fill="3366FF"/>
            <w:vAlign w:val="center"/>
          </w:tcPr>
          <w:p w14:paraId="07EFA6E5">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SaMD是否对输入数据进行了正确处理，从而生成准确、可靠且精确的输出数据？</w:t>
            </w:r>
          </w:p>
        </w:tc>
      </w:tr>
      <w:tr w14:paraId="74C03DEF">
        <w:tblPrEx>
          <w:tblCellMar>
            <w:top w:w="0" w:type="dxa"/>
            <w:left w:w="108" w:type="dxa"/>
            <w:bottom w:w="0" w:type="dxa"/>
            <w:right w:w="108" w:type="dxa"/>
          </w:tblCellMar>
        </w:tblPrEx>
        <w:tc>
          <w:tcPr>
            <w:tcW w:w="5779" w:type="dxa"/>
            <w:vMerge w:val="continue"/>
            <w:shd w:val="clear" w:color="auto" w:fill="FFFFFF"/>
          </w:tcPr>
          <w:p w14:paraId="7A25494C">
            <w:pPr>
              <w:adjustRightInd w:val="0"/>
              <w:snapToGrid w:val="0"/>
              <w:spacing w:before="120" w:beforeLines="50" w:line="300" w:lineRule="auto"/>
              <w:jc w:val="both"/>
              <w:rPr>
                <w:rFonts w:ascii="Times New Roman" w:hAnsi="Times New Roman" w:cs="Times New Roman"/>
                <w:snapToGrid w:val="0"/>
                <w:lang w:eastAsia="zh-CN"/>
              </w:rPr>
            </w:pPr>
          </w:p>
        </w:tc>
        <w:tc>
          <w:tcPr>
            <w:tcW w:w="3514" w:type="dxa"/>
            <w:tcBorders>
              <w:top w:val="single" w:color="auto" w:sz="4" w:space="0"/>
            </w:tcBorders>
            <w:shd w:val="clear" w:color="auto" w:fill="FFFFFF"/>
          </w:tcPr>
          <w:p w14:paraId="0379DA81">
            <w:pPr>
              <w:pStyle w:val="17"/>
              <w:adjustRightInd w:val="0"/>
              <w:snapToGrid w:val="0"/>
              <w:spacing w:before="120" w:beforeLines="50" w:after="0" w:line="276" w:lineRule="auto"/>
              <w:jc w:val="center"/>
              <w:rPr>
                <w:snapToGrid w:val="0"/>
                <w:sz w:val="21"/>
                <w:szCs w:val="21"/>
              </w:rPr>
            </w:pPr>
            <w:r>
              <w:rPr>
                <w:rFonts w:eastAsia="宋体" w:cs="宋体"/>
                <w:b/>
                <w:sz w:val="21"/>
              </w:rPr>
              <w:t>图7 - 分析确认</w:t>
            </w:r>
          </w:p>
        </w:tc>
      </w:tr>
    </w:tbl>
    <w:p w14:paraId="0E14E713">
      <w:pPr>
        <w:adjustRightInd w:val="0"/>
        <w:snapToGrid w:val="0"/>
        <w:spacing w:before="120" w:beforeLines="50" w:line="300" w:lineRule="auto"/>
        <w:jc w:val="both"/>
        <w:rPr>
          <w:rFonts w:ascii="Times New Roman" w:hAnsi="Times New Roman" w:eastAsia="宋体" w:cs="宋体"/>
          <w:lang w:eastAsia="zh-CN"/>
        </w:rPr>
      </w:pPr>
    </w:p>
    <w:p w14:paraId="52F17115">
      <w:pPr>
        <w:adjustRightInd w:val="0"/>
        <w:snapToGrid w:val="0"/>
        <w:spacing w:before="120" w:beforeLines="50" w:line="300" w:lineRule="auto"/>
        <w:jc w:val="both"/>
        <w:rPr>
          <w:rFonts w:ascii="Times New Roman" w:hAnsi="Times New Roman" w:eastAsia="宋体" w:cs="宋体"/>
          <w:lang w:eastAsia="zh-CN"/>
        </w:rPr>
      </w:pPr>
    </w:p>
    <w:p w14:paraId="138C20C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rPr>
        <w:t>_____________________</w:t>
      </w:r>
    </w:p>
    <w:p w14:paraId="01D22639">
      <w:pPr>
        <w:adjustRightInd w:val="0"/>
        <w:snapToGrid w:val="0"/>
        <w:spacing w:before="36" w:beforeLines="15" w:line="276" w:lineRule="auto"/>
        <w:jc w:val="both"/>
        <w:rPr>
          <w:rFonts w:ascii="Times New Roman" w:hAnsi="Times New Roman" w:eastAsia="宋体" w:cs="Times New Roman"/>
          <w:snapToGrid w:val="0"/>
          <w:sz w:val="21"/>
          <w:szCs w:val="21"/>
        </w:rPr>
      </w:pPr>
      <w:r>
        <w:rPr>
          <w:rFonts w:ascii="Times New Roman" w:hAnsi="Times New Roman" w:eastAsia="宋体" w:cs="Times New Roman"/>
          <w:snapToGrid w:val="0"/>
          <w:sz w:val="21"/>
          <w:szCs w:val="21"/>
          <w:vertAlign w:val="superscript"/>
        </w:rPr>
        <w:t>4</w:t>
      </w:r>
      <w:r>
        <w:rPr>
          <w:rFonts w:ascii="Times New Roman" w:hAnsi="Times New Roman" w:eastAsia="宋体" w:cs="Times New Roman"/>
          <w:snapToGrid w:val="0"/>
          <w:sz w:val="21"/>
          <w:szCs w:val="21"/>
        </w:rPr>
        <w:t xml:space="preserve"> </w:t>
      </w:r>
      <w:r>
        <w:fldChar w:fldCharType="begin"/>
      </w:r>
      <w:r>
        <w:instrText xml:space="preserve"> HYPERLINK "https://www.ncbi.nlm.nih.gov/pmc/articles/PMC3261486/" </w:instrText>
      </w:r>
      <w:r>
        <w:fldChar w:fldCharType="separate"/>
      </w:r>
      <w:bookmarkStart w:id="8" w:name="bookmark50"/>
      <w:bookmarkEnd w:id="8"/>
      <w:r>
        <w:rPr>
          <w:rStyle w:val="14"/>
          <w:rFonts w:ascii="Times New Roman" w:hAnsi="Times New Roman" w:eastAsia="宋体" w:cs="Times New Roman"/>
          <w:snapToGrid w:val="0"/>
          <w:sz w:val="21"/>
          <w:szCs w:val="21"/>
        </w:rPr>
        <w:t>https://www.ncbi.nlm.nih.gov/pmc/articles/PMC3261486/</w:t>
      </w:r>
      <w:r>
        <w:rPr>
          <w:rStyle w:val="14"/>
          <w:rFonts w:ascii="Times New Roman" w:hAnsi="Times New Roman" w:eastAsia="宋体" w:cs="Times New Roman"/>
          <w:snapToGrid w:val="0"/>
          <w:sz w:val="21"/>
          <w:szCs w:val="21"/>
        </w:rPr>
        <w:fldChar w:fldCharType="end"/>
      </w:r>
    </w:p>
    <w:p w14:paraId="76110776">
      <w:pPr>
        <w:adjustRightInd w:val="0"/>
        <w:snapToGrid w:val="0"/>
        <w:spacing w:before="36" w:beforeLines="15" w:line="276" w:lineRule="auto"/>
        <w:jc w:val="both"/>
        <w:rPr>
          <w:rStyle w:val="14"/>
          <w:rFonts w:ascii="Times New Roman" w:hAnsi="Times New Roman" w:cs="Times New Roman"/>
          <w:snapToGrid w:val="0"/>
          <w:vanish/>
          <w:sz w:val="21"/>
          <w:szCs w:val="21"/>
          <w:lang w:eastAsia="zh-CN"/>
        </w:rPr>
      </w:pPr>
      <w:r>
        <w:rPr>
          <w:rFonts w:ascii="Times New Roman" w:hAnsi="Times New Roman" w:eastAsia="宋体" w:cs="Times New Roman"/>
          <w:snapToGrid w:val="0"/>
          <w:sz w:val="21"/>
          <w:szCs w:val="21"/>
          <w:vertAlign w:val="superscript"/>
        </w:rPr>
        <w:t>5</w:t>
      </w:r>
      <w:r>
        <w:fldChar w:fldCharType="begin"/>
      </w:r>
      <w:r>
        <w:instrText xml:space="preserve"> HYPERLINK "https://www.ncbi.nlm.nih.gov/pmc/articles/PMC2993536/" </w:instrText>
      </w:r>
      <w:r>
        <w:fldChar w:fldCharType="separate"/>
      </w:r>
      <w:bookmarkStart w:id="9" w:name="bookmark51"/>
      <w:bookmarkEnd w:id="9"/>
      <w:r>
        <w:rPr>
          <w:rStyle w:val="14"/>
          <w:rFonts w:ascii="Times New Roman" w:hAnsi="Times New Roman" w:eastAsia="宋体" w:cs="Times New Roman"/>
          <w:snapToGrid w:val="0"/>
          <w:sz w:val="21"/>
          <w:szCs w:val="21"/>
        </w:rPr>
        <w:t xml:space="preserve"> https://www.ncbi.nlm.nih.gov/pmc/articles/PMC2993536/</w:t>
      </w:r>
      <w:r>
        <w:rPr>
          <w:rStyle w:val="14"/>
          <w:rFonts w:ascii="Times New Roman" w:hAnsi="Times New Roman" w:eastAsia="宋体" w:cs="Times New Roman"/>
          <w:snapToGrid w:val="0"/>
          <w:sz w:val="21"/>
          <w:szCs w:val="21"/>
        </w:rPr>
        <w:fldChar w:fldCharType="end"/>
      </w:r>
    </w:p>
    <w:p w14:paraId="065820E6">
      <w:pPr>
        <w:adjustRightInd w:val="0"/>
        <w:snapToGrid w:val="0"/>
        <w:spacing w:before="36" w:beforeLines="15" w:line="276" w:lineRule="auto"/>
        <w:jc w:val="both"/>
        <w:rPr>
          <w:rFonts w:ascii="Times New Roman" w:hAnsi="Times New Roman" w:eastAsia="宋体" w:cs="Times New Roman"/>
          <w:snapToGrid w:val="0"/>
        </w:rPr>
      </w:pPr>
      <w:r>
        <w:rPr>
          <w:rFonts w:ascii="Times New Roman" w:hAnsi="Times New Roman" w:eastAsia="宋体" w:cs="Times New Roman"/>
          <w:snapToGrid w:val="0"/>
        </w:rPr>
        <w:br w:type="page"/>
      </w:r>
    </w:p>
    <w:p w14:paraId="7DF2D8AA">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确认并提供客观证据，证明软件构建正确，即正确、可靠地处理输入数据并生成具有适当准确度、可重复性和再现性（即精确度）的输出数据；和</w:t>
      </w:r>
    </w:p>
    <w:p w14:paraId="686EEC0A">
      <w:pPr>
        <w:pStyle w:val="37"/>
        <w:numPr>
          <w:ilvl w:val="0"/>
          <w:numId w:val="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证明（a）软件符合其质量标准，以及（b）软件质量标准符合用户需求和预期用途。</w:t>
      </w:r>
    </w:p>
    <w:p w14:paraId="0262264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分析有效性通常由制造商采用QMS在软件开发生命周期的验证与确认阶段进行评价和确认。</w:t>
      </w:r>
    </w:p>
    <w:p w14:paraId="0A6277A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任何SaMD均需进行分析确认。</w:t>
      </w:r>
    </w:p>
    <w:tbl>
      <w:tblPr>
        <w:tblStyle w:val="11"/>
        <w:tblW w:w="5000" w:type="pct"/>
        <w:tblInd w:w="0" w:type="dxa"/>
        <w:tblLayout w:type="autofit"/>
        <w:tblCellMar>
          <w:top w:w="0" w:type="dxa"/>
          <w:left w:w="108" w:type="dxa"/>
          <w:bottom w:w="0" w:type="dxa"/>
          <w:right w:w="108" w:type="dxa"/>
        </w:tblCellMar>
      </w:tblPr>
      <w:tblGrid>
        <w:gridCol w:w="9287"/>
      </w:tblGrid>
      <w:tr w14:paraId="445F7360">
        <w:tblPrEx>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shd w:val="clear" w:color="auto" w:fill="FFFFFF"/>
            <w:vAlign w:val="center"/>
          </w:tcPr>
          <w:p w14:paraId="7E956563">
            <w:pPr>
              <w:pStyle w:val="17"/>
              <w:adjustRightInd w:val="0"/>
              <w:snapToGrid w:val="0"/>
              <w:spacing w:before="36" w:beforeLines="15" w:after="0" w:line="276" w:lineRule="auto"/>
              <w:jc w:val="both"/>
              <w:textAlignment w:val="center"/>
              <w:rPr>
                <w:rFonts w:eastAsiaTheme="minorEastAsia"/>
                <w:snapToGrid w:val="0"/>
                <w:sz w:val="21"/>
                <w:szCs w:val="21"/>
                <w:lang w:eastAsia="zh-CN"/>
              </w:rPr>
            </w:pPr>
            <w:r>
              <w:rPr>
                <w:rFonts w:ascii="宋体" w:hAnsi="宋体" w:eastAsia="宋体" w:cs="宋体"/>
                <w:sz w:val="21"/>
                <w:szCs w:val="21"/>
                <w:lang w:eastAsia="zh-CN" w:bidi="ar-SA"/>
              </w:rPr>
              <w:drawing>
                <wp:inline distT="0" distB="0" distL="0" distR="0">
                  <wp:extent cx="342265" cy="361315"/>
                  <wp:effectExtent l="0" t="0" r="635" b="63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r>
              <w:rPr>
                <w:rFonts w:eastAsia="宋体" w:cs="宋体"/>
                <w:sz w:val="21"/>
                <w:szCs w:val="21"/>
                <w:lang w:eastAsia="zh-CN"/>
              </w:rPr>
              <w:t xml:space="preserve"> </w:t>
            </w:r>
            <w:r>
              <w:rPr>
                <w:rFonts w:eastAsia="宋体" w:cs="宋体"/>
                <w:b/>
                <w:i/>
                <w:sz w:val="21"/>
                <w:szCs w:val="21"/>
                <w:lang w:eastAsia="zh-CN"/>
              </w:rPr>
              <w:t xml:space="preserve">  SaMD验证和确认</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[3]</w:t>
            </w:r>
            <w:r>
              <w:rPr>
                <w:rFonts w:eastAsia="宋体" w:cs="宋体"/>
                <w:i/>
                <w:sz w:val="21"/>
                <w:szCs w:val="21"/>
                <w:lang w:eastAsia="zh-CN"/>
              </w:rPr>
              <w:t>第8.4节</w:t>
            </w:r>
          </w:p>
        </w:tc>
      </w:tr>
    </w:tbl>
    <w:p w14:paraId="1CDA1480">
      <w:pPr>
        <w:pStyle w:val="40"/>
        <w:rPr>
          <w:rFonts w:eastAsia="宋体"/>
        </w:rPr>
      </w:pPr>
      <w:bookmarkStart w:id="10" w:name="_Toc92183889"/>
      <w:r>
        <w:rPr>
          <w:rFonts w:eastAsia="宋体" w:cs="宋体"/>
        </w:rPr>
        <w:t xml:space="preserve">5.4 </w:t>
      </w:r>
      <w:r>
        <w:rPr>
          <w:rFonts w:eastAsia="宋体" w:cs="宋体"/>
        </w:rPr>
        <w:tab/>
      </w:r>
      <w:r>
        <w:rPr>
          <w:rFonts w:eastAsia="宋体" w:cs="宋体"/>
        </w:rPr>
        <w:t>SaMD临床确认</w:t>
      </w:r>
      <w:bookmarkEnd w:id="10"/>
    </w:p>
    <w:tbl>
      <w:tblPr>
        <w:tblStyle w:val="11"/>
        <w:tblW w:w="5000" w:type="pct"/>
        <w:tblInd w:w="0" w:type="dxa"/>
        <w:tblLayout w:type="autofit"/>
        <w:tblCellMar>
          <w:top w:w="0" w:type="dxa"/>
          <w:left w:w="108" w:type="dxa"/>
          <w:bottom w:w="0" w:type="dxa"/>
          <w:right w:w="108" w:type="dxa"/>
        </w:tblCellMar>
      </w:tblPr>
      <w:tblGrid>
        <w:gridCol w:w="5979"/>
        <w:gridCol w:w="3308"/>
      </w:tblGrid>
      <w:tr w14:paraId="3FF173AB">
        <w:tblPrEx>
          <w:tblCellMar>
            <w:top w:w="0" w:type="dxa"/>
            <w:left w:w="108" w:type="dxa"/>
            <w:bottom w:w="0" w:type="dxa"/>
            <w:right w:w="108" w:type="dxa"/>
          </w:tblCellMar>
        </w:tblPrEx>
        <w:tc>
          <w:tcPr>
            <w:tcW w:w="3219" w:type="pct"/>
            <w:vMerge w:val="restart"/>
            <w:tcBorders>
              <w:right w:val="single" w:color="auto" w:sz="4" w:space="0"/>
            </w:tcBorders>
            <w:shd w:val="clear" w:color="auto" w:fill="FFFFFF"/>
            <w:vAlign w:val="bottom"/>
          </w:tcPr>
          <w:p w14:paraId="7551382E">
            <w:pPr>
              <w:pStyle w:val="17"/>
              <w:adjustRightInd w:val="0"/>
              <w:snapToGrid w:val="0"/>
              <w:spacing w:before="120" w:beforeLines="50" w:after="0" w:line="300" w:lineRule="auto"/>
              <w:jc w:val="both"/>
              <w:rPr>
                <w:snapToGrid w:val="0"/>
                <w:lang w:eastAsia="zh-CN"/>
              </w:rPr>
            </w:pPr>
            <w:r>
              <w:rPr>
                <w:rFonts w:eastAsia="宋体" w:cs="宋体"/>
                <w:lang w:eastAsia="zh-CN"/>
              </w:rPr>
              <w:t>临床确认</w:t>
            </w:r>
            <w:r>
              <w:rPr>
                <w:rFonts w:hint="eastAsia" w:eastAsia="宋体" w:cs="宋体"/>
                <w:lang w:eastAsia="zh-CN"/>
              </w:rPr>
              <w:t>衡</w:t>
            </w:r>
            <w:r>
              <w:rPr>
                <w:rFonts w:eastAsia="宋体" w:cs="宋体"/>
                <w:lang w:eastAsia="zh-CN"/>
              </w:rPr>
              <w:t>量有关在SaMD定义声明中确定的医疗情况或状况中，SaMD产生与SaMD输出预期用途相关的、具有临床意义的输出的能力。具有临床意义指SaMD对个体或群体健康的积极影响，以有意义且可衡量的患者相关临床结局表示，包括与SaMD功能相关的结局（例如诊断、治疗、风险预测、治疗反应预测），或对个体或公众健康的积极影响。</w:t>
            </w:r>
          </w:p>
        </w:tc>
        <w:tc>
          <w:tcPr>
            <w:tcW w:w="1781" w:type="pct"/>
            <w:tcBorders>
              <w:top w:val="single" w:color="auto" w:sz="4" w:space="0"/>
              <w:left w:val="single" w:color="auto" w:sz="4" w:space="0"/>
              <w:bottom w:val="single" w:color="auto" w:sz="4" w:space="0"/>
              <w:right w:val="single" w:color="auto" w:sz="4" w:space="0"/>
            </w:tcBorders>
            <w:shd w:val="clear" w:color="auto" w:fill="7030A0"/>
            <w:vAlign w:val="center"/>
          </w:tcPr>
          <w:p w14:paraId="47E53A11">
            <w:pPr>
              <w:adjustRightInd w:val="0"/>
              <w:snapToGrid w:val="0"/>
              <w:spacing w:before="36" w:beforeLines="15" w:line="276" w:lineRule="auto"/>
              <w:jc w:val="center"/>
              <w:rPr>
                <w:rFonts w:ascii="Times New Roman" w:hAnsi="Times New Roman" w:cs="Times New Roman"/>
                <w:snapToGrid w:val="0"/>
                <w:color w:val="FFFFFF" w:themeColor="background1"/>
                <w:sz w:val="21"/>
                <w:szCs w:val="21"/>
                <w14:textFill>
                  <w14:solidFill>
                    <w14:schemeClr w14:val="bg1"/>
                  </w14:solidFill>
                </w14:textFill>
              </w:rPr>
            </w:pPr>
            <w:r>
              <w:rPr>
                <w:rFonts w:ascii="Times New Roman" w:hAnsi="Times New Roman" w:eastAsia="宋体" w:cs="宋体"/>
                <w:b/>
                <w:color w:val="FFFFFF"/>
                <w:sz w:val="21"/>
              </w:rPr>
              <w:t>临床确认</w:t>
            </w:r>
          </w:p>
        </w:tc>
      </w:tr>
      <w:tr w14:paraId="17A987EC">
        <w:tblPrEx>
          <w:tblCellMar>
            <w:top w:w="0" w:type="dxa"/>
            <w:left w:w="108" w:type="dxa"/>
            <w:bottom w:w="0" w:type="dxa"/>
            <w:right w:w="108" w:type="dxa"/>
          </w:tblCellMar>
        </w:tblPrEx>
        <w:tc>
          <w:tcPr>
            <w:tcW w:w="3219" w:type="pct"/>
            <w:vMerge w:val="continue"/>
            <w:shd w:val="clear" w:color="auto" w:fill="FFFFFF"/>
            <w:vAlign w:val="bottom"/>
          </w:tcPr>
          <w:p w14:paraId="2CEF4AA1">
            <w:pPr>
              <w:pStyle w:val="17"/>
              <w:adjustRightInd w:val="0"/>
              <w:snapToGrid w:val="0"/>
              <w:spacing w:before="120" w:beforeLines="50" w:after="0" w:line="300" w:lineRule="auto"/>
              <w:jc w:val="both"/>
              <w:rPr>
                <w:snapToGrid w:val="0"/>
              </w:rPr>
            </w:pPr>
          </w:p>
        </w:tc>
        <w:tc>
          <w:tcPr>
            <w:tcW w:w="1781" w:type="pct"/>
            <w:tcBorders>
              <w:top w:val="single" w:color="auto" w:sz="4" w:space="0"/>
              <w:bottom w:val="single" w:color="auto" w:sz="4" w:space="0"/>
            </w:tcBorders>
            <w:shd w:val="clear" w:color="auto" w:fill="FFFFFF"/>
            <w:vAlign w:val="center"/>
          </w:tcPr>
          <w:p w14:paraId="730EBE5A">
            <w:pPr>
              <w:adjustRightInd w:val="0"/>
              <w:snapToGrid w:val="0"/>
              <w:spacing w:before="36" w:beforeLines="15" w:line="276" w:lineRule="auto"/>
              <w:jc w:val="center"/>
              <w:rPr>
                <w:rFonts w:ascii="Times New Roman" w:hAnsi="Times New Roman" w:cs="Times New Roman"/>
                <w:snapToGrid w:val="0"/>
                <w:color w:val="FFFFFF" w:themeColor="background1"/>
                <w:sz w:val="21"/>
                <w:szCs w:val="21"/>
                <w14:textFill>
                  <w14:solidFill>
                    <w14:schemeClr w14:val="bg1"/>
                  </w14:solidFill>
                </w14:textFill>
              </w:rPr>
            </w:pPr>
          </w:p>
        </w:tc>
      </w:tr>
      <w:tr w14:paraId="1FD84B76">
        <w:tblPrEx>
          <w:tblCellMar>
            <w:top w:w="0" w:type="dxa"/>
            <w:left w:w="108" w:type="dxa"/>
            <w:bottom w:w="0" w:type="dxa"/>
            <w:right w:w="108" w:type="dxa"/>
          </w:tblCellMar>
        </w:tblPrEx>
        <w:tc>
          <w:tcPr>
            <w:tcW w:w="3219" w:type="pct"/>
            <w:vMerge w:val="continue"/>
            <w:tcBorders>
              <w:right w:val="single" w:color="auto" w:sz="4" w:space="0"/>
            </w:tcBorders>
            <w:shd w:val="clear" w:color="auto" w:fill="FFFFFF"/>
            <w:vAlign w:val="bottom"/>
          </w:tcPr>
          <w:p w14:paraId="5DD01AB6">
            <w:pPr>
              <w:adjustRightInd w:val="0"/>
              <w:snapToGrid w:val="0"/>
              <w:spacing w:before="120" w:beforeLines="50" w:line="300" w:lineRule="auto"/>
              <w:jc w:val="both"/>
              <w:rPr>
                <w:rFonts w:ascii="Times New Roman" w:hAnsi="Times New Roman" w:cs="Times New Roman"/>
                <w:snapToGrid w:val="0"/>
              </w:rPr>
            </w:pPr>
          </w:p>
        </w:tc>
        <w:tc>
          <w:tcPr>
            <w:tcW w:w="1781" w:type="pct"/>
            <w:tcBorders>
              <w:top w:val="single" w:color="auto" w:sz="4" w:space="0"/>
              <w:left w:val="single" w:color="auto" w:sz="4" w:space="0"/>
              <w:bottom w:val="single" w:color="auto" w:sz="4" w:space="0"/>
              <w:right w:val="single" w:color="auto" w:sz="4" w:space="0"/>
            </w:tcBorders>
            <w:shd w:val="clear" w:color="auto" w:fill="7030A0"/>
            <w:vAlign w:val="center"/>
          </w:tcPr>
          <w:p w14:paraId="139D97E1">
            <w:pPr>
              <w:adjustRightInd w:val="0"/>
              <w:snapToGrid w:val="0"/>
              <w:spacing w:before="36" w:beforeLines="15" w:line="276" w:lineRule="auto"/>
              <w:jc w:val="center"/>
              <w:rPr>
                <w:rFonts w:ascii="Times New Roman" w:hAnsi="Times New Roman" w:cs="Times New Roman"/>
                <w:snapToGrid w:val="0"/>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使用SaMD的准确、可靠且精确的输出数据是否在临床护理的目标人群中达到预期目的？</w:t>
            </w:r>
          </w:p>
        </w:tc>
      </w:tr>
      <w:tr w14:paraId="467480DE">
        <w:tblPrEx>
          <w:tblCellMar>
            <w:top w:w="0" w:type="dxa"/>
            <w:left w:w="108" w:type="dxa"/>
            <w:bottom w:w="0" w:type="dxa"/>
            <w:right w:w="108" w:type="dxa"/>
          </w:tblCellMar>
        </w:tblPrEx>
        <w:tc>
          <w:tcPr>
            <w:tcW w:w="3219" w:type="pct"/>
            <w:vMerge w:val="continue"/>
            <w:shd w:val="clear" w:color="auto" w:fill="FFFFFF"/>
            <w:vAlign w:val="bottom"/>
          </w:tcPr>
          <w:p w14:paraId="47D3B499">
            <w:pPr>
              <w:adjustRightInd w:val="0"/>
              <w:snapToGrid w:val="0"/>
              <w:spacing w:before="120" w:beforeLines="50" w:line="300" w:lineRule="auto"/>
              <w:jc w:val="both"/>
              <w:rPr>
                <w:rFonts w:ascii="Times New Roman" w:hAnsi="Times New Roman" w:cs="Times New Roman"/>
                <w:snapToGrid w:val="0"/>
                <w:lang w:eastAsia="zh-CN"/>
              </w:rPr>
            </w:pPr>
          </w:p>
        </w:tc>
        <w:tc>
          <w:tcPr>
            <w:tcW w:w="1781" w:type="pct"/>
            <w:tcBorders>
              <w:top w:val="single" w:color="auto" w:sz="4" w:space="0"/>
            </w:tcBorders>
            <w:shd w:val="clear" w:color="auto" w:fill="FFFFFF"/>
          </w:tcPr>
          <w:p w14:paraId="1FC43D68">
            <w:pPr>
              <w:pStyle w:val="17"/>
              <w:adjustRightInd w:val="0"/>
              <w:snapToGrid w:val="0"/>
              <w:spacing w:before="36" w:beforeLines="15" w:after="0" w:line="276" w:lineRule="auto"/>
              <w:jc w:val="center"/>
              <w:rPr>
                <w:snapToGrid w:val="0"/>
                <w:sz w:val="21"/>
                <w:szCs w:val="21"/>
              </w:rPr>
            </w:pPr>
            <w:r>
              <w:rPr>
                <w:rFonts w:eastAsia="宋体" w:cs="宋体"/>
                <w:b/>
                <w:sz w:val="21"/>
              </w:rPr>
              <w:t>图8 - 临床确认</w:t>
            </w:r>
          </w:p>
        </w:tc>
      </w:tr>
    </w:tbl>
    <w:p w14:paraId="7E80A66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由制造商在SaMD销售使用前（上市前）的开发过程中或销售后使用时（上市后）评价和确定临床有效性。</w:t>
      </w:r>
    </w:p>
    <w:p w14:paraId="287DA560">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SaMD的临床确认也可以视为SaMD算法的验证和确认结果与相关临床状况的关系。临床确认是所有SaMD临床评价的必要组成部分，可通过以下方式予以证明：</w:t>
      </w:r>
    </w:p>
    <w:p w14:paraId="773E1E6D">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参考针对相同预期用途开展的研究的现有数据；</w:t>
      </w:r>
    </w:p>
    <w:p w14:paraId="25223189">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参考针对不同预期用途开展的研究的现有数据，在这种情况下可证明对此类数据的外推具有合理性；或</w:t>
      </w:r>
    </w:p>
    <w:p w14:paraId="2BD32B03">
      <w:pPr>
        <w:pStyle w:val="37"/>
        <w:numPr>
          <w:ilvl w:val="0"/>
          <w:numId w:val="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生成适用于特定预期用途的新临床数据。</w:t>
      </w:r>
    </w:p>
    <w:p w14:paraId="5F25EE8D">
      <w:pPr>
        <w:adjustRightInd w:val="0"/>
        <w:snapToGrid w:val="0"/>
        <w:spacing w:before="120" w:beforeLines="50" w:line="300" w:lineRule="auto"/>
        <w:ind w:left="426"/>
        <w:jc w:val="both"/>
        <w:rPr>
          <w:rFonts w:ascii="Times New Roman" w:hAnsi="Times New Roman" w:eastAsia="宋体" w:cs="Times New Roman"/>
          <w:snapToGrid w:val="0"/>
          <w:lang w:eastAsia="zh-CN"/>
        </w:rPr>
      </w:pPr>
      <w:r>
        <w:rPr>
          <w:rFonts w:ascii="Times New Roman" w:hAnsi="Times New Roman" w:eastAsia="宋体" w:cs="宋体"/>
          <w:lang w:eastAsia="zh-CN"/>
        </w:rPr>
        <w:t>任何SaMD均需进行临床确认。</w:t>
      </w:r>
    </w:p>
    <w:tbl>
      <w:tblPr>
        <w:tblStyle w:val="11"/>
        <w:tblW w:w="5000" w:type="pct"/>
        <w:tblInd w:w="0" w:type="dxa"/>
        <w:tblLayout w:type="autofit"/>
        <w:tblCellMar>
          <w:top w:w="0" w:type="dxa"/>
          <w:left w:w="108" w:type="dxa"/>
          <w:bottom w:w="0" w:type="dxa"/>
          <w:right w:w="108" w:type="dxa"/>
        </w:tblCellMar>
      </w:tblPr>
      <w:tblGrid>
        <w:gridCol w:w="9287"/>
      </w:tblGrid>
      <w:tr w14:paraId="49FBFAEA">
        <w:tblPrEx>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shd w:val="clear" w:color="auto" w:fill="FFFFFF"/>
            <w:vAlign w:val="center"/>
          </w:tcPr>
          <w:p w14:paraId="4D3D769B">
            <w:pPr>
              <w:pStyle w:val="17"/>
              <w:adjustRightInd w:val="0"/>
              <w:snapToGrid w:val="0"/>
              <w:spacing w:before="36" w:beforeLines="15" w:after="0" w:line="276" w:lineRule="auto"/>
              <w:jc w:val="both"/>
              <w:textAlignment w:val="center"/>
              <w:rPr>
                <w:snapToGrid w:val="0"/>
                <w:sz w:val="21"/>
                <w:szCs w:val="21"/>
                <w:lang w:eastAsia="zh-CN"/>
              </w:rPr>
            </w:pPr>
            <w:r>
              <w:rPr>
                <w:rFonts w:ascii="宋体" w:hAnsi="宋体" w:eastAsia="宋体" w:cs="宋体"/>
                <w:sz w:val="21"/>
                <w:szCs w:val="21"/>
                <w:lang w:eastAsia="zh-CN" w:bidi="ar-SA"/>
              </w:rPr>
              <w:drawing>
                <wp:inline distT="0" distB="0" distL="0" distR="0">
                  <wp:extent cx="342265" cy="361315"/>
                  <wp:effectExtent l="0" t="0" r="635" b="63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r>
              <w:rPr>
                <w:rFonts w:eastAsia="宋体" w:cs="宋体"/>
                <w:sz w:val="21"/>
                <w:szCs w:val="21"/>
                <w:lang w:eastAsia="zh-CN"/>
              </w:rPr>
              <w:t xml:space="preserve"> </w:t>
            </w:r>
            <w:r>
              <w:rPr>
                <w:rFonts w:eastAsia="宋体" w:cs="宋体"/>
                <w:b/>
                <w:i/>
                <w:sz w:val="21"/>
                <w:szCs w:val="21"/>
                <w:lang w:eastAsia="zh-CN"/>
              </w:rPr>
              <w:t xml:space="preserve">  SaMD验证和确认</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[3]</w:t>
            </w:r>
            <w:r>
              <w:rPr>
                <w:rFonts w:eastAsia="宋体" w:cs="宋体"/>
                <w:i/>
                <w:sz w:val="21"/>
                <w:szCs w:val="21"/>
                <w:lang w:eastAsia="zh-CN"/>
              </w:rPr>
              <w:t>第8.4节</w:t>
            </w:r>
          </w:p>
        </w:tc>
      </w:tr>
    </w:tbl>
    <w:p w14:paraId="62D5BE58">
      <w:pPr>
        <w:adjustRightInd w:val="0"/>
        <w:snapToGrid w:val="0"/>
        <w:spacing w:before="120" w:beforeLines="50" w:line="300" w:lineRule="auto"/>
        <w:jc w:val="both"/>
        <w:rPr>
          <w:rFonts w:ascii="Times New Roman" w:hAnsi="Times New Roman" w:eastAsia="宋体" w:cs="Times New Roman"/>
          <w:snapToGrid w:val="0"/>
          <w:lang w:eastAsia="zh-CN"/>
        </w:rPr>
      </w:pPr>
    </w:p>
    <w:p w14:paraId="3CF41FEB">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C794E10">
      <w:pPr>
        <w:pStyle w:val="36"/>
        <w:rPr>
          <w:rFonts w:eastAsia="宋体"/>
          <w:lang w:eastAsia="zh-CN"/>
        </w:rPr>
      </w:pPr>
      <w:bookmarkStart w:id="11" w:name="_Toc92183890"/>
      <w:r>
        <w:rPr>
          <w:rFonts w:eastAsia="宋体" w:cs="宋体"/>
          <w:lang w:eastAsia="zh-CN"/>
        </w:rPr>
        <w:t>6.0 SaMD临床评价过程的一般原则和背景</w:t>
      </w:r>
      <w:bookmarkEnd w:id="11"/>
    </w:p>
    <w:p w14:paraId="54B4B7E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可被描述为这样一种软件，这种软件可利用对数据输入（数字化内容）运行的算法（逻辑、规则集或模型）生成输出，输出预期用于医学目的，如SaMD制造商所定义（图9）。SaMD输出所构成的风险和获益在很大程度上与SaMD输出不准确或不正确的风险有关，从而可能影响患者的临床管理。</w:t>
      </w:r>
    </w:p>
    <w:p w14:paraId="33FF9E3D">
      <w:pPr>
        <w:pStyle w:val="32"/>
        <w:adjustRightInd w:val="0"/>
        <w:snapToGrid w:val="0"/>
        <w:spacing w:before="120" w:beforeLines="50" w:line="300" w:lineRule="auto"/>
        <w:jc w:val="both"/>
        <w:rPr>
          <w:rFonts w:eastAsia="宋体"/>
          <w:snapToGrid w:val="0"/>
          <w:sz w:val="24"/>
          <w:szCs w:val="24"/>
        </w:rPr>
      </w:pPr>
      <w:r>
        <w:rPr>
          <w:rFonts w:eastAsia="宋体" w:cs="宋体"/>
          <w:sz w:val="24"/>
          <w:u w:val="single"/>
        </w:rPr>
        <w:t>SaMD算法</w:t>
      </w:r>
    </w:p>
    <w:p w14:paraId="70666006">
      <w:pPr>
        <w:adjustRightInd w:val="0"/>
        <w:snapToGrid w:val="0"/>
        <w:spacing w:before="120" w:beforeLines="50" w:line="300" w:lineRule="auto"/>
        <w:jc w:val="center"/>
        <w:rPr>
          <w:rFonts w:ascii="Times New Roman" w:hAnsi="Times New Roman" w:eastAsia="宋体" w:cs="Times New Roman"/>
          <w:snapToGrid w:val="0"/>
        </w:rPr>
      </w:pPr>
      <w:r>
        <w:rPr>
          <w:lang w:eastAsia="zh-CN" w:bidi="ar-SA"/>
        </w:rPr>
        <mc:AlternateContent>
          <mc:Choice Requires="wpg">
            <w:drawing>
              <wp:anchor distT="0" distB="0" distL="114300" distR="114300" simplePos="0" relativeHeight="251661312" behindDoc="0" locked="0" layoutInCell="1" allowOverlap="1">
                <wp:simplePos x="0" y="0"/>
                <wp:positionH relativeFrom="column">
                  <wp:posOffset>537845</wp:posOffset>
                </wp:positionH>
                <wp:positionV relativeFrom="paragraph">
                  <wp:posOffset>20955</wp:posOffset>
                </wp:positionV>
                <wp:extent cx="4787900" cy="2106295"/>
                <wp:effectExtent l="0" t="0" r="0" b="8255"/>
                <wp:wrapNone/>
                <wp:docPr id="118" name="组合 118"/>
                <wp:cNvGraphicFramePr/>
                <a:graphic xmlns:a="http://schemas.openxmlformats.org/drawingml/2006/main">
                  <a:graphicData uri="http://schemas.microsoft.com/office/word/2010/wordprocessingGroup">
                    <wpg:wgp>
                      <wpg:cNvGrpSpPr/>
                      <wpg:grpSpPr>
                        <a:xfrm>
                          <a:off x="0" y="0"/>
                          <a:ext cx="4787713" cy="2106304"/>
                          <a:chOff x="0" y="0"/>
                          <a:chExt cx="4787713" cy="2106304"/>
                        </a:xfrm>
                      </wpg:grpSpPr>
                      <wps:wsp>
                        <wps:cNvPr id="110" name="文本框 110"/>
                        <wps:cNvSpPr txBox="1"/>
                        <wps:spPr>
                          <a:xfrm>
                            <a:off x="0" y="340659"/>
                            <a:ext cx="1381125" cy="22411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4C962">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SaMD输入</w:t>
                              </w:r>
                            </w:p>
                          </w:txbxContent>
                        </wps:txbx>
                        <wps:bodyPr rot="0" spcFirstLastPara="0" vertOverflow="overflow" horzOverflow="overflow" vert="horz" wrap="square" lIns="0" tIns="0" rIns="0" bIns="0" numCol="1" spcCol="0" rtlCol="0" fromWordArt="0" anchor="ctr" anchorCtr="0" forceAA="0" compatLnSpc="1">
                          <a:noAutofit/>
                        </wps:bodyPr>
                      </wps:wsp>
                      <wps:wsp>
                        <wps:cNvPr id="112" name="文本框 112"/>
                        <wps:cNvSpPr txBox="1"/>
                        <wps:spPr>
                          <a:xfrm>
                            <a:off x="206188" y="663389"/>
                            <a:ext cx="1013012" cy="77096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008E8">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患者数据</w:t>
                              </w:r>
                            </w:p>
                            <w:p w14:paraId="1F125306">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（实验室结果、影像、医疗器械数据、生理状态、症状等）</w:t>
                              </w:r>
                            </w:p>
                          </w:txbxContent>
                        </wps:txbx>
                        <wps:bodyPr rot="0" spcFirstLastPara="0" vertOverflow="overflow" horzOverflow="overflow" vert="horz" wrap="square" lIns="0" tIns="0" rIns="0" bIns="0" numCol="1" spcCol="0" rtlCol="0" fromWordArt="0" anchor="ctr" anchorCtr="0" forceAA="0" compatLnSpc="1">
                          <a:noAutofit/>
                        </wps:bodyPr>
                      </wps:wsp>
                      <wps:wsp>
                        <wps:cNvPr id="113" name="文本框 113"/>
                        <wps:cNvSpPr txBox="1"/>
                        <wps:spPr>
                          <a:xfrm>
                            <a:off x="1846729" y="0"/>
                            <a:ext cx="1381125" cy="2235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FBBC9">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SaMD算法</w:t>
                              </w:r>
                            </w:p>
                          </w:txbxContent>
                        </wps:txbx>
                        <wps:bodyPr rot="0" spcFirstLastPara="0" vertOverflow="overflow" horzOverflow="overflow" vert="horz" wrap="square" lIns="0" tIns="0" rIns="0" bIns="0" numCol="1" spcCol="0" rtlCol="0" fromWordArt="0" anchor="ctr" anchorCtr="0" forceAA="0" compatLnSpc="1">
                          <a:noAutofit/>
                        </wps:bodyPr>
                      </wps:wsp>
                      <wps:wsp>
                        <wps:cNvPr id="114" name="文本框 114"/>
                        <wps:cNvSpPr txBox="1"/>
                        <wps:spPr>
                          <a:xfrm>
                            <a:off x="1936376" y="412377"/>
                            <a:ext cx="1201271" cy="7708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D81C9">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算法。推理引擎、方程式、分析引擎、基于模型的逻辑等</w:t>
                              </w:r>
                            </w:p>
                          </w:txbxContent>
                        </wps:txbx>
                        <wps:bodyPr rot="0" spcFirstLastPara="0" vertOverflow="overflow" horzOverflow="overflow" vert="horz" wrap="square" lIns="0" tIns="0" rIns="0" bIns="0" numCol="1" spcCol="0" rtlCol="0" fromWordArt="0" anchor="ctr" anchorCtr="0" forceAA="0" compatLnSpc="1">
                          <a:noAutofit/>
                        </wps:bodyPr>
                      </wps:wsp>
                      <wps:wsp>
                        <wps:cNvPr id="115" name="文本框 115"/>
                        <wps:cNvSpPr txBox="1"/>
                        <wps:spPr>
                          <a:xfrm>
                            <a:off x="2209800" y="1523598"/>
                            <a:ext cx="1017235" cy="58270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0AE37">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参考数据、知识库、规则、标准等</w:t>
                              </w:r>
                            </w:p>
                          </w:txbxContent>
                        </wps:txbx>
                        <wps:bodyPr rot="0" spcFirstLastPara="0" vertOverflow="overflow" horzOverflow="overflow" vert="horz" wrap="square" lIns="0" tIns="0" rIns="0" bIns="0" numCol="1" spcCol="0" rtlCol="0" fromWordArt="0" anchor="ctr" anchorCtr="0" forceAA="0" compatLnSpc="1">
                          <a:noAutofit/>
                        </wps:bodyPr>
                      </wps:wsp>
                      <wps:wsp>
                        <wps:cNvPr id="116" name="文本框 116"/>
                        <wps:cNvSpPr txBox="1"/>
                        <wps:spPr>
                          <a:xfrm>
                            <a:off x="3648635" y="708212"/>
                            <a:ext cx="950258" cy="5822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88339">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SaMD定义输出（告知、推动、诊断、治疗）</w:t>
                              </w:r>
                            </w:p>
                          </w:txbxContent>
                        </wps:txbx>
                        <wps:bodyPr rot="0" spcFirstLastPara="0" vertOverflow="overflow" horzOverflow="overflow" vert="horz" wrap="square" lIns="0" tIns="0" rIns="0" bIns="0" numCol="1" spcCol="0" rtlCol="0" fromWordArt="0" anchor="ctr" anchorCtr="0" forceAA="0" compatLnSpc="1">
                          <a:noAutofit/>
                        </wps:bodyPr>
                      </wps:wsp>
                      <wps:wsp>
                        <wps:cNvPr id="117" name="文本框 117"/>
                        <wps:cNvSpPr txBox="1"/>
                        <wps:spPr>
                          <a:xfrm>
                            <a:off x="3406588" y="340659"/>
                            <a:ext cx="1381125" cy="2235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0304C">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SaMD输出</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42.35pt;margin-top:1.65pt;height:165.85pt;width:377pt;z-index:251661312;mso-width-relative:page;mso-height-relative:page;" coordsize="4787713,2106304" o:gfxdata="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tP7mPdcAAAAIAQAADwAA&#10;AAAAAAABACAAAAAiAAAAZHJzL2Rvd25yZXYueG1sUEsBAhQAFAAAAAgAh07iQAzC7i/fAwAARxYA&#10;AA4AAAAAAAAAAQAgAAAAJgEAAGRycy9lMm9Eb2MueG1sUEsFBgAAAAAGAAYAWQEAAHcHAAAAAA==&#10;">
                <o:lock v:ext="edit" aspectratio="f"/>
                <v:shape id="_x0000_s1026" o:spid="_x0000_s1026" o:spt="202" type="#_x0000_t202" style="position:absolute;left:0;top:340659;height:224118;width:1381125;v-text-anchor:middle;" fillcolor="#FFFFFF [3212]" filled="t" stroked="f" coordsize="21600,21600" o:gfxdata="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DWp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07B4C962">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SaMD输入</w:t>
                        </w:r>
                      </w:p>
                    </w:txbxContent>
                  </v:textbox>
                </v:shape>
                <v:shape id="_x0000_s1026" o:spid="_x0000_s1026" o:spt="202" type="#_x0000_t202" style="position:absolute;left:206188;top:663389;height:770964;width:1013012;v-text-anchor:middle;" fillcolor="#FFFFFF [3212]" filled="t" stroked="f" coordsize="21600,21600" o:gfxdata="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7tS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027008E8">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患者数据</w:t>
                        </w:r>
                      </w:p>
                      <w:p w14:paraId="1F125306">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（实验室结果、影像、医疗器械数据、生理状态、症状等）</w:t>
                        </w:r>
                      </w:p>
                    </w:txbxContent>
                  </v:textbox>
                </v:shape>
                <v:shape id="_x0000_s1026" o:spid="_x0000_s1026" o:spt="202" type="#_x0000_t202" style="position:absolute;left:1846729;top:0;height:223520;width:1381125;v-text-anchor:middle;" fillcolor="#FFFFFF [3212]" filled="t" stroked="f" coordsize="21600,21600" o:gfxdata="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JI0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CEFBBC9">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SaMD算法</w:t>
                        </w:r>
                      </w:p>
                    </w:txbxContent>
                  </v:textbox>
                </v:shape>
                <v:shape id="_x0000_s1026" o:spid="_x0000_s1026" o:spt="202" type="#_x0000_t202" style="position:absolute;left:1936376;top:412377;height:770890;width:1201271;v-text-anchor:middle;" fillcolor="#FFFFFF [3212]" filled="t" stroked="f" coordsize="21600,21600" o:gfxdata="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vQp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3BD81C9">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算法。推理引擎、方程式、分析引擎、基于模型的逻辑等</w:t>
                        </w:r>
                      </w:p>
                    </w:txbxContent>
                  </v:textbox>
                </v:shape>
                <v:shape id="_x0000_s1026" o:spid="_x0000_s1026" o:spt="202" type="#_x0000_t202" style="position:absolute;left:2209800;top:1523598;height:582706;width:1017235;v-text-anchor:middle;" fillcolor="#FFFFFF [3212]" filled="t" stroked="f" coordsize="21600,21600" o:gfxdata="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6d1P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150AE37">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参考数据、知识库、规则、标准等</w:t>
                        </w:r>
                      </w:p>
                    </w:txbxContent>
                  </v:textbox>
                </v:shape>
                <v:shape id="_x0000_s1026" o:spid="_x0000_s1026" o:spt="202" type="#_x0000_t202" style="position:absolute;left:3648635;top:708212;height:582295;width:950258;v-text-anchor:middle;" fillcolor="#FFFFFF [3212]" filled="t" stroked="f" coordsize="21600,21600" o:gfxdata="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detI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2E088339">
                        <w:pPr>
                          <w:jc w:val="center"/>
                          <w:rPr>
                            <w:rFonts w:ascii="Times New Roman" w:hAnsi="Times New Roman" w:eastAsia="宋体" w:cs="Times New Roman"/>
                            <w:i/>
                            <w:sz w:val="18"/>
                            <w:szCs w:val="18"/>
                            <w:lang w:eastAsia="zh-CN"/>
                          </w:rPr>
                        </w:pPr>
                        <w:r>
                          <w:rPr>
                            <w:rFonts w:ascii="Times New Roman" w:hAnsi="Times New Roman" w:eastAsia="宋体" w:cs="宋体"/>
                            <w:sz w:val="18"/>
                            <w:lang w:eastAsia="zh-CN"/>
                          </w:rPr>
                          <w:t>SaMD定义输出（告知、推动、诊断、治疗）</w:t>
                        </w:r>
                      </w:p>
                    </w:txbxContent>
                  </v:textbox>
                </v:shape>
                <v:shape id="_x0000_s1026" o:spid="_x0000_s1026" o:spt="202" type="#_x0000_t202" style="position:absolute;left:3406588;top:340659;height:223520;width:1381125;v-text-anchor:middle;" fillcolor="#FFFFFF [3212]" filled="t" stroked="f" coordsize="21600,21600" o:gfxdata="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DlO0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490304C">
                        <w:pPr>
                          <w:jc w:val="center"/>
                          <w:rPr>
                            <w:rFonts w:ascii="Times New Roman" w:hAnsi="Times New Roman" w:eastAsia="宋体" w:cs="Times New Roman"/>
                            <w:i/>
                            <w:sz w:val="18"/>
                            <w:szCs w:val="18"/>
                            <w:u w:val="single"/>
                          </w:rPr>
                        </w:pPr>
                        <w:r>
                          <w:rPr>
                            <w:rFonts w:ascii="Times New Roman" w:hAnsi="Times New Roman" w:eastAsia="宋体" w:cs="宋体"/>
                            <w:b/>
                            <w:sz w:val="18"/>
                            <w:u w:val="single"/>
                          </w:rPr>
                          <w:t>SaMD输出</w:t>
                        </w:r>
                      </w:p>
                    </w:txbxContent>
                  </v:textbox>
                </v:shape>
              </v:group>
            </w:pict>
          </mc:Fallback>
        </mc:AlternateContent>
      </w:r>
      <w:r>
        <w:rPr>
          <w:rFonts w:ascii="宋体" w:hAnsi="宋体" w:eastAsia="宋体" w:cs="宋体"/>
          <w:lang w:eastAsia="zh-CN" w:bidi="ar-SA"/>
        </w:rPr>
        <w:drawing>
          <wp:inline distT="0" distB="0" distL="0" distR="0">
            <wp:extent cx="4831715" cy="2237105"/>
            <wp:effectExtent l="0" t="0" r="6985"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14"/>
                    <a:stretch>
                      <a:fillRect/>
                    </a:stretch>
                  </pic:blipFill>
                  <pic:spPr>
                    <a:xfrm>
                      <a:off x="0" y="0"/>
                      <a:ext cx="4838948" cy="2240569"/>
                    </a:xfrm>
                    <a:prstGeom prst="rect">
                      <a:avLst/>
                    </a:prstGeom>
                  </pic:spPr>
                </pic:pic>
              </a:graphicData>
            </a:graphic>
          </wp:inline>
        </w:drawing>
      </w:r>
    </w:p>
    <w:p w14:paraId="227ECC87">
      <w:pPr>
        <w:pStyle w:val="32"/>
        <w:adjustRightInd w:val="0"/>
        <w:snapToGrid w:val="0"/>
        <w:spacing w:before="120" w:beforeLines="50" w:line="300" w:lineRule="auto"/>
        <w:jc w:val="center"/>
        <w:rPr>
          <w:rFonts w:eastAsia="宋体"/>
          <w:snapToGrid w:val="0"/>
          <w:sz w:val="24"/>
          <w:szCs w:val="24"/>
          <w:lang w:eastAsia="zh-CN"/>
        </w:rPr>
      </w:pPr>
      <w:r>
        <w:rPr>
          <w:rFonts w:eastAsia="宋体" w:cs="宋体"/>
          <w:sz w:val="24"/>
          <w:lang w:eastAsia="zh-CN"/>
        </w:rPr>
        <w:t>图9 - SaMD基本程控模型</w:t>
      </w:r>
    </w:p>
    <w:p w14:paraId="757924BE">
      <w:pPr>
        <w:pStyle w:val="40"/>
        <w:rPr>
          <w:rFonts w:eastAsia="宋体"/>
          <w:lang w:eastAsia="zh-CN"/>
        </w:rPr>
      </w:pPr>
      <w:bookmarkStart w:id="12" w:name="_Toc92183891"/>
      <w:r>
        <w:rPr>
          <w:rFonts w:eastAsia="宋体" w:cs="宋体"/>
          <w:lang w:eastAsia="zh-CN"/>
        </w:rPr>
        <w:t xml:space="preserve">6.1 </w:t>
      </w:r>
      <w:r>
        <w:rPr>
          <w:rFonts w:eastAsia="宋体" w:cs="宋体"/>
          <w:lang w:eastAsia="zh-CN"/>
        </w:rPr>
        <w:tab/>
      </w:r>
      <w:r>
        <w:rPr>
          <w:rFonts w:eastAsia="宋体" w:cs="宋体"/>
          <w:lang w:eastAsia="zh-CN"/>
        </w:rPr>
        <w:t>SaMD定义声明和SaMD类别</w:t>
      </w:r>
      <w:bookmarkEnd w:id="12"/>
    </w:p>
    <w:p w14:paraId="438374B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SaMD制造商利用</w:t>
      </w:r>
      <w:r>
        <w:rPr>
          <w:rFonts w:ascii="Times New Roman" w:hAnsi="Times New Roman" w:eastAsia="宋体" w:cs="宋体"/>
          <w:i/>
          <w:color w:val="0000FF"/>
          <w:u w:val="single"/>
          <w:lang w:eastAsia="zh-CN"/>
        </w:rPr>
        <w:t>SaMD N12</w:t>
      </w:r>
      <w:r>
        <w:rPr>
          <w:rFonts w:ascii="Times New Roman" w:hAnsi="Times New Roman" w:eastAsia="宋体" w:cs="宋体"/>
          <w:i/>
          <w:vertAlign w:val="superscript"/>
          <w:lang w:eastAsia="zh-CN"/>
        </w:rPr>
        <w:t>[2]</w:t>
      </w:r>
      <w:r>
        <w:rPr>
          <w:rFonts w:ascii="Times New Roman" w:hAnsi="Times New Roman" w:eastAsia="宋体" w:cs="宋体"/>
          <w:lang w:eastAsia="zh-CN"/>
        </w:rPr>
        <w:t>中定义的SaMD定义声明确定SaMD的预期医疗用途（治疗、诊断、推动临床管理、告知临床管理），说明预期应用SaMD的医疗情况或状况（危急、严重、非严重），并描述SaMD的核心功能。</w:t>
      </w:r>
    </w:p>
    <w:p w14:paraId="2521C60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SaMD制造商将利用SaMD定义声明中确定的因素确定SaMD分类框架中的SaMD类别，如图10所示。</w:t>
      </w:r>
    </w:p>
    <w:tbl>
      <w:tblPr>
        <w:tblStyle w:val="11"/>
        <w:tblW w:w="0" w:type="auto"/>
        <w:jc w:val="center"/>
        <w:tblLayout w:type="fixed"/>
        <w:tblCellMar>
          <w:top w:w="0" w:type="dxa"/>
          <w:left w:w="108" w:type="dxa"/>
          <w:bottom w:w="0" w:type="dxa"/>
          <w:right w:w="108" w:type="dxa"/>
        </w:tblCellMar>
      </w:tblPr>
      <w:tblGrid>
        <w:gridCol w:w="1954"/>
        <w:gridCol w:w="1978"/>
        <w:gridCol w:w="2016"/>
        <w:gridCol w:w="2045"/>
      </w:tblGrid>
      <w:tr w14:paraId="6959D763">
        <w:tblPrEx>
          <w:tblCellMar>
            <w:top w:w="0" w:type="dxa"/>
            <w:left w:w="108" w:type="dxa"/>
            <w:bottom w:w="0" w:type="dxa"/>
            <w:right w:w="108" w:type="dxa"/>
          </w:tblCellMar>
        </w:tblPrEx>
        <w:trPr>
          <w:jc w:val="center"/>
        </w:trPr>
        <w:tc>
          <w:tcPr>
            <w:tcW w:w="1954" w:type="dxa"/>
            <w:vMerge w:val="restart"/>
            <w:tcBorders>
              <w:top w:val="single" w:color="auto" w:sz="4" w:space="0"/>
              <w:left w:val="single" w:color="auto" w:sz="4" w:space="0"/>
            </w:tcBorders>
            <w:vAlign w:val="center"/>
          </w:tcPr>
          <w:p w14:paraId="1BB6FF2B">
            <w:pPr>
              <w:pStyle w:val="17"/>
              <w:adjustRightInd w:val="0"/>
              <w:snapToGrid w:val="0"/>
              <w:spacing w:before="36" w:beforeLines="15" w:after="0" w:line="276" w:lineRule="auto"/>
              <w:jc w:val="center"/>
              <w:rPr>
                <w:snapToGrid w:val="0"/>
                <w:sz w:val="21"/>
                <w:szCs w:val="21"/>
                <w:lang w:eastAsia="zh-CN"/>
              </w:rPr>
            </w:pPr>
            <w:r>
              <w:rPr>
                <w:rFonts w:eastAsia="宋体" w:cs="宋体"/>
                <w:sz w:val="21"/>
                <w:lang w:eastAsia="zh-CN"/>
              </w:rPr>
              <w:t>医疗情况或状况的状态</w:t>
            </w:r>
          </w:p>
        </w:tc>
        <w:tc>
          <w:tcPr>
            <w:tcW w:w="6039" w:type="dxa"/>
            <w:gridSpan w:val="3"/>
            <w:tcBorders>
              <w:top w:val="single" w:color="auto" w:sz="4" w:space="0"/>
              <w:left w:val="single" w:color="auto" w:sz="4" w:space="0"/>
            </w:tcBorders>
            <w:vAlign w:val="center"/>
          </w:tcPr>
          <w:p w14:paraId="5667DB6D">
            <w:pPr>
              <w:pStyle w:val="17"/>
              <w:adjustRightInd w:val="0"/>
              <w:snapToGrid w:val="0"/>
              <w:spacing w:before="36" w:beforeLines="15" w:after="0" w:line="276" w:lineRule="auto"/>
              <w:jc w:val="center"/>
              <w:rPr>
                <w:snapToGrid w:val="0"/>
                <w:sz w:val="21"/>
                <w:szCs w:val="21"/>
                <w:lang w:eastAsia="zh-CN"/>
              </w:rPr>
            </w:pPr>
            <w:r>
              <w:rPr>
                <w:rFonts w:eastAsia="宋体" w:cs="宋体"/>
                <w:sz w:val="21"/>
                <w:lang w:eastAsia="zh-CN"/>
              </w:rPr>
              <w:t>SaMD为医疗决策提供信息的意义。</w:t>
            </w:r>
          </w:p>
        </w:tc>
      </w:tr>
      <w:tr w14:paraId="5A708A8A">
        <w:tblPrEx>
          <w:tblCellMar>
            <w:top w:w="0" w:type="dxa"/>
            <w:left w:w="108" w:type="dxa"/>
            <w:bottom w:w="0" w:type="dxa"/>
            <w:right w:w="108" w:type="dxa"/>
          </w:tblCellMar>
        </w:tblPrEx>
        <w:trPr>
          <w:jc w:val="center"/>
        </w:trPr>
        <w:tc>
          <w:tcPr>
            <w:tcW w:w="1954" w:type="dxa"/>
            <w:vMerge w:val="continue"/>
            <w:tcBorders>
              <w:left w:val="single" w:color="auto" w:sz="4" w:space="0"/>
            </w:tcBorders>
            <w:vAlign w:val="center"/>
          </w:tcPr>
          <w:p w14:paraId="36A8D54B">
            <w:pPr>
              <w:adjustRightInd w:val="0"/>
              <w:snapToGrid w:val="0"/>
              <w:spacing w:before="36" w:beforeLines="15" w:line="276" w:lineRule="auto"/>
              <w:jc w:val="center"/>
              <w:rPr>
                <w:rFonts w:ascii="Times New Roman" w:hAnsi="Times New Roman" w:cs="Times New Roman"/>
                <w:snapToGrid w:val="0"/>
                <w:sz w:val="21"/>
                <w:szCs w:val="21"/>
                <w:lang w:eastAsia="zh-CN"/>
              </w:rPr>
            </w:pPr>
          </w:p>
        </w:tc>
        <w:tc>
          <w:tcPr>
            <w:tcW w:w="1978" w:type="dxa"/>
            <w:tcBorders>
              <w:top w:val="single" w:color="auto" w:sz="4" w:space="0"/>
              <w:left w:val="single" w:color="auto" w:sz="4" w:space="0"/>
            </w:tcBorders>
            <w:vAlign w:val="center"/>
          </w:tcPr>
          <w:p w14:paraId="060B8068">
            <w:pPr>
              <w:pStyle w:val="17"/>
              <w:adjustRightInd w:val="0"/>
              <w:snapToGrid w:val="0"/>
              <w:spacing w:before="36" w:beforeLines="15" w:after="0" w:line="276" w:lineRule="auto"/>
              <w:jc w:val="center"/>
              <w:rPr>
                <w:snapToGrid w:val="0"/>
                <w:sz w:val="21"/>
                <w:szCs w:val="21"/>
              </w:rPr>
            </w:pPr>
            <w:r>
              <w:rPr>
                <w:rFonts w:eastAsia="宋体" w:cs="宋体"/>
                <w:sz w:val="21"/>
              </w:rPr>
              <w:t>治疗或诊断</w:t>
            </w:r>
          </w:p>
        </w:tc>
        <w:tc>
          <w:tcPr>
            <w:tcW w:w="2016" w:type="dxa"/>
            <w:tcBorders>
              <w:top w:val="single" w:color="auto" w:sz="4" w:space="0"/>
              <w:left w:val="single" w:color="auto" w:sz="4" w:space="0"/>
            </w:tcBorders>
            <w:vAlign w:val="center"/>
          </w:tcPr>
          <w:p w14:paraId="0249C750">
            <w:pPr>
              <w:pStyle w:val="17"/>
              <w:adjustRightInd w:val="0"/>
              <w:snapToGrid w:val="0"/>
              <w:spacing w:before="36" w:beforeLines="15" w:after="0" w:line="276" w:lineRule="auto"/>
              <w:jc w:val="center"/>
              <w:rPr>
                <w:snapToGrid w:val="0"/>
                <w:sz w:val="21"/>
                <w:szCs w:val="21"/>
              </w:rPr>
            </w:pPr>
            <w:r>
              <w:rPr>
                <w:rFonts w:eastAsia="宋体" w:cs="宋体"/>
                <w:sz w:val="21"/>
              </w:rPr>
              <w:t>推动临床管理</w:t>
            </w:r>
          </w:p>
        </w:tc>
        <w:tc>
          <w:tcPr>
            <w:tcW w:w="2045" w:type="dxa"/>
            <w:tcBorders>
              <w:top w:val="single" w:color="auto" w:sz="4" w:space="0"/>
              <w:left w:val="single" w:color="auto" w:sz="4" w:space="0"/>
              <w:right w:val="single" w:color="auto" w:sz="4" w:space="0"/>
            </w:tcBorders>
            <w:vAlign w:val="center"/>
          </w:tcPr>
          <w:p w14:paraId="636FFE02">
            <w:pPr>
              <w:pStyle w:val="17"/>
              <w:adjustRightInd w:val="0"/>
              <w:snapToGrid w:val="0"/>
              <w:spacing w:before="36" w:beforeLines="15" w:after="0" w:line="276" w:lineRule="auto"/>
              <w:jc w:val="center"/>
              <w:rPr>
                <w:snapToGrid w:val="0"/>
                <w:sz w:val="21"/>
                <w:szCs w:val="21"/>
              </w:rPr>
            </w:pPr>
            <w:r>
              <w:rPr>
                <w:rFonts w:eastAsia="宋体" w:cs="宋体"/>
                <w:sz w:val="21"/>
              </w:rPr>
              <w:t>告知临床管理</w:t>
            </w:r>
          </w:p>
        </w:tc>
      </w:tr>
      <w:tr w14:paraId="5566A3F8">
        <w:tblPrEx>
          <w:tblCellMar>
            <w:top w:w="0" w:type="dxa"/>
            <w:left w:w="108" w:type="dxa"/>
            <w:bottom w:w="0" w:type="dxa"/>
            <w:right w:w="108" w:type="dxa"/>
          </w:tblCellMar>
        </w:tblPrEx>
        <w:trPr>
          <w:jc w:val="center"/>
        </w:trPr>
        <w:tc>
          <w:tcPr>
            <w:tcW w:w="1954" w:type="dxa"/>
            <w:tcBorders>
              <w:top w:val="single" w:color="auto" w:sz="4" w:space="0"/>
              <w:left w:val="single" w:color="auto" w:sz="4" w:space="0"/>
            </w:tcBorders>
            <w:vAlign w:val="center"/>
          </w:tcPr>
          <w:p w14:paraId="2A7FAB9F">
            <w:pPr>
              <w:pStyle w:val="17"/>
              <w:adjustRightInd w:val="0"/>
              <w:snapToGrid w:val="0"/>
              <w:spacing w:before="36" w:beforeLines="15" w:after="0" w:line="276" w:lineRule="auto"/>
              <w:jc w:val="center"/>
              <w:rPr>
                <w:snapToGrid w:val="0"/>
                <w:sz w:val="21"/>
                <w:szCs w:val="21"/>
              </w:rPr>
            </w:pPr>
            <w:r>
              <w:rPr>
                <w:rFonts w:eastAsia="宋体" w:cs="宋体"/>
                <w:sz w:val="21"/>
              </w:rPr>
              <w:t>危急</w:t>
            </w:r>
          </w:p>
        </w:tc>
        <w:tc>
          <w:tcPr>
            <w:tcW w:w="1978" w:type="dxa"/>
            <w:tcBorders>
              <w:top w:val="single" w:color="auto" w:sz="4" w:space="0"/>
              <w:left w:val="single" w:color="auto" w:sz="4" w:space="0"/>
            </w:tcBorders>
            <w:vAlign w:val="center"/>
          </w:tcPr>
          <w:p w14:paraId="7EE7C448">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IV</w:t>
            </w:r>
          </w:p>
        </w:tc>
        <w:tc>
          <w:tcPr>
            <w:tcW w:w="2016" w:type="dxa"/>
            <w:tcBorders>
              <w:top w:val="single" w:color="auto" w:sz="4" w:space="0"/>
              <w:left w:val="single" w:color="auto" w:sz="4" w:space="0"/>
            </w:tcBorders>
            <w:vAlign w:val="center"/>
          </w:tcPr>
          <w:p w14:paraId="1C61EFFA">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III</w:t>
            </w:r>
          </w:p>
        </w:tc>
        <w:tc>
          <w:tcPr>
            <w:tcW w:w="2045" w:type="dxa"/>
            <w:tcBorders>
              <w:top w:val="single" w:color="auto" w:sz="4" w:space="0"/>
              <w:left w:val="single" w:color="auto" w:sz="4" w:space="0"/>
              <w:right w:val="single" w:color="auto" w:sz="4" w:space="0"/>
            </w:tcBorders>
            <w:vAlign w:val="center"/>
          </w:tcPr>
          <w:p w14:paraId="743FF9FF">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II</w:t>
            </w:r>
          </w:p>
        </w:tc>
      </w:tr>
      <w:tr w14:paraId="120D2C9D">
        <w:tblPrEx>
          <w:tblCellMar>
            <w:top w:w="0" w:type="dxa"/>
            <w:left w:w="108" w:type="dxa"/>
            <w:bottom w:w="0" w:type="dxa"/>
            <w:right w:w="108" w:type="dxa"/>
          </w:tblCellMar>
        </w:tblPrEx>
        <w:trPr>
          <w:jc w:val="center"/>
        </w:trPr>
        <w:tc>
          <w:tcPr>
            <w:tcW w:w="1954" w:type="dxa"/>
            <w:tcBorders>
              <w:top w:val="single" w:color="auto" w:sz="4" w:space="0"/>
              <w:left w:val="single" w:color="auto" w:sz="4" w:space="0"/>
            </w:tcBorders>
            <w:vAlign w:val="center"/>
          </w:tcPr>
          <w:p w14:paraId="5DAD5681">
            <w:pPr>
              <w:pStyle w:val="17"/>
              <w:adjustRightInd w:val="0"/>
              <w:snapToGrid w:val="0"/>
              <w:spacing w:before="36" w:beforeLines="15" w:after="0" w:line="276" w:lineRule="auto"/>
              <w:jc w:val="center"/>
              <w:rPr>
                <w:snapToGrid w:val="0"/>
                <w:sz w:val="21"/>
                <w:szCs w:val="21"/>
              </w:rPr>
            </w:pPr>
            <w:r>
              <w:rPr>
                <w:rFonts w:eastAsia="宋体" w:cs="宋体"/>
                <w:sz w:val="21"/>
              </w:rPr>
              <w:t>严重</w:t>
            </w:r>
          </w:p>
        </w:tc>
        <w:tc>
          <w:tcPr>
            <w:tcW w:w="1978" w:type="dxa"/>
            <w:tcBorders>
              <w:top w:val="single" w:color="auto" w:sz="4" w:space="0"/>
              <w:left w:val="single" w:color="auto" w:sz="4" w:space="0"/>
            </w:tcBorders>
            <w:vAlign w:val="center"/>
          </w:tcPr>
          <w:p w14:paraId="5DDC84E7">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III</w:t>
            </w:r>
          </w:p>
        </w:tc>
        <w:tc>
          <w:tcPr>
            <w:tcW w:w="2016" w:type="dxa"/>
            <w:tcBorders>
              <w:top w:val="single" w:color="auto" w:sz="4" w:space="0"/>
              <w:left w:val="single" w:color="auto" w:sz="4" w:space="0"/>
            </w:tcBorders>
            <w:vAlign w:val="center"/>
          </w:tcPr>
          <w:p w14:paraId="6FE37D4A">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II</w:t>
            </w:r>
          </w:p>
        </w:tc>
        <w:tc>
          <w:tcPr>
            <w:tcW w:w="2045" w:type="dxa"/>
            <w:tcBorders>
              <w:top w:val="single" w:color="auto" w:sz="4" w:space="0"/>
              <w:left w:val="single" w:color="auto" w:sz="4" w:space="0"/>
              <w:right w:val="single" w:color="auto" w:sz="4" w:space="0"/>
            </w:tcBorders>
            <w:vAlign w:val="center"/>
          </w:tcPr>
          <w:p w14:paraId="054A64E4">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w:t>
            </w:r>
          </w:p>
        </w:tc>
      </w:tr>
      <w:tr w14:paraId="452CF253">
        <w:tblPrEx>
          <w:tblCellMar>
            <w:top w:w="0" w:type="dxa"/>
            <w:left w:w="108" w:type="dxa"/>
            <w:bottom w:w="0" w:type="dxa"/>
            <w:right w:w="108" w:type="dxa"/>
          </w:tblCellMar>
        </w:tblPrEx>
        <w:trPr>
          <w:jc w:val="center"/>
        </w:trPr>
        <w:tc>
          <w:tcPr>
            <w:tcW w:w="1954" w:type="dxa"/>
            <w:tcBorders>
              <w:top w:val="single" w:color="auto" w:sz="4" w:space="0"/>
              <w:left w:val="single" w:color="auto" w:sz="4" w:space="0"/>
              <w:bottom w:val="single" w:color="auto" w:sz="4" w:space="0"/>
            </w:tcBorders>
            <w:vAlign w:val="center"/>
          </w:tcPr>
          <w:p w14:paraId="1E7535D7">
            <w:pPr>
              <w:pStyle w:val="17"/>
              <w:adjustRightInd w:val="0"/>
              <w:snapToGrid w:val="0"/>
              <w:spacing w:before="36" w:beforeLines="15" w:after="0" w:line="276" w:lineRule="auto"/>
              <w:jc w:val="center"/>
              <w:rPr>
                <w:snapToGrid w:val="0"/>
                <w:sz w:val="21"/>
                <w:szCs w:val="21"/>
              </w:rPr>
            </w:pPr>
            <w:r>
              <w:rPr>
                <w:rFonts w:eastAsia="宋体" w:cs="宋体"/>
                <w:sz w:val="21"/>
              </w:rPr>
              <w:t>非严重</w:t>
            </w:r>
          </w:p>
        </w:tc>
        <w:tc>
          <w:tcPr>
            <w:tcW w:w="1978" w:type="dxa"/>
            <w:tcBorders>
              <w:top w:val="single" w:color="auto" w:sz="4" w:space="0"/>
              <w:left w:val="single" w:color="auto" w:sz="4" w:space="0"/>
              <w:bottom w:val="single" w:color="auto" w:sz="4" w:space="0"/>
            </w:tcBorders>
            <w:vAlign w:val="center"/>
          </w:tcPr>
          <w:p w14:paraId="119F326E">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II</w:t>
            </w:r>
          </w:p>
        </w:tc>
        <w:tc>
          <w:tcPr>
            <w:tcW w:w="2016" w:type="dxa"/>
            <w:tcBorders>
              <w:top w:val="single" w:color="auto" w:sz="4" w:space="0"/>
              <w:left w:val="single" w:color="auto" w:sz="4" w:space="0"/>
              <w:bottom w:val="single" w:color="auto" w:sz="4" w:space="0"/>
            </w:tcBorders>
            <w:vAlign w:val="center"/>
          </w:tcPr>
          <w:p w14:paraId="235E57B7">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w:t>
            </w:r>
          </w:p>
        </w:tc>
        <w:tc>
          <w:tcPr>
            <w:tcW w:w="2045" w:type="dxa"/>
            <w:tcBorders>
              <w:top w:val="single" w:color="auto" w:sz="4" w:space="0"/>
              <w:left w:val="single" w:color="auto" w:sz="4" w:space="0"/>
              <w:bottom w:val="single" w:color="auto" w:sz="4" w:space="0"/>
              <w:right w:val="single" w:color="auto" w:sz="4" w:space="0"/>
            </w:tcBorders>
            <w:vAlign w:val="center"/>
          </w:tcPr>
          <w:p w14:paraId="7557D255">
            <w:pPr>
              <w:pStyle w:val="17"/>
              <w:adjustRightInd w:val="0"/>
              <w:snapToGrid w:val="0"/>
              <w:spacing w:before="36" w:beforeLines="15" w:after="0" w:line="276" w:lineRule="auto"/>
              <w:jc w:val="center"/>
              <w:rPr>
                <w:snapToGrid w:val="0"/>
                <w:vanish/>
                <w:sz w:val="21"/>
                <w:szCs w:val="21"/>
              </w:rPr>
            </w:pPr>
            <w:r>
              <w:rPr>
                <w:rFonts w:eastAsia="宋体"/>
                <w:snapToGrid w:val="0"/>
                <w:sz w:val="21"/>
                <w:szCs w:val="21"/>
              </w:rPr>
              <w:t>I</w:t>
            </w:r>
          </w:p>
        </w:tc>
      </w:tr>
    </w:tbl>
    <w:p w14:paraId="68594646">
      <w:pPr>
        <w:pStyle w:val="27"/>
        <w:adjustRightInd w:val="0"/>
        <w:snapToGrid w:val="0"/>
        <w:spacing w:before="120" w:beforeLines="50" w:line="300" w:lineRule="auto"/>
        <w:jc w:val="center"/>
        <w:rPr>
          <w:rFonts w:eastAsia="宋体"/>
          <w:snapToGrid w:val="0"/>
          <w:sz w:val="24"/>
          <w:szCs w:val="24"/>
        </w:rPr>
      </w:pPr>
      <w:r>
        <w:rPr>
          <w:rFonts w:eastAsia="宋体" w:cs="宋体"/>
          <w:b/>
          <w:sz w:val="24"/>
        </w:rPr>
        <w:t>图10 - SaMD N12</w:t>
      </w:r>
      <w:r>
        <w:rPr>
          <w:rFonts w:eastAsia="宋体" w:cs="宋体"/>
          <w:sz w:val="24"/>
          <w:vertAlign w:val="superscript"/>
        </w:rPr>
        <w:t>[2]</w:t>
      </w:r>
      <w:r>
        <w:rPr>
          <w:rFonts w:eastAsia="宋体" w:cs="宋体"/>
          <w:b/>
          <w:color w:val="000000"/>
          <w:sz w:val="24"/>
        </w:rPr>
        <w:t>框架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958"/>
        <w:gridCol w:w="8329"/>
      </w:tblGrid>
      <w:tr w14:paraId="5520391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516" w:type="pct"/>
            <w:shd w:val="clear" w:color="auto" w:fill="FFFFFF"/>
            <w:vAlign w:val="bottom"/>
          </w:tcPr>
          <w:p w14:paraId="43E9C964">
            <w:pPr>
              <w:pStyle w:val="17"/>
              <w:adjustRightInd w:val="0"/>
              <w:snapToGrid w:val="0"/>
              <w:spacing w:before="36" w:beforeLines="15" w:after="0" w:line="276" w:lineRule="auto"/>
              <w:jc w:val="both"/>
              <w:rPr>
                <w:snapToGrid w:val="0"/>
                <w:sz w:val="21"/>
                <w:szCs w:val="21"/>
              </w:rPr>
            </w:pPr>
            <w:r>
              <w:rPr>
                <w:rFonts w:ascii="宋体" w:hAnsi="宋体" w:eastAsia="宋体" w:cs="宋体"/>
                <w:sz w:val="21"/>
                <w:szCs w:val="21"/>
                <w:lang w:eastAsia="zh-CN" w:bidi="ar-SA"/>
              </w:rPr>
              <w:drawing>
                <wp:inline distT="0" distB="0" distL="0" distR="0">
                  <wp:extent cx="342265" cy="361315"/>
                  <wp:effectExtent l="0" t="0" r="635" b="63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p>
        </w:tc>
        <w:tc>
          <w:tcPr>
            <w:tcW w:w="4484" w:type="pct"/>
            <w:shd w:val="clear" w:color="auto" w:fill="FFFFFF"/>
            <w:vAlign w:val="bottom"/>
          </w:tcPr>
          <w:p w14:paraId="7ADFD29F">
            <w:pPr>
              <w:pStyle w:val="17"/>
              <w:adjustRightInd w:val="0"/>
              <w:snapToGrid w:val="0"/>
              <w:spacing w:before="36" w:beforeLines="15" w:after="0" w:line="276" w:lineRule="auto"/>
              <w:jc w:val="both"/>
              <w:rPr>
                <w:rFonts w:eastAsia="宋体"/>
                <w:b/>
                <w:bCs/>
                <w:i/>
                <w:iCs/>
                <w:snapToGrid w:val="0"/>
                <w:sz w:val="21"/>
                <w:szCs w:val="21"/>
                <w:lang w:eastAsia="zh-CN"/>
              </w:rPr>
            </w:pPr>
            <w:r>
              <w:rPr>
                <w:rFonts w:eastAsia="宋体" w:cs="宋体"/>
                <w:b/>
                <w:i/>
                <w:sz w:val="21"/>
                <w:szCs w:val="21"/>
                <w:lang w:eastAsia="zh-CN"/>
              </w:rPr>
              <w:t>SaMD定义声明</w:t>
            </w:r>
            <w:r>
              <w:rPr>
                <w:rFonts w:eastAsia="宋体" w:cs="宋体"/>
                <w:i/>
                <w:sz w:val="21"/>
                <w:szCs w:val="21"/>
                <w:lang w:eastAsia="zh-CN"/>
              </w:rPr>
              <w:t>参见</w:t>
            </w:r>
            <w:r>
              <w:fldChar w:fldCharType="begin"/>
            </w:r>
            <w:r>
              <w:instrText xml:space="preserve"> HYPERLINK "http://www.imdrf.org/docs/imdrf/final/technical/imdrf-tech-140918-samd-framework-risk-categorization-141013.pdf" </w:instrText>
            </w:r>
            <w:r>
              <w:fldChar w:fldCharType="separate"/>
            </w:r>
            <w:r>
              <w:rPr>
                <w:rFonts w:eastAsia="宋体" w:cs="宋体"/>
                <w:i/>
                <w:iCs/>
                <w:snapToGrid w:val="0"/>
                <w:color w:val="0000FF"/>
                <w:sz w:val="21"/>
                <w:szCs w:val="21"/>
                <w:u w:val="single"/>
                <w:lang w:eastAsia="zh-CN"/>
              </w:rPr>
              <w:t>SaMD N12</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[2]</w:t>
            </w:r>
            <w:r>
              <w:rPr>
                <w:rFonts w:eastAsia="宋体" w:cs="宋体"/>
                <w:i/>
                <w:sz w:val="21"/>
                <w:szCs w:val="21"/>
                <w:lang w:eastAsia="zh-CN"/>
              </w:rPr>
              <w:t>第6.0节</w:t>
            </w:r>
          </w:p>
          <w:p w14:paraId="77A02108">
            <w:pPr>
              <w:pStyle w:val="17"/>
              <w:adjustRightInd w:val="0"/>
              <w:snapToGrid w:val="0"/>
              <w:spacing w:before="36" w:beforeLines="15" w:after="0" w:line="276" w:lineRule="auto"/>
              <w:jc w:val="both"/>
              <w:rPr>
                <w:snapToGrid w:val="0"/>
                <w:sz w:val="21"/>
                <w:szCs w:val="21"/>
                <w:lang w:eastAsia="zh-CN"/>
              </w:rPr>
            </w:pPr>
            <w:r>
              <w:rPr>
                <w:rFonts w:eastAsia="宋体" w:cs="宋体"/>
                <w:b/>
                <w:i/>
                <w:sz w:val="21"/>
                <w:szCs w:val="21"/>
                <w:lang w:eastAsia="zh-CN"/>
              </w:rPr>
              <w:t>SaMD风险分类框架</w:t>
            </w:r>
            <w:r>
              <w:rPr>
                <w:rFonts w:eastAsia="宋体" w:cs="宋体"/>
                <w:i/>
                <w:sz w:val="21"/>
                <w:szCs w:val="21"/>
                <w:lang w:eastAsia="zh-CN"/>
              </w:rPr>
              <w:t>参见</w:t>
            </w:r>
            <w:r>
              <w:fldChar w:fldCharType="begin"/>
            </w:r>
            <w:r>
              <w:instrText xml:space="preserve"> HYPERLINK "http://www.imdrf.org/docs/imdrf/final/technical/imdrf-tech-140918-samd-framework-risk-categorization-141013.pdf" </w:instrText>
            </w:r>
            <w:r>
              <w:fldChar w:fldCharType="separate"/>
            </w:r>
            <w:r>
              <w:rPr>
                <w:rFonts w:eastAsia="宋体" w:cs="宋体"/>
                <w:i/>
                <w:iCs/>
                <w:snapToGrid w:val="0"/>
                <w:color w:val="0000FF"/>
                <w:sz w:val="21"/>
                <w:szCs w:val="21"/>
                <w:u w:val="single"/>
                <w:lang w:eastAsia="zh-CN"/>
              </w:rPr>
              <w:t>SaMD NI2</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[2]</w:t>
            </w:r>
            <w:r>
              <w:rPr>
                <w:rFonts w:eastAsia="宋体" w:cs="宋体"/>
                <w:i/>
                <w:sz w:val="21"/>
                <w:szCs w:val="21"/>
                <w:lang w:eastAsia="zh-CN"/>
              </w:rPr>
              <w:t>第7.0节</w:t>
            </w:r>
          </w:p>
        </w:tc>
      </w:tr>
    </w:tbl>
    <w:p w14:paraId="503B6466">
      <w:pPr>
        <w:pStyle w:val="21"/>
        <w:adjustRightInd w:val="0"/>
        <w:snapToGrid w:val="0"/>
        <w:spacing w:before="120" w:beforeLines="50" w:line="300" w:lineRule="auto"/>
        <w:jc w:val="both"/>
        <w:rPr>
          <w:rFonts w:eastAsia="宋体"/>
          <w:snapToGrid w:val="0"/>
          <w:sz w:val="24"/>
          <w:szCs w:val="24"/>
          <w:lang w:eastAsia="zh-CN"/>
        </w:rPr>
      </w:pPr>
    </w:p>
    <w:p w14:paraId="1187819D">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16840E5F">
      <w:pPr>
        <w:pStyle w:val="40"/>
        <w:rPr>
          <w:rFonts w:eastAsia="宋体"/>
          <w:lang w:eastAsia="zh-CN"/>
        </w:rPr>
      </w:pPr>
      <w:bookmarkStart w:id="13" w:name="_Toc92183892"/>
      <w:r>
        <w:rPr>
          <w:rFonts w:eastAsia="宋体" w:cs="宋体"/>
          <w:lang w:eastAsia="zh-CN"/>
        </w:rPr>
        <w:t xml:space="preserve">6.2 </w:t>
      </w:r>
      <w:r>
        <w:rPr>
          <w:rFonts w:eastAsia="宋体" w:cs="宋体"/>
          <w:lang w:eastAsia="zh-CN"/>
        </w:rPr>
        <w:tab/>
      </w:r>
      <w:r>
        <w:rPr>
          <w:rFonts w:eastAsia="宋体" w:cs="宋体"/>
          <w:lang w:eastAsia="zh-CN"/>
        </w:rPr>
        <w:t>临床评价过程</w:t>
      </w:r>
      <w:bookmarkEnd w:id="13"/>
    </w:p>
    <w:p w14:paraId="63281E0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制造商预期将实施持续的生命周期过程，以全面评价产品在其预期市场中的性能。作为常规新产品导入过程的一部分，在产品发布之前（上市前），制造商将生成产品的准确度、特异性、灵敏度、可靠性、局限性以及预期用户在预期使用环境中使用范围的证据，并生成SaMD定义声明。一旦产品投放到市场（上市后），作为常规生命周期管理过程的一部分，制造商将继续收集真实世界性能数据（例如投诉、安全性数据），以进一步了解客户的需求，确保产品满足这些需求，并监测产品在真实应用中的持续安全性、有效性和性能。这些真实世界性能数据使制造商能够识别并纠正任何问题、支持未来的功能扩展、满足预期的用户需求或提高器械的有效性。</w:t>
      </w:r>
    </w:p>
    <w:p w14:paraId="15154312">
      <w:pPr>
        <w:adjustRightInd w:val="0"/>
        <w:snapToGrid w:val="0"/>
        <w:spacing w:before="120" w:beforeLines="50" w:line="300" w:lineRule="auto"/>
        <w:jc w:val="both"/>
        <w:rPr>
          <w:rFonts w:ascii="Times New Roman" w:hAnsi="Times New Roman" w:eastAsia="宋体" w:cs="Times New Roman"/>
          <w:snapToGrid w:val="0"/>
          <w:lang w:eastAsia="zh-CN"/>
        </w:rPr>
      </w:pPr>
      <w:r>
        <w:rPr>
          <w:lang w:eastAsia="zh-CN" w:bidi="ar-SA"/>
        </w:rPr>
        <mc:AlternateContent>
          <mc:Choice Requires="wpg">
            <w:drawing>
              <wp:anchor distT="0" distB="0" distL="114300" distR="114300" simplePos="0" relativeHeight="251663360" behindDoc="0" locked="0" layoutInCell="1" allowOverlap="1">
                <wp:simplePos x="0" y="0"/>
                <wp:positionH relativeFrom="column">
                  <wp:posOffset>1757045</wp:posOffset>
                </wp:positionH>
                <wp:positionV relativeFrom="paragraph">
                  <wp:posOffset>464185</wp:posOffset>
                </wp:positionV>
                <wp:extent cx="4006215" cy="3265170"/>
                <wp:effectExtent l="0" t="0" r="0" b="0"/>
                <wp:wrapNone/>
                <wp:docPr id="120" name="组合 120"/>
                <wp:cNvGraphicFramePr/>
                <a:graphic xmlns:a="http://schemas.openxmlformats.org/drawingml/2006/main">
                  <a:graphicData uri="http://schemas.microsoft.com/office/word/2010/wordprocessingGroup">
                    <wpg:wgp>
                      <wpg:cNvGrpSpPr/>
                      <wpg:grpSpPr>
                        <a:xfrm>
                          <a:off x="0" y="0"/>
                          <a:ext cx="4006270" cy="3264938"/>
                          <a:chOff x="1066800" y="0"/>
                          <a:chExt cx="4006477" cy="3265323"/>
                        </a:xfrm>
                      </wpg:grpSpPr>
                      <wps:wsp>
                        <wps:cNvPr id="121" name="文本框 121"/>
                        <wps:cNvSpPr txBox="1"/>
                        <wps:spPr>
                          <a:xfrm>
                            <a:off x="1963271" y="0"/>
                            <a:ext cx="2186609" cy="20872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1B29C">
                              <w:pPr>
                                <w:jc w:val="center"/>
                                <w:rPr>
                                  <w:rFonts w:ascii="Times New Roman" w:hAnsi="Times New Roman" w:eastAsia="宋体" w:cs="Times New Roman"/>
                                </w:rPr>
                              </w:pPr>
                              <w:r>
                                <w:rPr>
                                  <w:rFonts w:ascii="Times New Roman" w:hAnsi="Times New Roman" w:eastAsia="宋体" w:cs="宋体"/>
                                </w:rPr>
                                <w:t>SaMD N41临床评价</w:t>
                              </w:r>
                            </w:p>
                          </w:txbxContent>
                        </wps:txbx>
                        <wps:bodyPr rot="0" spcFirstLastPara="0" vertOverflow="overflow" horzOverflow="overflow" vert="horz" wrap="square" lIns="0" tIns="0" rIns="0" bIns="0" numCol="1" spcCol="0" rtlCol="0" fromWordArt="0" anchor="ctr" anchorCtr="0" forceAA="0" compatLnSpc="1">
                          <a:noAutofit/>
                        </wps:bodyPr>
                      </wps:wsp>
                      <wps:wsp>
                        <wps:cNvPr id="122" name="文本框 122"/>
                        <wps:cNvSpPr txBox="1"/>
                        <wps:spPr>
                          <a:xfrm>
                            <a:off x="1066800" y="295836"/>
                            <a:ext cx="1689652" cy="1113182"/>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303CA">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临床关联</w:t>
                              </w:r>
                            </w:p>
                            <w:p w14:paraId="3D6519E6">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SaMD输出与临床状况之间的临床关联</w:t>
                              </w:r>
                            </w:p>
                            <w:p w14:paraId="6A9F6B43">
                              <w:pPr>
                                <w:jc w:val="center"/>
                                <w:rPr>
                                  <w:rFonts w:ascii="Times New Roman" w:hAnsi="Times New Roman" w:eastAsia="宋体" w:cs="Times New Roman"/>
                                  <w:sz w:val="18"/>
                                  <w:szCs w:val="18"/>
                                  <w:lang w:eastAsia="zh-CN"/>
                                </w:rPr>
                              </w:pPr>
                            </w:p>
                            <w:p w14:paraId="00E2D9F6">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文献检索、原始临床研究、专业协会指南、二次数据分析、临床试验</w:t>
                              </w:r>
                            </w:p>
                          </w:txbxContent>
                        </wps:txbx>
                        <wps:bodyPr rot="0" spcFirstLastPara="0" vertOverflow="overflow" horzOverflow="overflow" vert="horz" wrap="square" lIns="0" tIns="0" rIns="0" bIns="0" numCol="1" spcCol="0" rtlCol="0" fromWordArt="0" anchor="ctr" anchorCtr="0" forceAA="0" compatLnSpc="1">
                          <a:noAutofit/>
                        </wps:bodyPr>
                      </wps:wsp>
                      <wps:wsp>
                        <wps:cNvPr id="123" name="文本框 123"/>
                        <wps:cNvSpPr txBox="1"/>
                        <wps:spPr>
                          <a:xfrm>
                            <a:off x="3218330" y="295836"/>
                            <a:ext cx="1689100" cy="298173"/>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880C0">
                              <w:pPr>
                                <w:jc w:val="center"/>
                                <w:rPr>
                                  <w:rFonts w:ascii="Times New Roman" w:hAnsi="Times New Roman" w:eastAsia="宋体" w:cs="Times New Roman"/>
                                  <w:b/>
                                  <w:sz w:val="18"/>
                                  <w:szCs w:val="18"/>
                                </w:rPr>
                              </w:pPr>
                              <w:r>
                                <w:rPr>
                                  <w:rFonts w:ascii="Times New Roman" w:hAnsi="Times New Roman" w:eastAsia="宋体" w:cs="宋体"/>
                                  <w:b/>
                                  <w:sz w:val="18"/>
                                </w:rPr>
                                <w:t>产品性能</w:t>
                              </w:r>
                            </w:p>
                            <w:p w14:paraId="74A044A3">
                              <w:pPr>
                                <w:jc w:val="center"/>
                                <w:rPr>
                                  <w:rFonts w:ascii="Times New Roman" w:hAnsi="Times New Roman" w:eastAsia="宋体" w:cs="Times New Roman"/>
                                  <w:i/>
                                  <w:sz w:val="18"/>
                                  <w:szCs w:val="18"/>
                                </w:rPr>
                              </w:pPr>
                              <w:r>
                                <w:rPr>
                                  <w:rFonts w:ascii="Times New Roman" w:hAnsi="Times New Roman" w:eastAsia="宋体" w:cs="宋体"/>
                                  <w:i/>
                                  <w:sz w:val="18"/>
                                </w:rPr>
                                <w:t>验证和确认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124" name="文本框 124"/>
                        <wps:cNvSpPr txBox="1"/>
                        <wps:spPr>
                          <a:xfrm>
                            <a:off x="2967318" y="645459"/>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DD061">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分析/技术确认</w:t>
                              </w:r>
                            </w:p>
                            <w:p w14:paraId="297FD2A3">
                              <w:pPr>
                                <w:jc w:val="center"/>
                                <w:rPr>
                                  <w:rFonts w:ascii="Times New Roman" w:hAnsi="Times New Roman" w:eastAsia="宋体" w:cs="Times New Roman"/>
                                  <w:b/>
                                  <w:sz w:val="18"/>
                                  <w:szCs w:val="18"/>
                                  <w:lang w:eastAsia="zh-CN"/>
                                </w:rPr>
                              </w:pPr>
                            </w:p>
                            <w:p w14:paraId="27C06FF0">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准确度、可靠性、精确度......</w:t>
                              </w:r>
                            </w:p>
                          </w:txbxContent>
                        </wps:txbx>
                        <wps:bodyPr rot="0" spcFirstLastPara="0" vertOverflow="overflow" horzOverflow="overflow" vert="horz" wrap="square" lIns="0" tIns="0" rIns="0" bIns="0" numCol="1" spcCol="0" rtlCol="0" fromWordArt="0" anchor="ctr" anchorCtr="0" forceAA="0" compatLnSpc="1">
                          <a:noAutofit/>
                        </wps:bodyPr>
                      </wps:wsp>
                      <wps:wsp>
                        <wps:cNvPr id="125" name="文本框 125"/>
                        <wps:cNvSpPr txBox="1"/>
                        <wps:spPr>
                          <a:xfrm>
                            <a:off x="4069977" y="654424"/>
                            <a:ext cx="1003300" cy="784860"/>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CF331">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临床确认</w:t>
                              </w:r>
                            </w:p>
                            <w:p w14:paraId="130A8741">
                              <w:pPr>
                                <w:jc w:val="center"/>
                                <w:rPr>
                                  <w:rFonts w:ascii="Times New Roman" w:hAnsi="Times New Roman" w:eastAsia="宋体" w:cs="Times New Roman"/>
                                  <w:i/>
                                  <w:sz w:val="18"/>
                                  <w:szCs w:val="18"/>
                                  <w:lang w:eastAsia="zh-CN"/>
                                </w:rPr>
                              </w:pPr>
                            </w:p>
                            <w:p w14:paraId="15F38409">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灵敏度、特异性、比值比......</w:t>
                              </w:r>
                            </w:p>
                          </w:txbxContent>
                        </wps:txbx>
                        <wps:bodyPr rot="0" spcFirstLastPara="0" vertOverflow="overflow" horzOverflow="overflow" vert="horz" wrap="square" lIns="0" tIns="0" rIns="0" bIns="0" numCol="1" spcCol="0" rtlCol="0" fromWordArt="0" anchor="ctr" anchorCtr="0" forceAA="0" compatLnSpc="1">
                          <a:noAutofit/>
                        </wps:bodyPr>
                      </wps:wsp>
                      <wps:wsp>
                        <wps:cNvPr id="126" name="文本框 126"/>
                        <wps:cNvSpPr txBox="1"/>
                        <wps:spPr>
                          <a:xfrm>
                            <a:off x="4007224" y="1766047"/>
                            <a:ext cx="765313"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ECE59">
                              <w:pPr>
                                <w:jc w:val="center"/>
                                <w:rPr>
                                  <w:rFonts w:ascii="Times New Roman" w:hAnsi="Times New Roman" w:eastAsia="宋体" w:cs="Times New Roman"/>
                                  <w:i/>
                                  <w:sz w:val="15"/>
                                  <w:szCs w:val="15"/>
                                </w:rPr>
                              </w:pPr>
                              <w:r>
                                <w:rPr>
                                  <w:rFonts w:ascii="Times New Roman" w:hAnsi="Times New Roman" w:eastAsia="宋体" w:cs="宋体"/>
                                  <w:i/>
                                  <w:sz w:val="14"/>
                                </w:rPr>
                                <w:t>验证和确认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136" name="文本框 136"/>
                        <wps:cNvSpPr txBox="1"/>
                        <wps:spPr>
                          <a:xfrm>
                            <a:off x="2635624" y="1775009"/>
                            <a:ext cx="1328252" cy="136026"/>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30B96">
                              <w:pPr>
                                <w:jc w:val="center"/>
                                <w:rPr>
                                  <w:rFonts w:ascii="Times New Roman" w:hAnsi="Times New Roman" w:eastAsia="宋体" w:cs="Times New Roman"/>
                                  <w:i/>
                                  <w:sz w:val="15"/>
                                  <w:szCs w:val="15"/>
                                </w:rPr>
                              </w:pPr>
                              <w:r>
                                <w:rPr>
                                  <w:rFonts w:ascii="Times New Roman" w:hAnsi="Times New Roman" w:eastAsia="宋体" w:cs="宋体"/>
                                  <w:i/>
                                  <w:sz w:val="14"/>
                                </w:rPr>
                                <w:t>要求、设计、开发、</w:t>
                              </w:r>
                            </w:p>
                          </w:txbxContent>
                        </wps:txbx>
                        <wps:bodyPr rot="0" spcFirstLastPara="0" vertOverflow="overflow" horzOverflow="overflow" vert="horz" wrap="square" lIns="0" tIns="0" rIns="0" bIns="0" numCol="1" spcCol="0" rtlCol="0" fromWordArt="0" anchor="ctr" anchorCtr="0" forceAA="0" compatLnSpc="1">
                          <a:noAutofit/>
                        </wps:bodyPr>
                      </wps:wsp>
                      <wps:wsp>
                        <wps:cNvPr id="137" name="文本框 137"/>
                        <wps:cNvSpPr txBox="1"/>
                        <wps:spPr>
                          <a:xfrm>
                            <a:off x="3164542" y="1900517"/>
                            <a:ext cx="1327785" cy="13589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766DD">
                              <w:pPr>
                                <w:rPr>
                                  <w:rFonts w:ascii="Times New Roman" w:hAnsi="Times New Roman" w:eastAsia="宋体" w:cs="Times New Roman"/>
                                  <w:i/>
                                  <w:sz w:val="15"/>
                                  <w:szCs w:val="15"/>
                                </w:rPr>
                              </w:pPr>
                              <w:r>
                                <w:rPr>
                                  <w:rFonts w:ascii="Times New Roman" w:hAnsi="Times New Roman" w:eastAsia="宋体" w:cs="宋体"/>
                                  <w:i/>
                                  <w:sz w:val="14"/>
                                </w:rPr>
                                <w:t>部署、维护、弃用</w:t>
                              </w:r>
                            </w:p>
                          </w:txbxContent>
                        </wps:txbx>
                        <wps:bodyPr rot="0" spcFirstLastPara="0" vertOverflow="overflow" horzOverflow="overflow" vert="horz" wrap="square" lIns="0" tIns="0" rIns="0" bIns="0" numCol="1" spcCol="0" rtlCol="0" fromWordArt="0" anchor="ctr" anchorCtr="0" forceAA="0" compatLnSpc="1">
                          <a:noAutofit/>
                        </wps:bodyPr>
                      </wps:wsp>
                      <wps:wsp>
                        <wps:cNvPr id="138" name="文本框 138"/>
                        <wps:cNvSpPr txBox="1"/>
                        <wps:spPr>
                          <a:xfrm>
                            <a:off x="2716305" y="2016496"/>
                            <a:ext cx="2019641" cy="108000"/>
                          </a:xfrm>
                          <a:prstGeom prst="rect">
                            <a:avLst/>
                          </a:prstGeom>
                          <a:solidFill>
                            <a:srgbClr val="B7DEE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55D76">
                              <w:pPr>
                                <w:jc w:val="center"/>
                                <w:rPr>
                                  <w:rFonts w:ascii="Times New Roman" w:hAnsi="Times New Roman" w:eastAsia="宋体" w:cs="Times New Roman"/>
                                  <w:b/>
                                  <w:sz w:val="15"/>
                                  <w:szCs w:val="15"/>
                                  <w:lang w:eastAsia="zh-CN"/>
                                </w:rPr>
                              </w:pPr>
                              <w:r>
                                <w:rPr>
                                  <w:rFonts w:ascii="Times New Roman" w:hAnsi="Times New Roman" w:eastAsia="宋体" w:cs="宋体"/>
                                  <w:b/>
                                  <w:sz w:val="14"/>
                                  <w:lang w:eastAsia="zh-CN"/>
                                </w:rPr>
                                <w:t>SaMD实现和使用过程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139" name="文本框 139"/>
                        <wps:cNvSpPr txBox="1"/>
                        <wps:spPr>
                          <a:xfrm>
                            <a:off x="2644589" y="2186265"/>
                            <a:ext cx="2109984" cy="362738"/>
                          </a:xfrm>
                          <a:prstGeom prst="rect">
                            <a:avLst/>
                          </a:prstGeom>
                          <a:solidFill>
                            <a:srgbClr val="C4BD9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5DFEC">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计划、</w:t>
                              </w:r>
                              <w:r>
                                <w:rPr>
                                  <w:rFonts w:ascii="Times New Roman" w:hAnsi="Times New Roman" w:eastAsia="宋体" w:cs="宋体"/>
                                  <w:b/>
                                  <w:i/>
                                  <w:sz w:val="14"/>
                                  <w:lang w:eastAsia="zh-CN"/>
                                </w:rPr>
                                <w:t>风险管理</w:t>
                              </w:r>
                              <w:r>
                                <w:rPr>
                                  <w:rFonts w:ascii="Times New Roman" w:hAnsi="Times New Roman" w:eastAsia="宋体" w:cs="宋体"/>
                                  <w:i/>
                                  <w:sz w:val="14"/>
                                  <w:lang w:eastAsia="zh-CN"/>
                                </w:rPr>
                                <w:t>、文档、配置、测量、外包</w:t>
                              </w:r>
                            </w:p>
                            <w:p w14:paraId="6BDC334E">
                              <w:pPr>
                                <w:jc w:val="center"/>
                                <w:rPr>
                                  <w:rFonts w:ascii="Times New Roman" w:hAnsi="Times New Roman" w:eastAsia="宋体" w:cs="Times New Roman"/>
                                  <w:b/>
                                  <w:sz w:val="15"/>
                                  <w:szCs w:val="15"/>
                                </w:rPr>
                              </w:pPr>
                              <w:r>
                                <w:rPr>
                                  <w:rFonts w:ascii="Times New Roman" w:hAnsi="Times New Roman" w:eastAsia="宋体" w:cs="宋体"/>
                                  <w:b/>
                                  <w:sz w:val="14"/>
                                </w:rPr>
                                <w:t>SaMD生命周期支持过程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140" name="文本框 140"/>
                        <wps:cNvSpPr txBox="1"/>
                        <wps:spPr>
                          <a:xfrm>
                            <a:off x="2554942" y="2598081"/>
                            <a:ext cx="2297336" cy="362585"/>
                          </a:xfrm>
                          <a:prstGeom prst="rect">
                            <a:avLst/>
                          </a:prstGeom>
                          <a:solidFill>
                            <a:srgbClr val="FCD5B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BF1F8">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人员、基础设施、工作环境</w:t>
                              </w:r>
                            </w:p>
                            <w:p w14:paraId="6A7EB4BF">
                              <w:pPr>
                                <w:jc w:val="center"/>
                                <w:rPr>
                                  <w:rFonts w:ascii="Times New Roman" w:hAnsi="Times New Roman" w:eastAsia="宋体" w:cs="Times New Roman"/>
                                  <w:b/>
                                  <w:sz w:val="15"/>
                                  <w:szCs w:val="15"/>
                                </w:rPr>
                              </w:pPr>
                              <w:r>
                                <w:rPr>
                                  <w:rFonts w:ascii="Times New Roman" w:hAnsi="Times New Roman" w:eastAsia="宋体" w:cs="宋体"/>
                                  <w:b/>
                                  <w:sz w:val="14"/>
                                </w:rPr>
                                <w:t>领导力和组织支持</w:t>
                              </w:r>
                            </w:p>
                          </w:txbxContent>
                        </wps:txbx>
                        <wps:bodyPr rot="0" spcFirstLastPara="0" vertOverflow="overflow" horzOverflow="overflow" vert="horz" wrap="square" lIns="0" tIns="0" rIns="0" bIns="0" numCol="1" spcCol="0" rtlCol="0" fromWordArt="0" anchor="ctr" anchorCtr="0" forceAA="0" compatLnSpc="1">
                          <a:noAutofit/>
                        </wps:bodyPr>
                      </wps:wsp>
                      <wps:wsp>
                        <wps:cNvPr id="141" name="文本框 141"/>
                        <wps:cNvSpPr txBox="1"/>
                        <wps:spPr>
                          <a:xfrm>
                            <a:off x="2554942" y="3046316"/>
                            <a:ext cx="2346562" cy="219007"/>
                          </a:xfrm>
                          <a:prstGeom prst="rect">
                            <a:avLst/>
                          </a:prstGeom>
                          <a:solidFill>
                            <a:srgbClr val="D9D9D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FF8344">
                              <w:pPr>
                                <w:jc w:val="center"/>
                                <w:rPr>
                                  <w:rFonts w:ascii="Times New Roman" w:hAnsi="Times New Roman" w:eastAsia="宋体" w:cs="Times New Roman"/>
                                  <w:i/>
                                  <w:sz w:val="18"/>
                                  <w:szCs w:val="18"/>
                                </w:rPr>
                              </w:pPr>
                              <w:r>
                                <w:rPr>
                                  <w:rFonts w:ascii="Times New Roman" w:hAnsi="Times New Roman" w:eastAsia="宋体" w:cs="宋体"/>
                                  <w:b/>
                                  <w:sz w:val="18"/>
                                </w:rPr>
                                <w:t>SaMD N23质量管理体系</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138.35pt;margin-top:36.55pt;height:257.1pt;width:315.45pt;z-index:251663360;mso-width-relative:page;mso-height-relative:page;" coordorigin="1066800,0" coordsize="4006477,3265323" o:gfxdata="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Igs&#10;d8rbAAAACgEAAA8AAAAAAAAAAQAgAAAAIgAAAGRycy9kb3ducmV2LnhtbFBLAQIUABQAAAAIAIdO&#10;4kBQTi60BQUAABskAAAOAAAAAAAAAAEAIAAAACoBAABkcnMvZTJvRG9jLnhtbFBLBQYAAAAABgAG&#10;AFkBAAChCAAAAAA=&#10;">
                <o:lock v:ext="edit" aspectratio="f"/>
                <v:shape id="_x0000_s1026" o:spid="_x0000_s1026" o:spt="202" type="#_x0000_t202" style="position:absolute;left:1963271;top:0;height:208721;width:2186609;v-text-anchor:middle;" fillcolor="#FFFFFF [3212]" filled="t" stroked="f" coordsize="21600,21600" o:gfxdata="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C5g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2391B29C">
                        <w:pPr>
                          <w:jc w:val="center"/>
                          <w:rPr>
                            <w:rFonts w:ascii="Times New Roman" w:hAnsi="Times New Roman" w:eastAsia="宋体" w:cs="Times New Roman"/>
                          </w:rPr>
                        </w:pPr>
                        <w:r>
                          <w:rPr>
                            <w:rFonts w:ascii="Times New Roman" w:hAnsi="Times New Roman" w:eastAsia="宋体" w:cs="宋体"/>
                          </w:rPr>
                          <w:t>SaMD N41临床评价</w:t>
                        </w:r>
                      </w:p>
                    </w:txbxContent>
                  </v:textbox>
                </v:shape>
                <v:shape id="_x0000_s1026" o:spid="_x0000_s1026" o:spt="202" type="#_x0000_t202" style="position:absolute;left:1066800;top:295836;height:1113182;width:1689652;v-text-anchor:middle;" fillcolor="#D9D9D9" filled="t" stroked="f" coordsize="21600,21600" o:gfxdata="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7ir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1E7303CA">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临床关联</w:t>
                        </w:r>
                      </w:p>
                      <w:p w14:paraId="3D6519E6">
                        <w:pPr>
                          <w:jc w:val="center"/>
                          <w:rPr>
                            <w:rFonts w:ascii="Times New Roman" w:hAnsi="Times New Roman" w:eastAsia="宋体" w:cs="Times New Roman"/>
                            <w:sz w:val="18"/>
                            <w:szCs w:val="18"/>
                            <w:lang w:eastAsia="zh-CN"/>
                          </w:rPr>
                        </w:pPr>
                        <w:r>
                          <w:rPr>
                            <w:rFonts w:ascii="Times New Roman" w:hAnsi="Times New Roman" w:eastAsia="宋体" w:cs="宋体"/>
                            <w:sz w:val="18"/>
                            <w:lang w:eastAsia="zh-CN"/>
                          </w:rPr>
                          <w:t>SaMD输出与临床状况之间的临床关联</w:t>
                        </w:r>
                      </w:p>
                      <w:p w14:paraId="6A9F6B43">
                        <w:pPr>
                          <w:jc w:val="center"/>
                          <w:rPr>
                            <w:rFonts w:ascii="Times New Roman" w:hAnsi="Times New Roman" w:eastAsia="宋体" w:cs="Times New Roman"/>
                            <w:sz w:val="18"/>
                            <w:szCs w:val="18"/>
                            <w:lang w:eastAsia="zh-CN"/>
                          </w:rPr>
                        </w:pPr>
                      </w:p>
                      <w:p w14:paraId="00E2D9F6">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文献检索、原始临床研究、专业协会指南、二次数据分析、临床试验</w:t>
                        </w:r>
                      </w:p>
                    </w:txbxContent>
                  </v:textbox>
                </v:shape>
                <v:shape id="_x0000_s1026" o:spid="_x0000_s1026" o:spt="202" type="#_x0000_t202" style="position:absolute;left:3218330;top:295836;height:298173;width:1689100;v-text-anchor:middle;" fillcolor="#D9D9D9" filled="t" stroked="f" coordsize="21600,21600" o:gfxdata="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JHN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6AE880C0">
                        <w:pPr>
                          <w:jc w:val="center"/>
                          <w:rPr>
                            <w:rFonts w:ascii="Times New Roman" w:hAnsi="Times New Roman" w:eastAsia="宋体" w:cs="Times New Roman"/>
                            <w:b/>
                            <w:sz w:val="18"/>
                            <w:szCs w:val="18"/>
                          </w:rPr>
                        </w:pPr>
                        <w:r>
                          <w:rPr>
                            <w:rFonts w:ascii="Times New Roman" w:hAnsi="Times New Roman" w:eastAsia="宋体" w:cs="宋体"/>
                            <w:b/>
                            <w:sz w:val="18"/>
                          </w:rPr>
                          <w:t>产品性能</w:t>
                        </w:r>
                      </w:p>
                      <w:p w14:paraId="74A044A3">
                        <w:pPr>
                          <w:jc w:val="center"/>
                          <w:rPr>
                            <w:rFonts w:ascii="Times New Roman" w:hAnsi="Times New Roman" w:eastAsia="宋体" w:cs="Times New Roman"/>
                            <w:i/>
                            <w:sz w:val="18"/>
                            <w:szCs w:val="18"/>
                          </w:rPr>
                        </w:pPr>
                        <w:r>
                          <w:rPr>
                            <w:rFonts w:ascii="Times New Roman" w:hAnsi="Times New Roman" w:eastAsia="宋体" w:cs="宋体"/>
                            <w:i/>
                            <w:sz w:val="18"/>
                          </w:rPr>
                          <w:t>验证和确认</w:t>
                        </w:r>
                      </w:p>
                    </w:txbxContent>
                  </v:textbox>
                </v:shape>
                <v:shape id="_x0000_s1026" o:spid="_x0000_s1026" o:spt="202" type="#_x0000_t202" style="position:absolute;left:2967318;top:645459;height:784860;width:1003300;v-text-anchor:middle;" fillcolor="#D9D9D9" filled="t" stroked="f" coordsize="21600,21600" o:gfxdata="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730K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268DD061">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分析/技术确认</w:t>
                        </w:r>
                      </w:p>
                      <w:p w14:paraId="297FD2A3">
                        <w:pPr>
                          <w:jc w:val="center"/>
                          <w:rPr>
                            <w:rFonts w:ascii="Times New Roman" w:hAnsi="Times New Roman" w:eastAsia="宋体" w:cs="Times New Roman"/>
                            <w:b/>
                            <w:sz w:val="18"/>
                            <w:szCs w:val="18"/>
                            <w:lang w:eastAsia="zh-CN"/>
                          </w:rPr>
                        </w:pPr>
                      </w:p>
                      <w:p w14:paraId="27C06FF0">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准确度、可靠性、精确度......</w:t>
                        </w:r>
                      </w:p>
                    </w:txbxContent>
                  </v:textbox>
                </v:shape>
                <v:shape id="_x0000_s1026" o:spid="_x0000_s1026" o:spt="202" type="#_x0000_t202" style="position:absolute;left:4069977;top:654424;height:784860;width:1003300;v-text-anchor:middle;" fillcolor="#D9D9D9" filled="t" stroked="f" coordsize="21600,21600" o:gfxdata="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3etm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0FCF331">
                        <w:pPr>
                          <w:jc w:val="center"/>
                          <w:rPr>
                            <w:rFonts w:ascii="Times New Roman" w:hAnsi="Times New Roman" w:eastAsia="宋体" w:cs="Times New Roman"/>
                            <w:b/>
                            <w:sz w:val="18"/>
                            <w:szCs w:val="18"/>
                            <w:lang w:eastAsia="zh-CN"/>
                          </w:rPr>
                        </w:pPr>
                        <w:r>
                          <w:rPr>
                            <w:rFonts w:ascii="Times New Roman" w:hAnsi="Times New Roman" w:eastAsia="宋体" w:cs="宋体"/>
                            <w:b/>
                            <w:sz w:val="18"/>
                            <w:lang w:eastAsia="zh-CN"/>
                          </w:rPr>
                          <w:t>临床确认</w:t>
                        </w:r>
                      </w:p>
                      <w:p w14:paraId="130A8741">
                        <w:pPr>
                          <w:jc w:val="center"/>
                          <w:rPr>
                            <w:rFonts w:ascii="Times New Roman" w:hAnsi="Times New Roman" w:eastAsia="宋体" w:cs="Times New Roman"/>
                            <w:i/>
                            <w:sz w:val="18"/>
                            <w:szCs w:val="18"/>
                            <w:lang w:eastAsia="zh-CN"/>
                          </w:rPr>
                        </w:pPr>
                      </w:p>
                      <w:p w14:paraId="15F38409">
                        <w:pPr>
                          <w:jc w:val="center"/>
                          <w:rPr>
                            <w:rFonts w:ascii="Times New Roman" w:hAnsi="Times New Roman" w:eastAsia="宋体" w:cs="Times New Roman"/>
                            <w:i/>
                            <w:sz w:val="18"/>
                            <w:szCs w:val="18"/>
                            <w:lang w:eastAsia="zh-CN"/>
                          </w:rPr>
                        </w:pPr>
                        <w:r>
                          <w:rPr>
                            <w:rFonts w:ascii="Times New Roman" w:hAnsi="Times New Roman" w:eastAsia="宋体" w:cs="宋体"/>
                            <w:i/>
                            <w:sz w:val="18"/>
                            <w:lang w:eastAsia="zh-CN"/>
                          </w:rPr>
                          <w:t>灵敏度、特异性、比值比......</w:t>
                        </w:r>
                      </w:p>
                    </w:txbxContent>
                  </v:textbox>
                </v:shape>
                <v:shape id="_x0000_s1026" o:spid="_x0000_s1026" o:spt="202" type="#_x0000_t202" style="position:absolute;left:4007224;top:1766047;height:108000;width:765313;v-text-anchor:middle;" fillcolor="#B7DEE8" filled="t" stroked="f" coordsize="21600,21600" o:gfxdata="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iyMG22AAAA3A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05EECE59">
                        <w:pPr>
                          <w:jc w:val="center"/>
                          <w:rPr>
                            <w:rFonts w:ascii="Times New Roman" w:hAnsi="Times New Roman" w:eastAsia="宋体" w:cs="Times New Roman"/>
                            <w:i/>
                            <w:sz w:val="15"/>
                            <w:szCs w:val="15"/>
                          </w:rPr>
                        </w:pPr>
                        <w:r>
                          <w:rPr>
                            <w:rFonts w:ascii="Times New Roman" w:hAnsi="Times New Roman" w:eastAsia="宋体" w:cs="宋体"/>
                            <w:i/>
                            <w:sz w:val="14"/>
                          </w:rPr>
                          <w:t>验证和确认</w:t>
                        </w:r>
                      </w:p>
                    </w:txbxContent>
                  </v:textbox>
                </v:shape>
                <v:shape id="_x0000_s1026" o:spid="_x0000_s1026" o:spt="202" type="#_x0000_t202" style="position:absolute;left:2635624;top:1775009;height:136026;width:1328252;v-text-anchor:middle;" fillcolor="#B7DEE8" filled="t" stroked="f" coordsize="21600,21600" o:gfxdata="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a6aw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78030B96">
                        <w:pPr>
                          <w:jc w:val="center"/>
                          <w:rPr>
                            <w:rFonts w:ascii="Times New Roman" w:hAnsi="Times New Roman" w:eastAsia="宋体" w:cs="Times New Roman"/>
                            <w:i/>
                            <w:sz w:val="15"/>
                            <w:szCs w:val="15"/>
                          </w:rPr>
                        </w:pPr>
                        <w:r>
                          <w:rPr>
                            <w:rFonts w:ascii="Times New Roman" w:hAnsi="Times New Roman" w:eastAsia="宋体" w:cs="宋体"/>
                            <w:i/>
                            <w:sz w:val="14"/>
                          </w:rPr>
                          <w:t>要求、设计、开发、</w:t>
                        </w:r>
                      </w:p>
                    </w:txbxContent>
                  </v:textbox>
                </v:shape>
                <v:shape id="_x0000_s1026" o:spid="_x0000_s1026" o:spt="202" type="#_x0000_t202" style="position:absolute;left:3164542;top:1900517;height:135890;width:1327785;v-text-anchor:middle;" fillcolor="#B7DEE8" filled="t" stroked="f" coordsize="21600,21600" o:gfxdata="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InAyu5AAAA3A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67F766DD">
                        <w:pPr>
                          <w:rPr>
                            <w:rFonts w:ascii="Times New Roman" w:hAnsi="Times New Roman" w:eastAsia="宋体" w:cs="Times New Roman"/>
                            <w:i/>
                            <w:sz w:val="15"/>
                            <w:szCs w:val="15"/>
                          </w:rPr>
                        </w:pPr>
                        <w:r>
                          <w:rPr>
                            <w:rFonts w:ascii="Times New Roman" w:hAnsi="Times New Roman" w:eastAsia="宋体" w:cs="宋体"/>
                            <w:i/>
                            <w:sz w:val="14"/>
                          </w:rPr>
                          <w:t>部署、维护、弃用</w:t>
                        </w:r>
                      </w:p>
                    </w:txbxContent>
                  </v:textbox>
                </v:shape>
                <v:shape id="_x0000_s1026" o:spid="_x0000_s1026" o:spt="202" type="#_x0000_t202" style="position:absolute;left:2716305;top:2016496;height:108000;width:2019641;v-text-anchor:middle;" fillcolor="#B7DEE8" filled="t" stroked="f" coordsize="21600,21600" o:gfxdata="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iXWb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30555D76">
                        <w:pPr>
                          <w:jc w:val="center"/>
                          <w:rPr>
                            <w:rFonts w:ascii="Times New Roman" w:hAnsi="Times New Roman" w:eastAsia="宋体" w:cs="Times New Roman"/>
                            <w:b/>
                            <w:sz w:val="15"/>
                            <w:szCs w:val="15"/>
                            <w:lang w:eastAsia="zh-CN"/>
                          </w:rPr>
                        </w:pPr>
                        <w:r>
                          <w:rPr>
                            <w:rFonts w:ascii="Times New Roman" w:hAnsi="Times New Roman" w:eastAsia="宋体" w:cs="宋体"/>
                            <w:b/>
                            <w:sz w:val="14"/>
                            <w:lang w:eastAsia="zh-CN"/>
                          </w:rPr>
                          <w:t>SaMD实现和使用过程</w:t>
                        </w:r>
                      </w:p>
                    </w:txbxContent>
                  </v:textbox>
                </v:shape>
                <v:shape id="_x0000_s1026" o:spid="_x0000_s1026" o:spt="202" type="#_x0000_t202" style="position:absolute;left:2644589;top:2186265;height:362738;width:2109984;v-text-anchor:middle;" fillcolor="#C4BD97" filled="t" stroked="f" coordsize="21600,21600" o:gfxdata="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BStf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5635DFEC">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计划、</w:t>
                        </w:r>
                        <w:r>
                          <w:rPr>
                            <w:rFonts w:ascii="Times New Roman" w:hAnsi="Times New Roman" w:eastAsia="宋体" w:cs="宋体"/>
                            <w:b/>
                            <w:i/>
                            <w:sz w:val="14"/>
                            <w:lang w:eastAsia="zh-CN"/>
                          </w:rPr>
                          <w:t>风险管理</w:t>
                        </w:r>
                        <w:r>
                          <w:rPr>
                            <w:rFonts w:ascii="Times New Roman" w:hAnsi="Times New Roman" w:eastAsia="宋体" w:cs="宋体"/>
                            <w:i/>
                            <w:sz w:val="14"/>
                            <w:lang w:eastAsia="zh-CN"/>
                          </w:rPr>
                          <w:t>、文档、配置、测量、外包</w:t>
                        </w:r>
                      </w:p>
                      <w:p w14:paraId="6BDC334E">
                        <w:pPr>
                          <w:jc w:val="center"/>
                          <w:rPr>
                            <w:rFonts w:ascii="Times New Roman" w:hAnsi="Times New Roman" w:eastAsia="宋体" w:cs="Times New Roman"/>
                            <w:b/>
                            <w:sz w:val="15"/>
                            <w:szCs w:val="15"/>
                          </w:rPr>
                        </w:pPr>
                        <w:r>
                          <w:rPr>
                            <w:rFonts w:ascii="Times New Roman" w:hAnsi="Times New Roman" w:eastAsia="宋体" w:cs="宋体"/>
                            <w:b/>
                            <w:sz w:val="14"/>
                          </w:rPr>
                          <w:t>SaMD生命周期支持过程</w:t>
                        </w:r>
                      </w:p>
                    </w:txbxContent>
                  </v:textbox>
                </v:shape>
                <v:shape id="_x0000_s1026" o:spid="_x0000_s1026" o:spt="202" type="#_x0000_t202" style="position:absolute;left:2554942;top:2598081;height:362585;width:2297336;v-text-anchor:middle;" fillcolor="#FCD5B5" filled="t" stroked="f" coordsize="21600,21600" o:gfxdata="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fiJr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66FBF1F8">
                        <w:pPr>
                          <w:jc w:val="center"/>
                          <w:rPr>
                            <w:rFonts w:ascii="Times New Roman" w:hAnsi="Times New Roman" w:eastAsia="宋体" w:cs="Times New Roman"/>
                            <w:i/>
                            <w:sz w:val="15"/>
                            <w:szCs w:val="15"/>
                            <w:lang w:eastAsia="zh-CN"/>
                          </w:rPr>
                        </w:pPr>
                        <w:r>
                          <w:rPr>
                            <w:rFonts w:ascii="Times New Roman" w:hAnsi="Times New Roman" w:eastAsia="宋体" w:cs="宋体"/>
                            <w:i/>
                            <w:sz w:val="14"/>
                            <w:lang w:eastAsia="zh-CN"/>
                          </w:rPr>
                          <w:t>人员、基础设施、工作环境</w:t>
                        </w:r>
                      </w:p>
                      <w:p w14:paraId="6A7EB4BF">
                        <w:pPr>
                          <w:jc w:val="center"/>
                          <w:rPr>
                            <w:rFonts w:ascii="Times New Roman" w:hAnsi="Times New Roman" w:eastAsia="宋体" w:cs="Times New Roman"/>
                            <w:b/>
                            <w:sz w:val="15"/>
                            <w:szCs w:val="15"/>
                          </w:rPr>
                        </w:pPr>
                        <w:r>
                          <w:rPr>
                            <w:rFonts w:ascii="Times New Roman" w:hAnsi="Times New Roman" w:eastAsia="宋体" w:cs="宋体"/>
                            <w:b/>
                            <w:sz w:val="14"/>
                          </w:rPr>
                          <w:t>领导力和组织支持</w:t>
                        </w:r>
                      </w:p>
                    </w:txbxContent>
                  </v:textbox>
                </v:shape>
                <v:shape id="_x0000_s1026" o:spid="_x0000_s1026" o:spt="202" type="#_x0000_t202" style="position:absolute;left:2554942;top:3046316;height:219007;width:2346562;v-text-anchor:middle;" fillcolor="#D9D9D9" filled="t" stroked="f" coordsize="21600,21600" o:gfxdata="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TmXq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18FF8344">
                        <w:pPr>
                          <w:jc w:val="center"/>
                          <w:rPr>
                            <w:rFonts w:ascii="Times New Roman" w:hAnsi="Times New Roman" w:eastAsia="宋体" w:cs="Times New Roman"/>
                            <w:i/>
                            <w:sz w:val="18"/>
                            <w:szCs w:val="18"/>
                          </w:rPr>
                        </w:pPr>
                        <w:r>
                          <w:rPr>
                            <w:rFonts w:ascii="Times New Roman" w:hAnsi="Times New Roman" w:eastAsia="宋体" w:cs="宋体"/>
                            <w:b/>
                            <w:sz w:val="18"/>
                          </w:rPr>
                          <w:t>SaMD N23质量管理体系</w:t>
                        </w:r>
                      </w:p>
                    </w:txbxContent>
                  </v:textbox>
                </v:shape>
              </v:group>
            </w:pict>
          </mc:Fallback>
        </mc:AlternateContent>
      </w:r>
      <w:r>
        <w:rPr>
          <w:rFonts w:ascii="宋体" w:hAnsi="宋体" w:eastAsia="宋体" w:cs="宋体"/>
          <w:lang w:eastAsia="zh-CN" w:bidi="ar-SA"/>
        </w:rPr>
        <w:drawing>
          <wp:anchor distT="0" distB="0" distL="114300" distR="114300" simplePos="0" relativeHeight="251662336" behindDoc="0" locked="0" layoutInCell="1" allowOverlap="1">
            <wp:simplePos x="0" y="0"/>
            <wp:positionH relativeFrom="column">
              <wp:posOffset>1501775</wp:posOffset>
            </wp:positionH>
            <wp:positionV relativeFrom="paragraph">
              <wp:posOffset>396875</wp:posOffset>
            </wp:positionV>
            <wp:extent cx="4464050" cy="3394075"/>
            <wp:effectExtent l="0" t="0" r="0" b="0"/>
            <wp:wrapSquare wrapText="bothSides"/>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464050" cy="3394075"/>
                    </a:xfrm>
                    <a:prstGeom prst="rect">
                      <a:avLst/>
                    </a:prstGeom>
                  </pic:spPr>
                </pic:pic>
              </a:graphicData>
            </a:graphic>
          </wp:anchor>
        </w:drawing>
      </w:r>
      <w:r>
        <w:rPr>
          <w:rFonts w:ascii="Times New Roman" w:hAnsi="Times New Roman" w:eastAsia="宋体" w:cs="宋体"/>
          <w:lang w:eastAsia="zh-CN"/>
        </w:rPr>
        <w:t>产品生命周期活动（包括图11所示的临床评价活动）应遵循适当的计划过程，作为组织生命周期活动和过程的一部分，如</w:t>
      </w:r>
      <w:r>
        <w:rPr>
          <w:rFonts w:ascii="Times New Roman" w:hAnsi="Times New Roman" w:eastAsia="宋体" w:cs="宋体"/>
          <w:i/>
          <w:color w:val="0000FF"/>
          <w:u w:val="single"/>
          <w:lang w:eastAsia="zh-CN"/>
        </w:rPr>
        <w:t>SaMD N23</w:t>
      </w:r>
      <w:r>
        <w:rPr>
          <w:rFonts w:ascii="Times New Roman" w:hAnsi="Times New Roman" w:eastAsia="宋体" w:cs="宋体"/>
          <w:i/>
          <w:vertAlign w:val="superscript"/>
          <w:lang w:eastAsia="zh-CN"/>
        </w:rPr>
        <w:t>[3]</w:t>
      </w:r>
      <w:r>
        <w:rPr>
          <w:rFonts w:ascii="Times New Roman" w:hAnsi="Times New Roman" w:eastAsia="宋体" w:cs="宋体"/>
          <w:lang w:eastAsia="zh-CN"/>
        </w:rPr>
        <w:t>中所述。</w:t>
      </w:r>
    </w:p>
    <w:p w14:paraId="6BBAD06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在进行临床评价时还应考虑作为SaMD的生命周期活动和过程的组成部分进行的风险评定。</w:t>
      </w:r>
    </w:p>
    <w:p w14:paraId="78DA92A0">
      <w:pPr>
        <w:pStyle w:val="32"/>
        <w:adjustRightInd w:val="0"/>
        <w:snapToGrid w:val="0"/>
        <w:spacing w:before="120" w:beforeLines="50" w:line="300" w:lineRule="auto"/>
        <w:jc w:val="both"/>
        <w:rPr>
          <w:rFonts w:eastAsia="宋体"/>
          <w:snapToGrid w:val="0"/>
          <w:sz w:val="24"/>
          <w:szCs w:val="24"/>
          <w:lang w:eastAsia="zh-CN"/>
        </w:rPr>
      </w:pPr>
    </w:p>
    <w:p w14:paraId="74380AC5">
      <w:pPr>
        <w:pStyle w:val="32"/>
        <w:adjustRightInd w:val="0"/>
        <w:snapToGrid w:val="0"/>
        <w:spacing w:before="120" w:beforeLines="50" w:line="300" w:lineRule="auto"/>
        <w:ind w:left="2551" w:leftChars="1063"/>
        <w:jc w:val="center"/>
        <w:rPr>
          <w:rFonts w:eastAsia="宋体"/>
          <w:snapToGrid w:val="0"/>
          <w:sz w:val="24"/>
          <w:szCs w:val="24"/>
          <w:lang w:eastAsia="zh-CN"/>
        </w:rPr>
      </w:pPr>
      <w:r>
        <w:rPr>
          <w:rFonts w:eastAsia="宋体" w:cs="宋体"/>
          <w:sz w:val="24"/>
          <w:lang w:eastAsia="zh-CN"/>
        </w:rPr>
        <w:t>图11 - SaMD临床评价版块</w:t>
      </w:r>
    </w:p>
    <w:p w14:paraId="25021124">
      <w:pPr>
        <w:pStyle w:val="32"/>
        <w:adjustRightInd w:val="0"/>
        <w:snapToGrid w:val="0"/>
        <w:spacing w:before="120" w:beforeLines="50" w:line="300" w:lineRule="auto"/>
        <w:jc w:val="both"/>
        <w:rPr>
          <w:rFonts w:eastAsia="宋体"/>
          <w:snapToGrid w:val="0"/>
          <w:sz w:val="24"/>
          <w:szCs w:val="24"/>
          <w:lang w:eastAsia="zh-CN"/>
        </w:rPr>
      </w:pPr>
    </w:p>
    <w:tbl>
      <w:tblPr>
        <w:tblStyle w:val="11"/>
        <w:tblW w:w="5000" w:type="pct"/>
        <w:tblInd w:w="0" w:type="dxa"/>
        <w:tblLayout w:type="autofit"/>
        <w:tblCellMar>
          <w:top w:w="0" w:type="dxa"/>
          <w:left w:w="108" w:type="dxa"/>
          <w:bottom w:w="0" w:type="dxa"/>
          <w:right w:w="108" w:type="dxa"/>
        </w:tblCellMar>
      </w:tblPr>
      <w:tblGrid>
        <w:gridCol w:w="905"/>
        <w:gridCol w:w="8382"/>
      </w:tblGrid>
      <w:tr w14:paraId="6B79FCF1">
        <w:tblPrEx>
          <w:tblCellMar>
            <w:top w:w="0" w:type="dxa"/>
            <w:left w:w="108" w:type="dxa"/>
            <w:bottom w:w="0" w:type="dxa"/>
            <w:right w:w="108" w:type="dxa"/>
          </w:tblCellMar>
        </w:tblPrEx>
        <w:tc>
          <w:tcPr>
            <w:tcW w:w="487" w:type="pct"/>
            <w:tcBorders>
              <w:top w:val="single" w:color="auto" w:sz="4" w:space="0"/>
              <w:left w:val="single" w:color="auto" w:sz="4" w:space="0"/>
              <w:bottom w:val="single" w:color="auto" w:sz="4" w:space="0"/>
            </w:tcBorders>
            <w:shd w:val="clear" w:color="auto" w:fill="FFFFFF"/>
            <w:vAlign w:val="center"/>
          </w:tcPr>
          <w:p w14:paraId="5B58695E">
            <w:pPr>
              <w:pStyle w:val="17"/>
              <w:adjustRightInd w:val="0"/>
              <w:snapToGrid w:val="0"/>
              <w:spacing w:before="36" w:beforeLines="15" w:after="0" w:line="276" w:lineRule="auto"/>
              <w:jc w:val="both"/>
              <w:rPr>
                <w:b/>
                <w:snapToGrid w:val="0"/>
                <w:sz w:val="21"/>
                <w:szCs w:val="21"/>
              </w:rPr>
            </w:pPr>
            <w:r>
              <w:rPr>
                <w:rFonts w:ascii="宋体" w:hAnsi="宋体" w:eastAsia="宋体" w:cs="宋体"/>
                <w:sz w:val="21"/>
                <w:szCs w:val="21"/>
                <w:lang w:eastAsia="zh-CN" w:bidi="ar-SA"/>
              </w:rPr>
              <w:drawing>
                <wp:inline distT="0" distB="0" distL="0" distR="0">
                  <wp:extent cx="342265" cy="361315"/>
                  <wp:effectExtent l="0" t="0" r="635" b="63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3"/>
                          <a:stretch>
                            <a:fillRect/>
                          </a:stretch>
                        </pic:blipFill>
                        <pic:spPr>
                          <a:xfrm>
                            <a:off x="0" y="0"/>
                            <a:ext cx="342857" cy="361905"/>
                          </a:xfrm>
                          <a:prstGeom prst="rect">
                            <a:avLst/>
                          </a:prstGeom>
                        </pic:spPr>
                      </pic:pic>
                    </a:graphicData>
                  </a:graphic>
                </wp:inline>
              </w:drawing>
            </w:r>
          </w:p>
        </w:tc>
        <w:tc>
          <w:tcPr>
            <w:tcW w:w="4513" w:type="pct"/>
            <w:tcBorders>
              <w:top w:val="single" w:color="auto" w:sz="4" w:space="0"/>
              <w:bottom w:val="single" w:color="auto" w:sz="4" w:space="0"/>
              <w:right w:val="single" w:color="auto" w:sz="4" w:space="0"/>
            </w:tcBorders>
            <w:shd w:val="clear" w:color="auto" w:fill="FFFFFF"/>
          </w:tcPr>
          <w:p w14:paraId="69CF2C70">
            <w:pPr>
              <w:pStyle w:val="17"/>
              <w:adjustRightInd w:val="0"/>
              <w:snapToGrid w:val="0"/>
              <w:spacing w:before="36" w:beforeLines="15" w:after="0" w:line="276" w:lineRule="auto"/>
              <w:jc w:val="both"/>
              <w:rPr>
                <w:rFonts w:eastAsia="宋体"/>
                <w:snapToGrid w:val="0"/>
                <w:color w:val="0000FF"/>
                <w:sz w:val="21"/>
                <w:szCs w:val="21"/>
                <w:u w:val="single"/>
                <w:lang w:eastAsia="zh-CN"/>
              </w:rPr>
            </w:pPr>
            <w:r>
              <w:rPr>
                <w:rFonts w:eastAsia="宋体" w:cs="宋体"/>
                <w:b/>
                <w:i/>
                <w:sz w:val="21"/>
                <w:szCs w:val="21"/>
                <w:lang w:eastAsia="zh-CN"/>
              </w:rPr>
              <w:t>上市前信息</w:t>
            </w:r>
            <w:r>
              <w:rPr>
                <w:rFonts w:eastAsia="宋体" w:cs="宋体"/>
                <w:i/>
                <w:sz w:val="21"/>
                <w:szCs w:val="21"/>
                <w:lang w:eastAsia="zh-CN"/>
              </w:rPr>
              <w:t>参见</w:t>
            </w:r>
            <w:r>
              <w:fldChar w:fldCharType="begin"/>
            </w:r>
            <w:r>
              <w:instrText xml:space="preserve"> HYPERLINK "http://www.imdrf.org/documents/doc-ghtf-sg1.asp" </w:instrText>
            </w:r>
            <w:r>
              <w:fldChar w:fldCharType="separate"/>
            </w:r>
            <w:r>
              <w:rPr>
                <w:rFonts w:eastAsia="宋体" w:cs="宋体"/>
                <w:i/>
                <w:iCs/>
                <w:snapToGrid w:val="0"/>
                <w:color w:val="0000FF"/>
                <w:sz w:val="21"/>
                <w:szCs w:val="21"/>
                <w:u w:val="single"/>
                <w:lang w:eastAsia="zh-CN"/>
              </w:rPr>
              <w:t>GHTF研究组1文件</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[4]</w:t>
            </w:r>
          </w:p>
          <w:p w14:paraId="4BE8B71A">
            <w:pPr>
              <w:pStyle w:val="17"/>
              <w:adjustRightInd w:val="0"/>
              <w:snapToGrid w:val="0"/>
              <w:spacing w:before="36" w:beforeLines="15" w:after="0" w:line="276" w:lineRule="auto"/>
              <w:jc w:val="both"/>
              <w:rPr>
                <w:rFonts w:eastAsia="宋体"/>
                <w:snapToGrid w:val="0"/>
                <w:color w:val="0000FF"/>
                <w:sz w:val="21"/>
                <w:szCs w:val="21"/>
                <w:u w:val="single"/>
                <w:lang w:eastAsia="zh-CN"/>
              </w:rPr>
            </w:pPr>
            <w:r>
              <w:rPr>
                <w:rFonts w:eastAsia="宋体" w:cs="宋体"/>
                <w:b/>
                <w:i/>
                <w:sz w:val="21"/>
                <w:szCs w:val="21"/>
                <w:lang w:eastAsia="zh-CN"/>
              </w:rPr>
              <w:t>上市后信息</w:t>
            </w:r>
            <w:r>
              <w:rPr>
                <w:rFonts w:eastAsia="宋体" w:cs="宋体"/>
                <w:i/>
                <w:sz w:val="21"/>
                <w:szCs w:val="21"/>
                <w:lang w:eastAsia="zh-CN"/>
              </w:rPr>
              <w:t>参见</w:t>
            </w:r>
            <w:r>
              <w:fldChar w:fldCharType="begin"/>
            </w:r>
            <w:r>
              <w:instrText xml:space="preserve"> HYPERLINK "http://www.imdrf.org/documents/doc-ghtf-sg2.asp" </w:instrText>
            </w:r>
            <w:r>
              <w:fldChar w:fldCharType="separate"/>
            </w:r>
            <w:r>
              <w:rPr>
                <w:rFonts w:eastAsia="宋体" w:cs="宋体"/>
                <w:i/>
                <w:iCs/>
                <w:snapToGrid w:val="0"/>
                <w:color w:val="0000FF"/>
                <w:sz w:val="21"/>
                <w:szCs w:val="21"/>
                <w:u w:val="single"/>
                <w:lang w:eastAsia="zh-CN"/>
              </w:rPr>
              <w:t>GHTF研究组2文件</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[5]</w:t>
            </w:r>
          </w:p>
          <w:p w14:paraId="39C5484C">
            <w:pPr>
              <w:pStyle w:val="17"/>
              <w:adjustRightInd w:val="0"/>
              <w:snapToGrid w:val="0"/>
              <w:spacing w:before="36" w:beforeLines="15" w:after="0" w:line="276" w:lineRule="auto"/>
              <w:jc w:val="both"/>
              <w:rPr>
                <w:rFonts w:eastAsia="宋体"/>
                <w:snapToGrid w:val="0"/>
                <w:sz w:val="21"/>
                <w:szCs w:val="21"/>
                <w:lang w:eastAsia="zh-CN"/>
              </w:rPr>
            </w:pPr>
            <w:r>
              <w:rPr>
                <w:rFonts w:eastAsia="宋体" w:cs="宋体"/>
                <w:b/>
                <w:i/>
                <w:sz w:val="21"/>
                <w:szCs w:val="21"/>
                <w:lang w:eastAsia="zh-CN"/>
              </w:rPr>
              <w:t>SaMD风险管理考虑因素</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[3]</w:t>
            </w:r>
            <w:r>
              <w:rPr>
                <w:rFonts w:eastAsia="宋体" w:cs="宋体"/>
                <w:i/>
                <w:sz w:val="21"/>
                <w:szCs w:val="21"/>
                <w:lang w:eastAsia="zh-CN"/>
              </w:rPr>
              <w:t>第7.2节</w:t>
            </w:r>
          </w:p>
          <w:p w14:paraId="60735C01">
            <w:pPr>
              <w:pStyle w:val="17"/>
              <w:adjustRightInd w:val="0"/>
              <w:snapToGrid w:val="0"/>
              <w:spacing w:before="36" w:beforeLines="15" w:after="0" w:line="276" w:lineRule="auto"/>
              <w:jc w:val="both"/>
              <w:rPr>
                <w:rFonts w:eastAsia="宋体"/>
                <w:snapToGrid w:val="0"/>
                <w:sz w:val="21"/>
                <w:szCs w:val="21"/>
                <w:lang w:eastAsia="zh-CN"/>
              </w:rPr>
            </w:pPr>
            <w:r>
              <w:rPr>
                <w:rFonts w:eastAsia="宋体" w:cs="宋体"/>
                <w:b/>
                <w:i/>
                <w:sz w:val="21"/>
                <w:szCs w:val="21"/>
                <w:lang w:eastAsia="zh-CN"/>
              </w:rPr>
              <w:t>SaMD用户需求预期用途</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[3]</w:t>
            </w:r>
            <w:r>
              <w:rPr>
                <w:rFonts w:eastAsia="宋体" w:cs="宋体"/>
                <w:i/>
                <w:sz w:val="21"/>
                <w:szCs w:val="21"/>
                <w:lang w:eastAsia="zh-CN"/>
              </w:rPr>
              <w:t>第8.3节</w:t>
            </w:r>
          </w:p>
          <w:p w14:paraId="449D8EBF">
            <w:pPr>
              <w:pStyle w:val="17"/>
              <w:adjustRightInd w:val="0"/>
              <w:snapToGrid w:val="0"/>
              <w:spacing w:before="36" w:beforeLines="15" w:after="0" w:line="276" w:lineRule="auto"/>
              <w:jc w:val="both"/>
              <w:rPr>
                <w:snapToGrid w:val="0"/>
                <w:sz w:val="21"/>
                <w:szCs w:val="21"/>
                <w:lang w:eastAsia="zh-CN"/>
              </w:rPr>
            </w:pPr>
            <w:r>
              <w:rPr>
                <w:rFonts w:eastAsia="宋体" w:cs="宋体"/>
                <w:b/>
                <w:i/>
                <w:sz w:val="21"/>
                <w:szCs w:val="21"/>
                <w:lang w:eastAsia="zh-CN"/>
              </w:rPr>
              <w:t>SaMD临床证据</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[3]</w:t>
            </w:r>
            <w:r>
              <w:rPr>
                <w:rFonts w:eastAsia="宋体" w:cs="宋体"/>
                <w:i/>
                <w:sz w:val="21"/>
                <w:szCs w:val="21"/>
                <w:lang w:eastAsia="zh-CN"/>
              </w:rPr>
              <w:t>第8.4节</w:t>
            </w:r>
          </w:p>
        </w:tc>
      </w:tr>
    </w:tbl>
    <w:p w14:paraId="41E9954C">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911663E">
      <w:pPr>
        <w:pStyle w:val="36"/>
        <w:rPr>
          <w:rFonts w:eastAsia="宋体"/>
          <w:lang w:eastAsia="zh-CN"/>
        </w:rPr>
      </w:pPr>
      <w:bookmarkStart w:id="14" w:name="_Toc92183893"/>
      <w:r>
        <w:rPr>
          <w:rFonts w:eastAsia="宋体" w:cs="宋体"/>
          <w:lang w:eastAsia="zh-CN"/>
        </w:rPr>
        <w:t>7.0 SaMD临床评价过程流程图</w:t>
      </w:r>
      <w:bookmarkEnd w:id="14"/>
    </w:p>
    <w:p w14:paraId="6B8C25FF">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临床评价是一个不断生成、收集、分析和评估与SaMD相关临床数据</w:t>
      </w:r>
      <w:r>
        <w:rPr>
          <w:rFonts w:ascii="Times New Roman" w:hAnsi="Times New Roman" w:eastAsia="宋体" w:cs="宋体"/>
          <w:vertAlign w:val="superscript"/>
          <w:lang w:eastAsia="zh-CN"/>
        </w:rPr>
        <w:t>6</w:t>
      </w:r>
      <w:r>
        <w:rPr>
          <w:rFonts w:ascii="Times New Roman" w:hAnsi="Times New Roman" w:eastAsia="宋体" w:cs="宋体"/>
          <w:lang w:eastAsia="zh-CN"/>
        </w:rPr>
        <w:t>的系统性、计划性过程，旨在生成临床证据，以验证SaMD按制造商的预期用途使用时的临床关联和性能指标。临床评价的质量和广度取决于SaMD对目标临床状况的作用，可确保SaMD的输出在临床上有效，并且能够以可靠且可预测的方式使用。</w:t>
      </w:r>
    </w:p>
    <w:p w14:paraId="7A9AA0C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本节使用简单步骤帮助SaMD制造商采用生成证据的方法对SaMD进行临床评价，并提供了可用于帮助SaMD制造商生成适当证据的技术、定义和来源的链接。</w:t>
      </w:r>
    </w:p>
    <w:p w14:paraId="1917810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注：</w:t>
      </w:r>
      <w:r>
        <w:rPr>
          <w:rFonts w:ascii="Times New Roman" w:hAnsi="Times New Roman" w:eastAsia="宋体" w:cs="宋体"/>
          <w:lang w:eastAsia="zh-CN"/>
        </w:rPr>
        <w:t>所使用的示例并不全面。所有数据源和统计方法应根据特定SaMD及其预期用途进行调整。</w:t>
      </w:r>
    </w:p>
    <w:tbl>
      <w:tblPr>
        <w:tblStyle w:val="11"/>
        <w:tblW w:w="0" w:type="auto"/>
        <w:tblInd w:w="0" w:type="dxa"/>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Layout w:type="fixed"/>
        <w:tblCellMar>
          <w:top w:w="0" w:type="dxa"/>
          <w:left w:w="108" w:type="dxa"/>
          <w:bottom w:w="0" w:type="dxa"/>
          <w:right w:w="108" w:type="dxa"/>
        </w:tblCellMar>
      </w:tblPr>
      <w:tblGrid>
        <w:gridCol w:w="3053"/>
        <w:gridCol w:w="3096"/>
        <w:gridCol w:w="3408"/>
      </w:tblGrid>
      <w:tr w14:paraId="30CB5180">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9557" w:type="dxa"/>
            <w:gridSpan w:val="3"/>
            <w:shd w:val="clear" w:color="auto" w:fill="7F7F7F"/>
            <w:vAlign w:val="center"/>
          </w:tcPr>
          <w:p w14:paraId="35BD0DE8">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ascii="Times New Roman" w:hAnsi="Times New Roman" w:eastAsia="宋体" w:cs="宋体"/>
                <w:color w:val="FFFFFF"/>
                <w:sz w:val="21"/>
              </w:rPr>
              <w:t>临床评价</w:t>
            </w:r>
          </w:p>
        </w:tc>
      </w:tr>
      <w:tr w14:paraId="30A4E656">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3053" w:type="dxa"/>
            <w:shd w:val="clear" w:color="auto" w:fill="1F497D"/>
            <w:vAlign w:val="center"/>
          </w:tcPr>
          <w:p w14:paraId="03027BA3">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hint="eastAsia" w:ascii="宋体" w:hAnsi="宋体" w:eastAsia="宋体" w:cs="宋体"/>
                <w:color w:val="FFFFFF"/>
                <w:sz w:val="21"/>
              </w:rPr>
              <w:t>①</w:t>
            </w:r>
            <w:r>
              <w:rPr>
                <w:rFonts w:ascii="Times New Roman" w:hAnsi="Times New Roman" w:eastAsia="宋体" w:cs="宋体"/>
                <w:color w:val="FFFFFF"/>
                <w:sz w:val="21"/>
              </w:rPr>
              <w:t>有效临床关联</w:t>
            </w:r>
          </w:p>
        </w:tc>
        <w:tc>
          <w:tcPr>
            <w:tcW w:w="3096" w:type="dxa"/>
            <w:shd w:val="clear" w:color="auto" w:fill="0070C0"/>
            <w:vAlign w:val="center"/>
          </w:tcPr>
          <w:p w14:paraId="114DD16B">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hint="eastAsia" w:ascii="宋体" w:hAnsi="宋体" w:eastAsia="宋体" w:cs="宋体"/>
                <w:color w:val="FFFFFF"/>
                <w:sz w:val="21"/>
              </w:rPr>
              <w:t>②</w:t>
            </w:r>
            <w:r>
              <w:rPr>
                <w:rFonts w:ascii="Times New Roman" w:hAnsi="Times New Roman" w:eastAsia="宋体" w:cs="宋体"/>
                <w:color w:val="FFFFFF"/>
                <w:sz w:val="21"/>
              </w:rPr>
              <w:t>分析确认</w:t>
            </w:r>
          </w:p>
        </w:tc>
        <w:tc>
          <w:tcPr>
            <w:tcW w:w="3408" w:type="dxa"/>
            <w:shd w:val="clear" w:color="auto" w:fill="7030A0"/>
            <w:vAlign w:val="center"/>
          </w:tcPr>
          <w:p w14:paraId="7167A7FF">
            <w:pPr>
              <w:adjustRightInd w:val="0"/>
              <w:snapToGrid w:val="0"/>
              <w:spacing w:before="36" w:beforeLines="15" w:line="276" w:lineRule="auto"/>
              <w:jc w:val="center"/>
              <w:rPr>
                <w:rFonts w:ascii="Times New Roman" w:hAnsi="Times New Roman" w:cs="Times New Roman"/>
                <w:color w:val="FFFFFF" w:themeColor="background1"/>
                <w:sz w:val="21"/>
                <w:szCs w:val="21"/>
                <w14:textFill>
                  <w14:solidFill>
                    <w14:schemeClr w14:val="bg1"/>
                  </w14:solidFill>
                </w14:textFill>
              </w:rPr>
            </w:pPr>
            <w:r>
              <w:rPr>
                <w:rFonts w:hint="eastAsia" w:ascii="宋体" w:hAnsi="宋体" w:eastAsia="宋体" w:cs="宋体"/>
                <w:color w:val="FFFFFF"/>
                <w:sz w:val="21"/>
              </w:rPr>
              <w:t>③</w:t>
            </w:r>
            <w:r>
              <w:rPr>
                <w:rFonts w:ascii="Times New Roman" w:hAnsi="Times New Roman" w:eastAsia="宋体" w:cs="宋体"/>
                <w:color w:val="FFFFFF"/>
                <w:sz w:val="21"/>
              </w:rPr>
              <w:t>临床确认</w:t>
            </w:r>
          </w:p>
        </w:tc>
      </w:tr>
      <w:tr w14:paraId="0D2CFA92">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c>
          <w:tcPr>
            <w:tcW w:w="3053" w:type="dxa"/>
            <w:shd w:val="clear" w:color="auto" w:fill="1F497D"/>
            <w:vAlign w:val="center"/>
          </w:tcPr>
          <w:p w14:paraId="41253F18">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SaMD输出与SaMD目标临床状况之间是否存在有效的临床关联？</w:t>
            </w:r>
          </w:p>
        </w:tc>
        <w:tc>
          <w:tcPr>
            <w:tcW w:w="3096" w:type="dxa"/>
            <w:shd w:val="clear" w:color="auto" w:fill="0070C0"/>
            <w:vAlign w:val="center"/>
          </w:tcPr>
          <w:p w14:paraId="4CF24AFE">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SaMD是否对输入数据进行了正确处理，从而生成准确、可靠且精确的输出数据？</w:t>
            </w:r>
          </w:p>
        </w:tc>
        <w:tc>
          <w:tcPr>
            <w:tcW w:w="3408" w:type="dxa"/>
            <w:shd w:val="clear" w:color="auto" w:fill="7030A0"/>
            <w:vAlign w:val="center"/>
          </w:tcPr>
          <w:p w14:paraId="0633D2DC">
            <w:pPr>
              <w:adjustRightInd w:val="0"/>
              <w:snapToGrid w:val="0"/>
              <w:spacing w:before="36" w:beforeLines="15" w:line="276" w:lineRule="auto"/>
              <w:jc w:val="center"/>
              <w:rPr>
                <w:rFonts w:ascii="Times New Roman" w:hAnsi="Times New Roman" w:cs="Times New Roman"/>
                <w:color w:val="FFFFFF" w:themeColor="background1"/>
                <w:sz w:val="21"/>
                <w:szCs w:val="21"/>
                <w:lang w:eastAsia="zh-CN"/>
                <w14:textFill>
                  <w14:solidFill>
                    <w14:schemeClr w14:val="bg1"/>
                  </w14:solidFill>
                </w14:textFill>
              </w:rPr>
            </w:pPr>
            <w:r>
              <w:rPr>
                <w:rFonts w:ascii="Times New Roman" w:hAnsi="Times New Roman" w:eastAsia="宋体" w:cs="宋体"/>
                <w:color w:val="FFFFFF"/>
                <w:sz w:val="21"/>
                <w:lang w:eastAsia="zh-CN"/>
              </w:rPr>
              <w:t>使用SaMD的准确、可靠且精确的输出数据是否在临床护理的目标人群中达到预期目的？</w:t>
            </w:r>
          </w:p>
        </w:tc>
      </w:tr>
    </w:tbl>
    <w:p w14:paraId="119572CE">
      <w:pPr>
        <w:pStyle w:val="27"/>
        <w:adjustRightInd w:val="0"/>
        <w:snapToGrid w:val="0"/>
        <w:spacing w:before="120" w:beforeLines="50" w:line="300" w:lineRule="auto"/>
        <w:jc w:val="center"/>
        <w:rPr>
          <w:rFonts w:eastAsia="宋体"/>
          <w:snapToGrid w:val="0"/>
          <w:sz w:val="24"/>
          <w:szCs w:val="24"/>
          <w:lang w:eastAsia="zh-CN"/>
        </w:rPr>
      </w:pPr>
      <w:r>
        <w:rPr>
          <w:rFonts w:eastAsia="宋体" w:cs="宋体"/>
          <w:b/>
          <w:color w:val="000000"/>
          <w:sz w:val="24"/>
          <w:lang w:eastAsia="zh-CN"/>
        </w:rPr>
        <w:t>图12 - 临床评价</w:t>
      </w:r>
    </w:p>
    <w:p w14:paraId="2D62126B">
      <w:pPr>
        <w:pStyle w:val="27"/>
        <w:adjustRightInd w:val="0"/>
        <w:snapToGrid w:val="0"/>
        <w:spacing w:before="120" w:beforeLines="50" w:line="300" w:lineRule="auto"/>
        <w:jc w:val="both"/>
        <w:rPr>
          <w:rFonts w:eastAsia="宋体"/>
          <w:snapToGrid w:val="0"/>
          <w:sz w:val="24"/>
          <w:szCs w:val="24"/>
          <w:lang w:eastAsia="zh-CN"/>
        </w:rPr>
      </w:pPr>
      <w:r>
        <w:rPr>
          <w:rFonts w:hint="eastAsia" w:ascii="宋体" w:hAnsi="宋体" w:eastAsia="宋体" w:cs="宋体"/>
          <w:b/>
          <w:color w:val="000000"/>
          <w:sz w:val="24"/>
          <w:lang w:eastAsia="zh-CN"/>
        </w:rPr>
        <w:t>①</w:t>
      </w:r>
      <w:r>
        <w:rPr>
          <w:rFonts w:eastAsia="宋体" w:cs="宋体"/>
          <w:b/>
          <w:color w:val="000000"/>
          <w:sz w:val="24"/>
          <w:lang w:eastAsia="zh-CN"/>
        </w:rPr>
        <w:t>有效临床关联：</w:t>
      </w:r>
    </w:p>
    <w:tbl>
      <w:tblPr>
        <w:tblStyle w:val="11"/>
        <w:tblW w:w="9389" w:type="dxa"/>
        <w:tblInd w:w="0" w:type="dxa"/>
        <w:tblLayout w:type="fixed"/>
        <w:tblCellMar>
          <w:top w:w="0" w:type="dxa"/>
          <w:left w:w="108" w:type="dxa"/>
          <w:bottom w:w="0" w:type="dxa"/>
          <w:right w:w="108" w:type="dxa"/>
        </w:tblCellMar>
      </w:tblPr>
      <w:tblGrid>
        <w:gridCol w:w="4522"/>
        <w:gridCol w:w="686"/>
        <w:gridCol w:w="4181"/>
      </w:tblGrid>
      <w:tr w14:paraId="4FF1F26A">
        <w:tblPrEx>
          <w:tblCellMar>
            <w:top w:w="0" w:type="dxa"/>
            <w:left w:w="108" w:type="dxa"/>
            <w:bottom w:w="0" w:type="dxa"/>
            <w:right w:w="108" w:type="dxa"/>
          </w:tblCellMar>
        </w:tblPrEx>
        <w:tc>
          <w:tcPr>
            <w:tcW w:w="4522" w:type="dxa"/>
            <w:shd w:val="clear" w:color="auto" w:fill="FFFFFF"/>
          </w:tcPr>
          <w:p w14:paraId="26695496">
            <w:pPr>
              <w:pStyle w:val="17"/>
              <w:adjustRightInd w:val="0"/>
              <w:snapToGrid w:val="0"/>
              <w:spacing w:before="120" w:beforeLines="50" w:after="0" w:line="300" w:lineRule="auto"/>
              <w:jc w:val="both"/>
              <w:rPr>
                <w:rFonts w:eastAsia="宋体"/>
                <w:snapToGrid w:val="0"/>
                <w:lang w:eastAsia="zh-CN"/>
              </w:rPr>
            </w:pPr>
            <w:r>
              <w:rPr>
                <w:rFonts w:eastAsia="宋体" w:cs="宋体"/>
                <w:lang w:eastAsia="zh-CN"/>
              </w:rPr>
              <w:t>根据所选输入和算法，SaMD输出与SaMD目标临床状况之间是否存在有效的临床关联？</w:t>
            </w:r>
          </w:p>
          <w:p w14:paraId="31DEBD6F">
            <w:pPr>
              <w:pStyle w:val="17"/>
              <w:adjustRightInd w:val="0"/>
              <w:snapToGrid w:val="0"/>
              <w:spacing w:before="120" w:beforeLines="50" w:after="0" w:line="300" w:lineRule="auto"/>
              <w:jc w:val="both"/>
              <w:rPr>
                <w:snapToGrid w:val="0"/>
                <w:lang w:eastAsia="zh-CN"/>
              </w:rPr>
            </w:pPr>
            <w:r>
              <w:rPr>
                <w:rFonts w:eastAsia="宋体" w:cs="宋体"/>
                <w:b/>
                <w:lang w:eastAsia="zh-CN"/>
              </w:rPr>
              <w:t>步骤1：</w:t>
            </w:r>
            <w:r>
              <w:rPr>
                <w:rFonts w:eastAsia="宋体" w:cs="宋体"/>
                <w:lang w:eastAsia="zh-CN"/>
              </w:rPr>
              <w:t>验证SaME输出与目标临床状况之间的关联是否有证据支持。</w:t>
            </w:r>
          </w:p>
        </w:tc>
        <w:tc>
          <w:tcPr>
            <w:tcW w:w="686" w:type="dxa"/>
            <w:tcBorders>
              <w:top w:val="single" w:color="auto" w:sz="4" w:space="0"/>
              <w:left w:val="single" w:color="auto" w:sz="4" w:space="0"/>
              <w:bottom w:val="single" w:color="auto" w:sz="4" w:space="0"/>
            </w:tcBorders>
            <w:shd w:val="clear" w:color="auto" w:fill="FFFFFF"/>
            <w:vAlign w:val="center"/>
          </w:tcPr>
          <w:p w14:paraId="491614FA">
            <w:pPr>
              <w:pStyle w:val="17"/>
              <w:adjustRightInd w:val="0"/>
              <w:snapToGrid w:val="0"/>
              <w:spacing w:before="36" w:beforeLines="15" w:after="0" w:line="276" w:lineRule="auto"/>
              <w:jc w:val="both"/>
              <w:rPr>
                <w:snapToGrid w:val="0"/>
                <w:sz w:val="21"/>
                <w:szCs w:val="21"/>
              </w:rPr>
            </w:pPr>
            <w:r>
              <w:rPr>
                <w:rFonts w:ascii="宋体" w:hAnsi="宋体" w:eastAsia="宋体" w:cs="宋体"/>
                <w:lang w:eastAsia="zh-CN" w:bidi="ar-SA"/>
              </w:rPr>
              <w:drawing>
                <wp:inline distT="0" distB="0" distL="0" distR="0">
                  <wp:extent cx="380365" cy="370840"/>
                  <wp:effectExtent l="0" t="0" r="635"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6"/>
                          <a:stretch>
                            <a:fillRect/>
                          </a:stretch>
                        </pic:blipFill>
                        <pic:spPr>
                          <a:xfrm>
                            <a:off x="0" y="0"/>
                            <a:ext cx="380952" cy="371429"/>
                          </a:xfrm>
                          <a:prstGeom prst="rect">
                            <a:avLst/>
                          </a:prstGeom>
                        </pic:spPr>
                      </pic:pic>
                    </a:graphicData>
                  </a:graphic>
                </wp:inline>
              </w:drawing>
            </w:r>
          </w:p>
        </w:tc>
        <w:tc>
          <w:tcPr>
            <w:tcW w:w="4181" w:type="dxa"/>
            <w:tcBorders>
              <w:top w:val="single" w:color="auto" w:sz="4" w:space="0"/>
              <w:bottom w:val="single" w:color="auto" w:sz="4" w:space="0"/>
              <w:right w:val="single" w:color="auto" w:sz="4" w:space="0"/>
            </w:tcBorders>
            <w:shd w:val="clear" w:color="auto" w:fill="FFFFFF"/>
            <w:vAlign w:val="center"/>
          </w:tcPr>
          <w:p w14:paraId="6F2FA9DD">
            <w:pPr>
              <w:pStyle w:val="17"/>
              <w:adjustRightInd w:val="0"/>
              <w:snapToGrid w:val="0"/>
              <w:spacing w:before="36" w:beforeLines="15" w:after="0" w:line="276" w:lineRule="auto"/>
              <w:jc w:val="both"/>
              <w:rPr>
                <w:rFonts w:eastAsia="宋体"/>
                <w:snapToGrid w:val="0"/>
                <w:sz w:val="21"/>
                <w:szCs w:val="21"/>
              </w:rPr>
            </w:pPr>
            <w:r>
              <w:rPr>
                <w:rFonts w:eastAsia="宋体" w:cs="宋体"/>
                <w:sz w:val="21"/>
              </w:rPr>
              <w:t>现有证据示例</w:t>
            </w:r>
          </w:p>
          <w:p w14:paraId="12946478">
            <w:pPr>
              <w:pStyle w:val="17"/>
              <w:numPr>
                <w:ilvl w:val="0"/>
                <w:numId w:val="7"/>
              </w:numPr>
              <w:tabs>
                <w:tab w:val="left" w:pos="570"/>
              </w:tabs>
              <w:adjustRightInd w:val="0"/>
              <w:snapToGrid w:val="0"/>
              <w:spacing w:before="36" w:beforeLines="15" w:after="0" w:line="276" w:lineRule="auto"/>
              <w:jc w:val="both"/>
              <w:rPr>
                <w:rFonts w:eastAsia="宋体"/>
                <w:snapToGrid w:val="0"/>
                <w:sz w:val="21"/>
                <w:szCs w:val="21"/>
              </w:rPr>
            </w:pPr>
            <w:r>
              <w:rPr>
                <w:rFonts w:eastAsia="宋体" w:cs="宋体"/>
                <w:sz w:val="21"/>
              </w:rPr>
              <w:t>文献检索</w:t>
            </w:r>
          </w:p>
          <w:p w14:paraId="61DF19B2">
            <w:pPr>
              <w:pStyle w:val="17"/>
              <w:numPr>
                <w:ilvl w:val="0"/>
                <w:numId w:val="7"/>
              </w:numPr>
              <w:tabs>
                <w:tab w:val="left" w:pos="580"/>
              </w:tabs>
              <w:adjustRightInd w:val="0"/>
              <w:snapToGrid w:val="0"/>
              <w:spacing w:before="36" w:beforeLines="15" w:after="0" w:line="276" w:lineRule="auto"/>
              <w:jc w:val="both"/>
              <w:rPr>
                <w:rFonts w:eastAsia="宋体"/>
                <w:snapToGrid w:val="0"/>
                <w:sz w:val="21"/>
                <w:szCs w:val="21"/>
              </w:rPr>
            </w:pPr>
            <w:r>
              <w:rPr>
                <w:rFonts w:eastAsia="宋体" w:cs="宋体"/>
                <w:sz w:val="21"/>
              </w:rPr>
              <w:t>原始临床研究</w:t>
            </w:r>
          </w:p>
          <w:p w14:paraId="46E9B428">
            <w:pPr>
              <w:pStyle w:val="17"/>
              <w:numPr>
                <w:ilvl w:val="0"/>
                <w:numId w:val="7"/>
              </w:numPr>
              <w:tabs>
                <w:tab w:val="left" w:pos="618"/>
              </w:tabs>
              <w:adjustRightInd w:val="0"/>
              <w:snapToGrid w:val="0"/>
              <w:spacing w:before="36" w:beforeLines="15" w:after="0" w:line="276" w:lineRule="auto"/>
              <w:jc w:val="both"/>
              <w:rPr>
                <w:rFonts w:eastAsia="宋体"/>
                <w:snapToGrid w:val="0"/>
                <w:sz w:val="21"/>
                <w:szCs w:val="21"/>
                <w:lang w:eastAsia="zh-CN"/>
              </w:rPr>
            </w:pPr>
            <w:r>
              <w:rPr>
                <w:rFonts w:eastAsia="宋体" w:cs="宋体"/>
                <w:sz w:val="21"/>
              </w:rPr>
              <w:t>专业协会指南</w:t>
            </w:r>
          </w:p>
          <w:p w14:paraId="0EB12AFE">
            <w:pPr>
              <w:pStyle w:val="17"/>
              <w:tabs>
                <w:tab w:val="left" w:pos="618"/>
              </w:tabs>
              <w:adjustRightInd w:val="0"/>
              <w:snapToGrid w:val="0"/>
              <w:spacing w:before="36" w:beforeLines="15" w:after="0" w:line="276" w:lineRule="auto"/>
              <w:jc w:val="both"/>
              <w:rPr>
                <w:rFonts w:eastAsia="宋体"/>
                <w:snapToGrid w:val="0"/>
                <w:sz w:val="21"/>
                <w:szCs w:val="21"/>
              </w:rPr>
            </w:pPr>
            <w:r>
              <w:rPr>
                <w:rFonts w:eastAsia="宋体" w:cs="宋体"/>
                <w:sz w:val="21"/>
              </w:rPr>
              <w:t>生成新证据的示例</w:t>
            </w:r>
          </w:p>
          <w:p w14:paraId="3DCAF830">
            <w:pPr>
              <w:pStyle w:val="17"/>
              <w:numPr>
                <w:ilvl w:val="0"/>
                <w:numId w:val="8"/>
              </w:numPr>
              <w:tabs>
                <w:tab w:val="left" w:pos="590"/>
              </w:tabs>
              <w:adjustRightInd w:val="0"/>
              <w:snapToGrid w:val="0"/>
              <w:spacing w:before="36" w:beforeLines="15" w:after="0" w:line="276" w:lineRule="auto"/>
              <w:jc w:val="both"/>
              <w:rPr>
                <w:rFonts w:eastAsia="宋体"/>
                <w:snapToGrid w:val="0"/>
                <w:sz w:val="21"/>
                <w:szCs w:val="21"/>
              </w:rPr>
            </w:pPr>
            <w:r>
              <w:rPr>
                <w:rFonts w:eastAsia="宋体" w:cs="宋体"/>
                <w:sz w:val="21"/>
              </w:rPr>
              <w:t>二次数据分析</w:t>
            </w:r>
          </w:p>
          <w:p w14:paraId="2EA01FD5">
            <w:pPr>
              <w:pStyle w:val="17"/>
              <w:numPr>
                <w:ilvl w:val="0"/>
                <w:numId w:val="8"/>
              </w:numPr>
              <w:tabs>
                <w:tab w:val="left" w:pos="570"/>
              </w:tabs>
              <w:adjustRightInd w:val="0"/>
              <w:snapToGrid w:val="0"/>
              <w:spacing w:before="36" w:beforeLines="15" w:after="0" w:line="276" w:lineRule="auto"/>
              <w:jc w:val="both"/>
              <w:rPr>
                <w:snapToGrid w:val="0"/>
                <w:sz w:val="21"/>
                <w:szCs w:val="21"/>
              </w:rPr>
            </w:pPr>
            <w:r>
              <w:rPr>
                <w:rFonts w:eastAsia="宋体" w:cs="宋体"/>
                <w:sz w:val="21"/>
              </w:rPr>
              <w:t>开展临床试验</w:t>
            </w:r>
          </w:p>
        </w:tc>
      </w:tr>
    </w:tbl>
    <w:p w14:paraId="0FEDA3A7">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注：</w:t>
      </w:r>
      <w:r>
        <w:rPr>
          <w:rFonts w:ascii="Times New Roman" w:hAnsi="Times New Roman" w:eastAsia="宋体" w:cs="宋体"/>
          <w:lang w:eastAsia="zh-CN"/>
        </w:rPr>
        <w:t>所有SaMD均应证明有效的临床关联。</w:t>
      </w:r>
    </w:p>
    <w:p w14:paraId="2AABFAA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color w:val="FF0000"/>
          <w:lang w:eastAsia="zh-CN"/>
        </w:rPr>
        <w:t>问题：如何“生成证据”？</w:t>
      </w:r>
    </w:p>
    <w:p w14:paraId="22BBF9B1">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可使用现有证据也可通过生成新证据进行验证。</w:t>
      </w:r>
    </w:p>
    <w:p w14:paraId="2066BC0B">
      <w:pPr>
        <w:pStyle w:val="29"/>
        <w:adjustRightInd w:val="0"/>
        <w:snapToGrid w:val="0"/>
        <w:spacing w:before="120" w:beforeLines="50" w:line="300" w:lineRule="auto"/>
        <w:jc w:val="both"/>
        <w:rPr>
          <w:rFonts w:eastAsia="宋体"/>
          <w:snapToGrid w:val="0"/>
          <w:sz w:val="24"/>
          <w:szCs w:val="24"/>
          <w:lang w:eastAsia="zh-CN"/>
        </w:rPr>
      </w:pPr>
    </w:p>
    <w:p w14:paraId="2048A314">
      <w:pPr>
        <w:pStyle w:val="29"/>
        <w:adjustRightInd w:val="0"/>
        <w:snapToGrid w:val="0"/>
        <w:spacing w:before="120" w:beforeLines="50" w:line="300" w:lineRule="auto"/>
        <w:jc w:val="both"/>
        <w:rPr>
          <w:rFonts w:eastAsia="宋体"/>
          <w:snapToGrid w:val="0"/>
          <w:sz w:val="24"/>
          <w:szCs w:val="24"/>
          <w:lang w:eastAsia="zh-CN"/>
        </w:rPr>
      </w:pPr>
    </w:p>
    <w:p w14:paraId="1DA4E8C5">
      <w:pPr>
        <w:pStyle w:val="29"/>
        <w:adjustRightInd w:val="0"/>
        <w:snapToGrid w:val="0"/>
        <w:spacing w:before="120" w:beforeLines="50" w:line="300" w:lineRule="auto"/>
        <w:jc w:val="both"/>
        <w:rPr>
          <w:rFonts w:eastAsia="宋体"/>
          <w:snapToGrid w:val="0"/>
          <w:sz w:val="24"/>
          <w:szCs w:val="24"/>
          <w:lang w:eastAsia="zh-CN"/>
        </w:rPr>
      </w:pPr>
    </w:p>
    <w:p w14:paraId="5A829160">
      <w:pPr>
        <w:pStyle w:val="29"/>
        <w:adjustRightInd w:val="0"/>
        <w:snapToGrid w:val="0"/>
        <w:spacing w:before="120" w:beforeLines="50" w:line="300" w:lineRule="auto"/>
        <w:jc w:val="both"/>
        <w:rPr>
          <w:rFonts w:eastAsia="宋体"/>
          <w:snapToGrid w:val="0"/>
          <w:sz w:val="24"/>
          <w:szCs w:val="24"/>
          <w:lang w:eastAsia="zh-CN"/>
        </w:rPr>
      </w:pPr>
      <w:r>
        <w:rPr>
          <w:rFonts w:eastAsia="宋体" w:cs="宋体"/>
          <w:sz w:val="24"/>
          <w:lang w:eastAsia="zh-CN"/>
        </w:rPr>
        <w:t>_____________________</w:t>
      </w:r>
    </w:p>
    <w:p w14:paraId="5E0FF879">
      <w:pPr>
        <w:pStyle w:val="29"/>
        <w:adjustRightInd w:val="0"/>
        <w:snapToGrid w:val="0"/>
        <w:spacing w:before="36" w:beforeLines="15" w:line="276" w:lineRule="auto"/>
        <w:jc w:val="both"/>
        <w:rPr>
          <w:rFonts w:eastAsia="宋体"/>
          <w:snapToGrid w:val="0"/>
          <w:sz w:val="21"/>
          <w:szCs w:val="21"/>
          <w:lang w:eastAsia="zh-CN"/>
        </w:rPr>
      </w:pPr>
      <w:r>
        <w:rPr>
          <w:rFonts w:eastAsia="宋体" w:cs="宋体"/>
          <w:sz w:val="21"/>
          <w:vertAlign w:val="superscript"/>
          <w:lang w:eastAsia="zh-CN"/>
        </w:rPr>
        <w:t>6</w:t>
      </w:r>
      <w:r>
        <w:rPr>
          <w:rFonts w:eastAsia="宋体" w:cs="宋体"/>
          <w:sz w:val="21"/>
          <w:lang w:eastAsia="zh-CN"/>
        </w:rPr>
        <w:t xml:space="preserve"> 临床数据被定义为</w:t>
      </w:r>
      <w:r>
        <w:rPr>
          <w:rFonts w:eastAsia="宋体" w:cs="宋体"/>
          <w:sz w:val="21"/>
          <w:u w:val="single"/>
          <w:lang w:eastAsia="zh-CN"/>
        </w:rPr>
        <w:t>医疗器械</w:t>
      </w:r>
      <w:r>
        <w:rPr>
          <w:rFonts w:eastAsia="宋体" w:cs="宋体"/>
          <w:sz w:val="21"/>
          <w:lang w:eastAsia="zh-CN"/>
        </w:rPr>
        <w:t>的临床应用生成的安全性和/或性能信息。</w:t>
      </w:r>
      <w:r>
        <w:rPr>
          <w:rFonts w:eastAsia="宋体" w:cs="宋体"/>
          <w:i/>
          <w:color w:val="0000FF"/>
          <w:sz w:val="21"/>
          <w:u w:val="single"/>
          <w:lang w:eastAsia="zh-CN"/>
        </w:rPr>
        <w:t>来源：</w:t>
      </w:r>
      <w:r>
        <w:fldChar w:fldCharType="begin"/>
      </w:r>
      <w:r>
        <w:instrText xml:space="preserve"> HYPERLINK "http://www.imdrf.org/docs/ghtf/final/sg5/technical-docs/ghtf-sg5-n1r8-clinical-evaluation-key-definitions-070501.pdf" </w:instrText>
      </w:r>
      <w:r>
        <w:fldChar w:fldCharType="separate"/>
      </w:r>
      <w:r>
        <w:rPr>
          <w:rFonts w:eastAsia="宋体" w:cs="宋体"/>
          <w:i/>
          <w:iCs/>
          <w:snapToGrid w:val="0"/>
          <w:color w:val="0000FF"/>
          <w:sz w:val="21"/>
          <w:szCs w:val="21"/>
          <w:u w:val="single"/>
          <w:lang w:eastAsia="zh-CN"/>
        </w:rPr>
        <w:t>GHTF SG5 N1R8:2007</w:t>
      </w:r>
      <w:r>
        <w:rPr>
          <w:rFonts w:eastAsia="宋体" w:cs="宋体"/>
          <w:i/>
          <w:iCs/>
          <w:snapToGrid w:val="0"/>
          <w:color w:val="0000FF"/>
          <w:sz w:val="21"/>
          <w:szCs w:val="21"/>
          <w:u w:val="single"/>
          <w:lang w:eastAsia="zh-CN"/>
        </w:rPr>
        <w:fldChar w:fldCharType="end"/>
      </w:r>
      <w:r>
        <w:rPr>
          <w:rFonts w:eastAsia="宋体" w:cs="宋体"/>
          <w:i/>
          <w:color w:val="0000FF"/>
          <w:sz w:val="21"/>
          <w:u w:val="single"/>
          <w:vertAlign w:val="superscript"/>
          <w:lang w:eastAsia="zh-CN"/>
        </w:rPr>
        <w:t>[7]</w:t>
      </w:r>
    </w:p>
    <w:p w14:paraId="25BC29AD">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E97A505">
      <w:pPr>
        <w:adjustRightInd w:val="0"/>
        <w:snapToGrid w:val="0"/>
        <w:spacing w:before="120" w:beforeLines="50" w:line="300" w:lineRule="auto"/>
        <w:jc w:val="both"/>
        <w:rPr>
          <w:rFonts w:ascii="Times New Roman" w:hAnsi="Times New Roman" w:eastAsia="宋体" w:cs="Times New Roman"/>
          <w:b/>
          <w:bCs/>
          <w:snapToGrid w:val="0"/>
          <w:lang w:eastAsia="zh-CN"/>
        </w:rPr>
      </w:pPr>
      <w:r>
        <w:rPr>
          <w:rFonts w:hint="eastAsia" w:ascii="宋体" w:hAnsi="宋体" w:eastAsia="宋体" w:cs="宋体"/>
          <w:b/>
          <w:lang w:eastAsia="zh-CN"/>
        </w:rPr>
        <w:t>②</w:t>
      </w:r>
      <w:r>
        <w:rPr>
          <w:rFonts w:ascii="Times New Roman" w:hAnsi="Times New Roman" w:eastAsia="宋体" w:cs="宋体"/>
          <w:b/>
          <w:lang w:eastAsia="zh-CN"/>
        </w:rPr>
        <w:t>分析确认：</w:t>
      </w:r>
    </w:p>
    <w:tbl>
      <w:tblPr>
        <w:tblStyle w:val="11"/>
        <w:tblW w:w="9394" w:type="dxa"/>
        <w:tblInd w:w="0" w:type="dxa"/>
        <w:tblLayout w:type="fixed"/>
        <w:tblCellMar>
          <w:top w:w="0" w:type="dxa"/>
          <w:left w:w="108" w:type="dxa"/>
          <w:bottom w:w="0" w:type="dxa"/>
          <w:right w:w="108" w:type="dxa"/>
        </w:tblCellMar>
      </w:tblPr>
      <w:tblGrid>
        <w:gridCol w:w="4503"/>
        <w:gridCol w:w="708"/>
        <w:gridCol w:w="4183"/>
      </w:tblGrid>
      <w:tr w14:paraId="4C2E5A1B">
        <w:tblPrEx>
          <w:tblCellMar>
            <w:top w:w="0" w:type="dxa"/>
            <w:left w:w="108" w:type="dxa"/>
            <w:bottom w:w="0" w:type="dxa"/>
            <w:right w:w="108" w:type="dxa"/>
          </w:tblCellMar>
        </w:tblPrEx>
        <w:tc>
          <w:tcPr>
            <w:tcW w:w="4503" w:type="dxa"/>
            <w:shd w:val="clear" w:color="auto" w:fill="FFFFFF"/>
          </w:tcPr>
          <w:p w14:paraId="5AA27C1E">
            <w:pPr>
              <w:pStyle w:val="17"/>
              <w:adjustRightInd w:val="0"/>
              <w:snapToGrid w:val="0"/>
              <w:spacing w:before="120" w:beforeLines="50" w:after="0" w:line="300" w:lineRule="auto"/>
              <w:jc w:val="both"/>
              <w:rPr>
                <w:rFonts w:eastAsia="宋体"/>
                <w:snapToGrid w:val="0"/>
                <w:lang w:eastAsia="zh-CN"/>
              </w:rPr>
            </w:pPr>
            <w:r>
              <w:rPr>
                <w:rFonts w:eastAsia="宋体" w:cs="宋体"/>
                <w:lang w:eastAsia="zh-CN"/>
              </w:rPr>
              <w:t>SaMD是否符合技术要求？</w:t>
            </w:r>
          </w:p>
          <w:p w14:paraId="268079CB">
            <w:pPr>
              <w:pStyle w:val="17"/>
              <w:adjustRightInd w:val="0"/>
              <w:snapToGrid w:val="0"/>
              <w:spacing w:before="120" w:beforeLines="50" w:after="0" w:line="300" w:lineRule="auto"/>
              <w:jc w:val="both"/>
              <w:rPr>
                <w:rFonts w:eastAsia="宋体"/>
                <w:snapToGrid w:val="0"/>
                <w:lang w:eastAsia="zh-CN"/>
              </w:rPr>
            </w:pPr>
            <w:r>
              <w:rPr>
                <w:rFonts w:eastAsia="宋体" w:cs="宋体"/>
                <w:b/>
                <w:lang w:eastAsia="zh-CN"/>
              </w:rPr>
              <w:t>步骤1：</w:t>
            </w:r>
            <w:r>
              <w:rPr>
                <w:rFonts w:eastAsia="宋体" w:cs="宋体"/>
                <w:lang w:eastAsia="zh-CN"/>
              </w:rPr>
              <w:t>生成证据证明SaMD的输出在技术上符合预期。</w:t>
            </w:r>
          </w:p>
          <w:p w14:paraId="29CD33FE">
            <w:pPr>
              <w:pStyle w:val="17"/>
              <w:adjustRightInd w:val="0"/>
              <w:snapToGrid w:val="0"/>
              <w:spacing w:before="120" w:beforeLines="50" w:after="0" w:line="300" w:lineRule="auto"/>
              <w:jc w:val="both"/>
              <w:rPr>
                <w:rFonts w:eastAsia="宋体"/>
                <w:snapToGrid w:val="0"/>
                <w:lang w:eastAsia="zh-CN"/>
              </w:rPr>
            </w:pPr>
            <w:r>
              <w:rPr>
                <w:rFonts w:eastAsia="宋体" w:cs="宋体"/>
                <w:b/>
                <w:lang w:eastAsia="zh-CN"/>
              </w:rPr>
              <w:t>注：</w:t>
            </w:r>
            <w:r>
              <w:rPr>
                <w:rFonts w:eastAsia="宋体" w:cs="宋体"/>
                <w:lang w:eastAsia="zh-CN"/>
              </w:rPr>
              <w:t>所有SaMD均应证明分析确认。</w:t>
            </w:r>
          </w:p>
          <w:p w14:paraId="4050698C">
            <w:pPr>
              <w:pStyle w:val="17"/>
              <w:adjustRightInd w:val="0"/>
              <w:snapToGrid w:val="0"/>
              <w:spacing w:before="120" w:beforeLines="50" w:after="0" w:line="300" w:lineRule="auto"/>
              <w:jc w:val="both"/>
              <w:rPr>
                <w:snapToGrid w:val="0"/>
                <w:lang w:eastAsia="zh-CN"/>
              </w:rPr>
            </w:pPr>
            <w:r>
              <w:rPr>
                <w:rFonts w:eastAsia="宋体" w:cs="宋体"/>
                <w:b/>
                <w:color w:val="FF0000"/>
                <w:lang w:eastAsia="zh-CN"/>
              </w:rPr>
              <w:t>问题：如何“生成证据”？</w:t>
            </w:r>
          </w:p>
        </w:tc>
        <w:tc>
          <w:tcPr>
            <w:tcW w:w="708" w:type="dxa"/>
            <w:tcBorders>
              <w:top w:val="single" w:color="auto" w:sz="4" w:space="0"/>
              <w:left w:val="single" w:color="auto" w:sz="4" w:space="0"/>
            </w:tcBorders>
            <w:shd w:val="clear" w:color="auto" w:fill="FFFFFF"/>
            <w:vAlign w:val="center"/>
          </w:tcPr>
          <w:p w14:paraId="67EDE444">
            <w:pPr>
              <w:pStyle w:val="17"/>
              <w:adjustRightInd w:val="0"/>
              <w:snapToGrid w:val="0"/>
              <w:spacing w:before="36" w:beforeLines="15" w:after="0" w:line="276" w:lineRule="auto"/>
              <w:jc w:val="both"/>
              <w:rPr>
                <w:rFonts w:eastAsiaTheme="minorEastAsia"/>
                <w:snapToGrid w:val="0"/>
                <w:sz w:val="21"/>
                <w:szCs w:val="21"/>
                <w:lang w:eastAsia="zh-CN"/>
              </w:rPr>
            </w:pPr>
            <w:r>
              <w:rPr>
                <w:rFonts w:ascii="宋体" w:hAnsi="宋体" w:eastAsia="宋体" w:cs="宋体"/>
                <w:lang w:eastAsia="zh-CN" w:bidi="ar-SA"/>
              </w:rPr>
              <w:drawing>
                <wp:inline distT="0" distB="0" distL="0" distR="0">
                  <wp:extent cx="380365" cy="370840"/>
                  <wp:effectExtent l="0" t="0" r="63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6"/>
                          <a:stretch>
                            <a:fillRect/>
                          </a:stretch>
                        </pic:blipFill>
                        <pic:spPr>
                          <a:xfrm>
                            <a:off x="0" y="0"/>
                            <a:ext cx="380952" cy="371429"/>
                          </a:xfrm>
                          <a:prstGeom prst="rect">
                            <a:avLst/>
                          </a:prstGeom>
                        </pic:spPr>
                      </pic:pic>
                    </a:graphicData>
                  </a:graphic>
                </wp:inline>
              </w:drawing>
            </w:r>
          </w:p>
        </w:tc>
        <w:tc>
          <w:tcPr>
            <w:tcW w:w="4183" w:type="dxa"/>
            <w:tcBorders>
              <w:top w:val="single" w:color="auto" w:sz="4" w:space="0"/>
              <w:bottom w:val="single" w:color="auto" w:sz="4" w:space="0"/>
              <w:right w:val="single" w:color="auto" w:sz="4" w:space="0"/>
            </w:tcBorders>
            <w:shd w:val="clear" w:color="auto" w:fill="FFFFFF"/>
            <w:vAlign w:val="center"/>
          </w:tcPr>
          <w:p w14:paraId="2C5AFEB0">
            <w:pPr>
              <w:pStyle w:val="17"/>
              <w:adjustRightInd w:val="0"/>
              <w:snapToGrid w:val="0"/>
              <w:spacing w:before="36" w:beforeLines="15" w:after="0" w:line="276" w:lineRule="auto"/>
              <w:jc w:val="both"/>
              <w:rPr>
                <w:rFonts w:eastAsia="宋体"/>
                <w:snapToGrid w:val="0"/>
                <w:sz w:val="21"/>
                <w:szCs w:val="21"/>
                <w:lang w:eastAsia="zh-CN"/>
              </w:rPr>
            </w:pPr>
            <w:r>
              <w:rPr>
                <w:rFonts w:eastAsia="宋体" w:cs="宋体"/>
                <w:b/>
                <w:sz w:val="21"/>
                <w:lang w:eastAsia="zh-CN"/>
              </w:rPr>
              <w:t xml:space="preserve">验证 - </w:t>
            </w:r>
            <w:r>
              <w:rPr>
                <w:rFonts w:eastAsia="宋体" w:cs="宋体"/>
                <w:sz w:val="21"/>
                <w:lang w:eastAsia="zh-CN"/>
              </w:rPr>
              <w:t>通过提供客观证据确认已满足规定要求的过程。来源：</w:t>
            </w:r>
            <w:r>
              <w:fldChar w:fldCharType="begin"/>
            </w:r>
            <w:r>
              <w:instrText xml:space="preserve"> HYPERLINK "http://www.imdrf.org/docs/ghtf/final/sg3/technical-docs/ghtf-sg3-n18-2010-qms-guidance-on-corrective-preventative-action-101104.pdf" </w:instrText>
            </w:r>
            <w:r>
              <w:fldChar w:fldCharType="separate"/>
            </w:r>
            <w:r>
              <w:rPr>
                <w:rFonts w:eastAsia="宋体" w:cs="宋体"/>
                <w:i/>
                <w:snapToGrid w:val="0"/>
                <w:color w:val="0000FF"/>
                <w:sz w:val="21"/>
                <w:szCs w:val="21"/>
                <w:u w:val="single"/>
                <w:lang w:eastAsia="zh-CN"/>
              </w:rPr>
              <w:t>GHTF SG3 N18:2010</w:t>
            </w:r>
            <w:r>
              <w:rPr>
                <w:rFonts w:eastAsia="宋体" w:cs="宋体"/>
                <w:i/>
                <w:snapToGrid w:val="0"/>
                <w:color w:val="0000FF"/>
                <w:sz w:val="21"/>
                <w:szCs w:val="21"/>
                <w:u w:val="single"/>
                <w:lang w:eastAsia="zh-CN"/>
              </w:rPr>
              <w:fldChar w:fldCharType="end"/>
            </w:r>
            <w:r>
              <w:rPr>
                <w:rFonts w:eastAsia="宋体" w:cs="宋体"/>
                <w:i/>
                <w:sz w:val="21"/>
                <w:vertAlign w:val="superscript"/>
                <w:lang w:eastAsia="zh-CN"/>
              </w:rPr>
              <w:t>[6]</w:t>
            </w:r>
            <w:r>
              <w:rPr>
                <w:rFonts w:eastAsia="宋体" w:cs="宋体"/>
                <w:sz w:val="21"/>
                <w:lang w:eastAsia="zh-CN"/>
              </w:rPr>
              <w:t>第2.7节</w:t>
            </w:r>
          </w:p>
          <w:p w14:paraId="39E974B0">
            <w:pPr>
              <w:pStyle w:val="17"/>
              <w:adjustRightInd w:val="0"/>
              <w:snapToGrid w:val="0"/>
              <w:spacing w:before="36" w:beforeLines="15" w:after="0" w:line="276" w:lineRule="auto"/>
              <w:jc w:val="both"/>
              <w:rPr>
                <w:snapToGrid w:val="0"/>
                <w:sz w:val="21"/>
                <w:szCs w:val="21"/>
              </w:rPr>
            </w:pPr>
            <w:r>
              <w:rPr>
                <w:rFonts w:eastAsia="宋体" w:cs="宋体"/>
                <w:b/>
                <w:sz w:val="21"/>
                <w:lang w:eastAsia="zh-CN"/>
              </w:rPr>
              <w:t xml:space="preserve">确认 - </w:t>
            </w:r>
            <w:r>
              <w:rPr>
                <w:rFonts w:eastAsia="宋体" w:cs="宋体"/>
                <w:sz w:val="21"/>
                <w:lang w:eastAsia="zh-CN"/>
              </w:rPr>
              <w:t>通过提供客观证据确认已满足特定预期用途或应用的要求的过程。</w:t>
            </w:r>
            <w:r>
              <w:rPr>
                <w:rFonts w:eastAsia="宋体" w:cs="宋体"/>
                <w:sz w:val="21"/>
              </w:rPr>
              <w:t>来源：</w:t>
            </w:r>
            <w:r>
              <w:fldChar w:fldCharType="begin"/>
            </w:r>
            <w:r>
              <w:instrText xml:space="preserve"> HYPERLINK "http://www.imdrf.org/docs/ghtf/final/sg3/technical-docs/ghtf-sg3-n18-2010-qms-guidance-on-corrective-preventative-action-101104.pdf" </w:instrText>
            </w:r>
            <w:r>
              <w:fldChar w:fldCharType="separate"/>
            </w:r>
            <w:r>
              <w:rPr>
                <w:rFonts w:eastAsia="宋体" w:cs="宋体"/>
                <w:i/>
                <w:iCs/>
                <w:snapToGrid w:val="0"/>
                <w:color w:val="0000FF"/>
                <w:sz w:val="21"/>
                <w:szCs w:val="21"/>
                <w:u w:val="single"/>
              </w:rPr>
              <w:t>GHTF SG3 N18:2010</w:t>
            </w:r>
            <w:r>
              <w:rPr>
                <w:rFonts w:eastAsia="宋体" w:cs="宋体"/>
                <w:i/>
                <w:iCs/>
                <w:snapToGrid w:val="0"/>
                <w:color w:val="0000FF"/>
                <w:sz w:val="21"/>
                <w:szCs w:val="21"/>
                <w:u w:val="single"/>
              </w:rPr>
              <w:fldChar w:fldCharType="end"/>
            </w:r>
            <w:r>
              <w:rPr>
                <w:rFonts w:eastAsia="宋体" w:cs="宋体"/>
                <w:i/>
                <w:sz w:val="21"/>
                <w:vertAlign w:val="superscript"/>
              </w:rPr>
              <w:t>[6]</w:t>
            </w:r>
            <w:r>
              <w:rPr>
                <w:rFonts w:eastAsia="宋体" w:cs="宋体"/>
                <w:sz w:val="21"/>
              </w:rPr>
              <w:t>第2.8节</w:t>
            </w:r>
          </w:p>
        </w:tc>
      </w:tr>
    </w:tbl>
    <w:p w14:paraId="2943934E">
      <w:pPr>
        <w:adjustRightInd w:val="0"/>
        <w:snapToGrid w:val="0"/>
        <w:spacing w:before="120" w:beforeLines="50" w:line="300" w:lineRule="auto"/>
        <w:jc w:val="both"/>
        <w:rPr>
          <w:rFonts w:ascii="Times New Roman" w:hAnsi="Times New Roman" w:eastAsia="宋体" w:cs="Times New Roman"/>
          <w:bCs/>
          <w:i/>
          <w:iCs/>
          <w:snapToGrid w:val="0"/>
          <w:lang w:eastAsia="zh-CN"/>
        </w:rPr>
      </w:pPr>
      <w:r>
        <w:rPr>
          <w:rFonts w:ascii="Times New Roman" w:hAnsi="Times New Roman" w:eastAsia="宋体" w:cs="宋体"/>
        </w:rPr>
        <w:t>可在开展</w:t>
      </w:r>
    </w:p>
    <w:p w14:paraId="2076D47B">
      <w:pPr>
        <w:adjustRightInd w:val="0"/>
        <w:snapToGrid w:val="0"/>
        <w:spacing w:before="120" w:beforeLines="50" w:line="300" w:lineRule="auto"/>
        <w:jc w:val="both"/>
        <w:rPr>
          <w:rFonts w:ascii="Times New Roman" w:hAnsi="Times New Roman" w:eastAsia="宋体" w:cs="Times New Roman"/>
          <w:bCs/>
          <w:snapToGrid w:val="0"/>
          <w:lang w:eastAsia="zh-CN"/>
        </w:rPr>
      </w:pPr>
      <w:r>
        <w:rPr>
          <w:rFonts w:ascii="Times New Roman" w:hAnsi="Times New Roman" w:eastAsia="宋体" w:cs="宋体"/>
          <w:lang w:eastAsia="zh-CN"/>
        </w:rPr>
        <w:t>验证和确认活动期间生成证据，作为质量管理体系或良好软件工程规范的一部分，或通过使用精心策划的数据库或使用先前收集的患者数据生成新证据。</w:t>
      </w:r>
    </w:p>
    <w:p w14:paraId="09C22E8E">
      <w:pPr>
        <w:adjustRightInd w:val="0"/>
        <w:snapToGrid w:val="0"/>
        <w:spacing w:before="120" w:beforeLines="50" w:line="300" w:lineRule="auto"/>
        <w:jc w:val="both"/>
        <w:rPr>
          <w:rFonts w:ascii="Times New Roman" w:hAnsi="Times New Roman" w:eastAsia="宋体" w:cs="Times New Roman"/>
          <w:b/>
          <w:bCs/>
          <w:snapToGrid w:val="0"/>
          <w:lang w:eastAsia="zh-CN"/>
        </w:rPr>
      </w:pPr>
      <w:r>
        <w:rPr>
          <w:rFonts w:hint="eastAsia" w:ascii="宋体" w:hAnsi="宋体" w:eastAsia="宋体" w:cs="宋体"/>
          <w:b/>
        </w:rPr>
        <w:t>③</w:t>
      </w:r>
      <w:r>
        <w:rPr>
          <w:rFonts w:ascii="Times New Roman" w:hAnsi="Times New Roman" w:eastAsia="宋体" w:cs="宋体"/>
          <w:b/>
        </w:rPr>
        <w:t>临床确认：</w:t>
      </w:r>
    </w:p>
    <w:tbl>
      <w:tblPr>
        <w:tblStyle w:val="11"/>
        <w:tblW w:w="9394" w:type="dxa"/>
        <w:tblInd w:w="0" w:type="dxa"/>
        <w:tblLayout w:type="fixed"/>
        <w:tblCellMar>
          <w:top w:w="0" w:type="dxa"/>
          <w:left w:w="108" w:type="dxa"/>
          <w:bottom w:w="0" w:type="dxa"/>
          <w:right w:w="108" w:type="dxa"/>
        </w:tblCellMar>
      </w:tblPr>
      <w:tblGrid>
        <w:gridCol w:w="4503"/>
        <w:gridCol w:w="708"/>
        <w:gridCol w:w="4183"/>
      </w:tblGrid>
      <w:tr w14:paraId="2601E71A">
        <w:tblPrEx>
          <w:tblCellMar>
            <w:top w:w="0" w:type="dxa"/>
            <w:left w:w="108" w:type="dxa"/>
            <w:bottom w:w="0" w:type="dxa"/>
            <w:right w:w="108" w:type="dxa"/>
          </w:tblCellMar>
        </w:tblPrEx>
        <w:tc>
          <w:tcPr>
            <w:tcW w:w="4503" w:type="dxa"/>
            <w:shd w:val="clear" w:color="auto" w:fill="FFFFFF"/>
          </w:tcPr>
          <w:p w14:paraId="7980B614">
            <w:pPr>
              <w:pStyle w:val="17"/>
              <w:adjustRightInd w:val="0"/>
              <w:snapToGrid w:val="0"/>
              <w:spacing w:before="120" w:beforeLines="50" w:after="0" w:line="300" w:lineRule="auto"/>
              <w:jc w:val="both"/>
              <w:rPr>
                <w:rFonts w:eastAsia="宋体"/>
                <w:snapToGrid w:val="0"/>
                <w:lang w:eastAsia="zh-CN"/>
              </w:rPr>
            </w:pPr>
            <w:r>
              <w:rPr>
                <w:rFonts w:eastAsia="宋体" w:cs="宋体"/>
                <w:lang w:eastAsia="zh-CN"/>
              </w:rPr>
              <w:t>SaMD是否可生成临床相关输出？</w:t>
            </w:r>
          </w:p>
          <w:p w14:paraId="59D61BD1">
            <w:pPr>
              <w:pStyle w:val="17"/>
              <w:adjustRightInd w:val="0"/>
              <w:snapToGrid w:val="0"/>
              <w:spacing w:before="120" w:beforeLines="50" w:after="0" w:line="300" w:lineRule="auto"/>
              <w:jc w:val="both"/>
              <w:rPr>
                <w:rFonts w:eastAsia="宋体"/>
                <w:snapToGrid w:val="0"/>
                <w:lang w:eastAsia="zh-CN"/>
              </w:rPr>
            </w:pPr>
            <w:r>
              <w:rPr>
                <w:rFonts w:eastAsia="宋体" w:cs="宋体"/>
                <w:b/>
                <w:lang w:eastAsia="zh-CN"/>
              </w:rPr>
              <w:t>步骤1：</w:t>
            </w:r>
            <w:r>
              <w:rPr>
                <w:rFonts w:eastAsia="宋体" w:cs="宋体"/>
                <w:lang w:eastAsia="zh-CN"/>
              </w:rPr>
              <w:t>生成证明满足以下条件的证据：</w:t>
            </w:r>
          </w:p>
          <w:p w14:paraId="05F61931">
            <w:pPr>
              <w:pStyle w:val="17"/>
              <w:numPr>
                <w:ilvl w:val="0"/>
                <w:numId w:val="9"/>
              </w:numPr>
              <w:adjustRightInd w:val="0"/>
              <w:snapToGrid w:val="0"/>
              <w:spacing w:before="120" w:beforeLines="50" w:after="0" w:line="300" w:lineRule="auto"/>
              <w:ind w:left="851"/>
              <w:jc w:val="both"/>
              <w:rPr>
                <w:rFonts w:eastAsia="宋体"/>
                <w:snapToGrid w:val="0"/>
                <w:lang w:eastAsia="zh-CN"/>
              </w:rPr>
            </w:pPr>
            <w:r>
              <w:rPr>
                <w:rFonts w:eastAsia="宋体" w:cs="宋体"/>
                <w:lang w:eastAsia="zh-CN"/>
              </w:rPr>
              <w:t>SaMD已在目标人群中进行了试验并适用于预期用途；和</w:t>
            </w:r>
          </w:p>
          <w:p w14:paraId="4D310E5E">
            <w:pPr>
              <w:pStyle w:val="17"/>
              <w:numPr>
                <w:ilvl w:val="0"/>
                <w:numId w:val="9"/>
              </w:numPr>
              <w:adjustRightInd w:val="0"/>
              <w:snapToGrid w:val="0"/>
              <w:spacing w:before="120" w:beforeLines="50" w:after="0" w:line="300" w:lineRule="auto"/>
              <w:ind w:left="851"/>
              <w:jc w:val="both"/>
              <w:rPr>
                <w:rFonts w:eastAsia="宋体"/>
                <w:snapToGrid w:val="0"/>
                <w:lang w:eastAsia="zh-CN"/>
              </w:rPr>
            </w:pPr>
            <w:r>
              <w:rPr>
                <w:rFonts w:eastAsia="宋体" w:cs="宋体"/>
                <w:lang w:eastAsia="zh-CN"/>
              </w:rPr>
              <w:t>用户可通过可预测且可靠的使用实现具有临床意义的结局。</w:t>
            </w:r>
          </w:p>
          <w:p w14:paraId="6E01145F">
            <w:pPr>
              <w:pStyle w:val="17"/>
              <w:adjustRightInd w:val="0"/>
              <w:snapToGrid w:val="0"/>
              <w:spacing w:before="120" w:beforeLines="50" w:after="0" w:line="300" w:lineRule="auto"/>
              <w:jc w:val="both"/>
              <w:rPr>
                <w:snapToGrid w:val="0"/>
                <w:lang w:eastAsia="zh-CN"/>
              </w:rPr>
            </w:pPr>
            <w:r>
              <w:rPr>
                <w:rFonts w:eastAsia="宋体" w:cs="宋体"/>
                <w:b/>
                <w:lang w:eastAsia="zh-CN"/>
              </w:rPr>
              <w:t>注：</w:t>
            </w:r>
            <w:r>
              <w:rPr>
                <w:rFonts w:eastAsia="宋体" w:cs="宋体"/>
                <w:lang w:eastAsia="zh-CN"/>
              </w:rPr>
              <w:t>所有SaMD均应证明临床确认。</w:t>
            </w:r>
          </w:p>
        </w:tc>
        <w:tc>
          <w:tcPr>
            <w:tcW w:w="708" w:type="dxa"/>
            <w:tcBorders>
              <w:top w:val="single" w:color="auto" w:sz="4" w:space="0"/>
              <w:left w:val="single" w:color="auto" w:sz="4" w:space="0"/>
              <w:bottom w:val="single" w:color="auto" w:sz="4" w:space="0"/>
            </w:tcBorders>
            <w:shd w:val="clear" w:color="auto" w:fill="FFFFFF"/>
            <w:vAlign w:val="center"/>
          </w:tcPr>
          <w:p w14:paraId="3A7773C1">
            <w:pPr>
              <w:pStyle w:val="17"/>
              <w:adjustRightInd w:val="0"/>
              <w:snapToGrid w:val="0"/>
              <w:spacing w:before="36" w:beforeLines="15" w:after="0" w:line="276" w:lineRule="auto"/>
              <w:jc w:val="both"/>
              <w:rPr>
                <w:snapToGrid w:val="0"/>
                <w:sz w:val="21"/>
                <w:szCs w:val="21"/>
              </w:rPr>
            </w:pPr>
            <w:r>
              <w:rPr>
                <w:rFonts w:ascii="宋体" w:hAnsi="宋体" w:eastAsia="宋体" w:cs="宋体"/>
                <w:lang w:eastAsia="zh-CN" w:bidi="ar-SA"/>
              </w:rPr>
              <w:drawing>
                <wp:inline distT="0" distB="0" distL="0" distR="0">
                  <wp:extent cx="380365" cy="370840"/>
                  <wp:effectExtent l="0" t="0" r="63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6"/>
                          <a:stretch>
                            <a:fillRect/>
                          </a:stretch>
                        </pic:blipFill>
                        <pic:spPr>
                          <a:xfrm>
                            <a:off x="0" y="0"/>
                            <a:ext cx="380952" cy="371429"/>
                          </a:xfrm>
                          <a:prstGeom prst="rect">
                            <a:avLst/>
                          </a:prstGeom>
                        </pic:spPr>
                      </pic:pic>
                    </a:graphicData>
                  </a:graphic>
                </wp:inline>
              </w:drawing>
            </w:r>
          </w:p>
        </w:tc>
        <w:tc>
          <w:tcPr>
            <w:tcW w:w="4183" w:type="dxa"/>
            <w:tcBorders>
              <w:top w:val="single" w:color="auto" w:sz="4" w:space="0"/>
              <w:bottom w:val="single" w:color="auto" w:sz="4" w:space="0"/>
              <w:right w:val="single" w:color="auto" w:sz="4" w:space="0"/>
            </w:tcBorders>
            <w:shd w:val="clear" w:color="auto" w:fill="FFFFFF"/>
            <w:vAlign w:val="center"/>
          </w:tcPr>
          <w:p w14:paraId="13A074AE">
            <w:pPr>
              <w:pStyle w:val="17"/>
              <w:adjustRightInd w:val="0"/>
              <w:snapToGrid w:val="0"/>
              <w:spacing w:before="36" w:beforeLines="15" w:after="0" w:line="276" w:lineRule="auto"/>
              <w:jc w:val="both"/>
              <w:rPr>
                <w:rFonts w:eastAsia="宋体"/>
                <w:snapToGrid w:val="0"/>
                <w:sz w:val="21"/>
                <w:szCs w:val="21"/>
              </w:rPr>
            </w:pPr>
            <w:r>
              <w:rPr>
                <w:rFonts w:eastAsia="宋体" w:cs="宋体"/>
                <w:sz w:val="21"/>
              </w:rPr>
              <w:t>临床确认措施示例</w:t>
            </w:r>
          </w:p>
          <w:p w14:paraId="0DA8E838">
            <w:pPr>
              <w:pStyle w:val="17"/>
              <w:numPr>
                <w:ilvl w:val="0"/>
                <w:numId w:val="10"/>
              </w:numPr>
              <w:tabs>
                <w:tab w:val="left" w:pos="670"/>
              </w:tabs>
              <w:adjustRightInd w:val="0"/>
              <w:snapToGrid w:val="0"/>
              <w:spacing w:before="36" w:beforeLines="15" w:after="0" w:line="276" w:lineRule="auto"/>
              <w:jc w:val="both"/>
              <w:rPr>
                <w:rFonts w:eastAsia="宋体"/>
                <w:snapToGrid w:val="0"/>
                <w:sz w:val="21"/>
                <w:szCs w:val="21"/>
              </w:rPr>
            </w:pPr>
            <w:r>
              <w:rPr>
                <w:rFonts w:eastAsia="宋体" w:cs="宋体"/>
                <w:sz w:val="21"/>
              </w:rPr>
              <w:t>灵敏度</w:t>
            </w:r>
          </w:p>
          <w:p w14:paraId="23E157E1">
            <w:pPr>
              <w:pStyle w:val="17"/>
              <w:numPr>
                <w:ilvl w:val="0"/>
                <w:numId w:val="10"/>
              </w:numPr>
              <w:tabs>
                <w:tab w:val="left" w:pos="670"/>
              </w:tabs>
              <w:adjustRightInd w:val="0"/>
              <w:snapToGrid w:val="0"/>
              <w:spacing w:before="36" w:beforeLines="15" w:after="0" w:line="276" w:lineRule="auto"/>
              <w:jc w:val="both"/>
              <w:rPr>
                <w:rFonts w:eastAsia="宋体"/>
                <w:snapToGrid w:val="0"/>
                <w:sz w:val="21"/>
                <w:szCs w:val="21"/>
              </w:rPr>
            </w:pPr>
            <w:r>
              <w:rPr>
                <w:rFonts w:eastAsia="宋体" w:cs="宋体"/>
                <w:sz w:val="21"/>
              </w:rPr>
              <w:t>特异性</w:t>
            </w:r>
          </w:p>
          <w:p w14:paraId="16F51AAC">
            <w:pPr>
              <w:pStyle w:val="17"/>
              <w:numPr>
                <w:ilvl w:val="0"/>
                <w:numId w:val="10"/>
              </w:numPr>
              <w:tabs>
                <w:tab w:val="left" w:pos="650"/>
              </w:tabs>
              <w:adjustRightInd w:val="0"/>
              <w:snapToGrid w:val="0"/>
              <w:spacing w:before="36" w:beforeLines="15" w:after="0" w:line="276" w:lineRule="auto"/>
              <w:jc w:val="both"/>
              <w:rPr>
                <w:rFonts w:eastAsia="宋体"/>
                <w:snapToGrid w:val="0"/>
                <w:sz w:val="21"/>
                <w:szCs w:val="21"/>
              </w:rPr>
            </w:pPr>
            <w:r>
              <w:rPr>
                <w:rFonts w:eastAsia="宋体" w:cs="宋体"/>
                <w:sz w:val="21"/>
              </w:rPr>
              <w:t>阳性预测值（PPV）</w:t>
            </w:r>
          </w:p>
          <w:p w14:paraId="540CFA58">
            <w:pPr>
              <w:pStyle w:val="17"/>
              <w:numPr>
                <w:ilvl w:val="0"/>
                <w:numId w:val="10"/>
              </w:numPr>
              <w:tabs>
                <w:tab w:val="left" w:pos="646"/>
              </w:tabs>
              <w:adjustRightInd w:val="0"/>
              <w:snapToGrid w:val="0"/>
              <w:spacing w:before="36" w:beforeLines="15" w:after="0" w:line="276" w:lineRule="auto"/>
              <w:jc w:val="both"/>
              <w:rPr>
                <w:rFonts w:eastAsia="宋体"/>
                <w:snapToGrid w:val="0"/>
                <w:sz w:val="21"/>
                <w:szCs w:val="21"/>
              </w:rPr>
            </w:pPr>
            <w:r>
              <w:rPr>
                <w:rFonts w:eastAsia="宋体" w:cs="宋体"/>
                <w:sz w:val="21"/>
              </w:rPr>
              <w:t>阴性预测值（NPV）</w:t>
            </w:r>
          </w:p>
          <w:p w14:paraId="10ECF536">
            <w:pPr>
              <w:pStyle w:val="17"/>
              <w:numPr>
                <w:ilvl w:val="0"/>
                <w:numId w:val="10"/>
              </w:numPr>
              <w:tabs>
                <w:tab w:val="left" w:pos="646"/>
              </w:tabs>
              <w:adjustRightInd w:val="0"/>
              <w:snapToGrid w:val="0"/>
              <w:spacing w:before="36" w:beforeLines="15" w:after="0" w:line="276" w:lineRule="auto"/>
              <w:jc w:val="both"/>
              <w:rPr>
                <w:rFonts w:eastAsia="宋体"/>
                <w:snapToGrid w:val="0"/>
                <w:sz w:val="21"/>
                <w:szCs w:val="21"/>
                <w:lang w:eastAsia="zh-CN"/>
              </w:rPr>
            </w:pPr>
            <w:r>
              <w:rPr>
                <w:rFonts w:eastAsia="宋体" w:cs="宋体"/>
                <w:sz w:val="21"/>
                <w:lang w:eastAsia="zh-CN"/>
              </w:rPr>
              <w:t>需要治疗的病例数（NNT）</w:t>
            </w:r>
          </w:p>
          <w:p w14:paraId="6D87DA07">
            <w:pPr>
              <w:pStyle w:val="17"/>
              <w:numPr>
                <w:ilvl w:val="0"/>
                <w:numId w:val="10"/>
              </w:numPr>
              <w:tabs>
                <w:tab w:val="left" w:pos="646"/>
              </w:tabs>
              <w:adjustRightInd w:val="0"/>
              <w:snapToGrid w:val="0"/>
              <w:spacing w:before="36" w:beforeLines="15" w:after="0" w:line="276" w:lineRule="auto"/>
              <w:jc w:val="both"/>
              <w:rPr>
                <w:rFonts w:eastAsia="宋体"/>
                <w:snapToGrid w:val="0"/>
                <w:sz w:val="21"/>
                <w:szCs w:val="21"/>
                <w:lang w:eastAsia="zh-CN"/>
              </w:rPr>
            </w:pPr>
            <w:r>
              <w:rPr>
                <w:rFonts w:eastAsia="宋体" w:cs="宋体"/>
                <w:sz w:val="21"/>
                <w:lang w:eastAsia="zh-CN"/>
              </w:rPr>
              <w:t>产生较差结局的病例数（NNH）</w:t>
            </w:r>
          </w:p>
          <w:p w14:paraId="0FC42E57">
            <w:pPr>
              <w:pStyle w:val="17"/>
              <w:numPr>
                <w:ilvl w:val="0"/>
                <w:numId w:val="10"/>
              </w:numPr>
              <w:tabs>
                <w:tab w:val="left" w:pos="650"/>
              </w:tabs>
              <w:adjustRightInd w:val="0"/>
              <w:snapToGrid w:val="0"/>
              <w:spacing w:before="36" w:beforeLines="15" w:after="0" w:line="276" w:lineRule="auto"/>
              <w:jc w:val="both"/>
              <w:rPr>
                <w:rFonts w:eastAsia="宋体"/>
                <w:snapToGrid w:val="0"/>
                <w:sz w:val="21"/>
                <w:szCs w:val="21"/>
              </w:rPr>
            </w:pPr>
            <w:r>
              <w:rPr>
                <w:rFonts w:eastAsia="宋体" w:cs="宋体"/>
                <w:sz w:val="21"/>
              </w:rPr>
              <w:t>阴性似然比（LR-）</w:t>
            </w:r>
          </w:p>
          <w:p w14:paraId="74327361">
            <w:pPr>
              <w:pStyle w:val="17"/>
              <w:numPr>
                <w:ilvl w:val="0"/>
                <w:numId w:val="10"/>
              </w:numPr>
              <w:tabs>
                <w:tab w:val="left" w:pos="650"/>
              </w:tabs>
              <w:adjustRightInd w:val="0"/>
              <w:snapToGrid w:val="0"/>
              <w:spacing w:before="36" w:beforeLines="15" w:after="0" w:line="276" w:lineRule="auto"/>
              <w:jc w:val="both"/>
              <w:rPr>
                <w:rFonts w:eastAsia="宋体"/>
                <w:snapToGrid w:val="0"/>
                <w:sz w:val="21"/>
                <w:szCs w:val="21"/>
              </w:rPr>
            </w:pPr>
            <w:r>
              <w:rPr>
                <w:rFonts w:eastAsia="宋体" w:cs="宋体"/>
                <w:sz w:val="21"/>
              </w:rPr>
              <w:t>阳性似然比（LR+）</w:t>
            </w:r>
          </w:p>
          <w:p w14:paraId="4E813DC8">
            <w:pPr>
              <w:pStyle w:val="17"/>
              <w:numPr>
                <w:ilvl w:val="0"/>
                <w:numId w:val="10"/>
              </w:numPr>
              <w:tabs>
                <w:tab w:val="left" w:pos="660"/>
              </w:tabs>
              <w:adjustRightInd w:val="0"/>
              <w:snapToGrid w:val="0"/>
              <w:spacing w:before="36" w:beforeLines="15" w:after="0" w:line="276" w:lineRule="auto"/>
              <w:jc w:val="both"/>
              <w:rPr>
                <w:rFonts w:eastAsia="宋体"/>
                <w:snapToGrid w:val="0"/>
                <w:sz w:val="21"/>
                <w:szCs w:val="21"/>
              </w:rPr>
            </w:pPr>
            <w:r>
              <w:rPr>
                <w:rFonts w:eastAsia="宋体" w:cs="宋体"/>
                <w:sz w:val="21"/>
              </w:rPr>
              <w:t>比值比（OR）</w:t>
            </w:r>
          </w:p>
          <w:p w14:paraId="4F2C1113">
            <w:pPr>
              <w:pStyle w:val="17"/>
              <w:numPr>
                <w:ilvl w:val="0"/>
                <w:numId w:val="10"/>
              </w:numPr>
              <w:tabs>
                <w:tab w:val="left" w:pos="660"/>
              </w:tabs>
              <w:adjustRightInd w:val="0"/>
              <w:snapToGrid w:val="0"/>
              <w:spacing w:before="36" w:beforeLines="15" w:after="0" w:line="276" w:lineRule="auto"/>
              <w:jc w:val="both"/>
              <w:rPr>
                <w:rFonts w:eastAsia="宋体"/>
                <w:snapToGrid w:val="0"/>
                <w:sz w:val="21"/>
                <w:szCs w:val="21"/>
              </w:rPr>
            </w:pPr>
            <w:r>
              <w:rPr>
                <w:rFonts w:eastAsia="宋体" w:cs="宋体"/>
                <w:sz w:val="21"/>
              </w:rPr>
              <w:t>临床可用性/用户界面</w:t>
            </w:r>
          </w:p>
          <w:p w14:paraId="6897E390">
            <w:pPr>
              <w:pStyle w:val="17"/>
              <w:numPr>
                <w:ilvl w:val="0"/>
                <w:numId w:val="10"/>
              </w:numPr>
              <w:tabs>
                <w:tab w:val="left" w:pos="660"/>
              </w:tabs>
              <w:adjustRightInd w:val="0"/>
              <w:snapToGrid w:val="0"/>
              <w:spacing w:before="36" w:beforeLines="15" w:after="0" w:line="276" w:lineRule="auto"/>
              <w:jc w:val="both"/>
              <w:rPr>
                <w:snapToGrid w:val="0"/>
                <w:sz w:val="21"/>
                <w:szCs w:val="21"/>
              </w:rPr>
            </w:pPr>
            <w:r>
              <w:rPr>
                <w:rFonts w:eastAsia="宋体" w:cs="宋体"/>
                <w:sz w:val="21"/>
              </w:rPr>
              <w:t>置信区间</w:t>
            </w:r>
          </w:p>
        </w:tc>
      </w:tr>
    </w:tbl>
    <w:p w14:paraId="320B977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color w:val="FF0000"/>
          <w:lang w:eastAsia="zh-CN"/>
        </w:rPr>
        <w:t>问题：如何“生成证据”？</w:t>
      </w:r>
    </w:p>
    <w:p w14:paraId="01BF04A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可参考针对相同预期用途开展的研究的现有数据源，在开展验证和确认活动期间生成用于验证临床意义的证据，作为质量管理体系或良好软件工程规范的一部分。在可能的情况下，可能需要针对不同的预期用途开展数据参考研究，外推或生成新临床数据。</w:t>
      </w:r>
    </w:p>
    <w:p w14:paraId="182252A3">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7C8F421">
      <w:pPr>
        <w:pStyle w:val="40"/>
        <w:rPr>
          <w:rFonts w:eastAsia="宋体"/>
          <w:lang w:eastAsia="zh-CN"/>
        </w:rPr>
      </w:pPr>
      <w:bookmarkStart w:id="15" w:name="_Toc92183894"/>
      <w:r>
        <w:rPr>
          <w:rFonts w:eastAsia="宋体" w:cs="宋体"/>
          <w:lang w:eastAsia="zh-CN"/>
        </w:rPr>
        <w:t xml:space="preserve">7.1 </w:t>
      </w:r>
      <w:r>
        <w:rPr>
          <w:rFonts w:eastAsia="宋体" w:cs="宋体"/>
          <w:lang w:eastAsia="zh-CN"/>
        </w:rPr>
        <w:tab/>
      </w:r>
      <w:r>
        <w:rPr>
          <w:rFonts w:eastAsia="宋体" w:cs="宋体"/>
          <w:lang w:eastAsia="zh-CN"/>
        </w:rPr>
        <w:t>证据生成和评估考虑因素</w:t>
      </w:r>
      <w:bookmarkEnd w:id="15"/>
    </w:p>
    <w:p w14:paraId="734AA0AE">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能够生成证据证明SaMD的有效临床关联、分析确认和临床确认对于确立SaMD对用户的价值至关重要。给定SaMD所需的证据生成程度将取决于以下参数，包括但不限于：</w:t>
      </w:r>
    </w:p>
    <w:p w14:paraId="11031572">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临床关联证据的成熟度；和</w:t>
      </w:r>
    </w:p>
    <w:p w14:paraId="3E5A6EFC">
      <w:pPr>
        <w:pStyle w:val="37"/>
        <w:numPr>
          <w:ilvl w:val="0"/>
          <w:numId w:val="11"/>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适用于特定SaMD的证据的置信度。</w:t>
      </w:r>
    </w:p>
    <w:p w14:paraId="2E6098B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证据评估的目的是根据其优点和局限性选择信息，旨在证明临床评价证据是高质量的、具有相关性并支持SaMD预期用途。</w:t>
      </w:r>
    </w:p>
    <w:p w14:paraId="4ACF2574">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例如，临床关联评估将SaMD分为：</w:t>
      </w:r>
    </w:p>
    <w:p w14:paraId="07DCBAD8">
      <w:pPr>
        <w:adjustRightInd w:val="0"/>
        <w:snapToGrid w:val="0"/>
        <w:spacing w:before="120" w:beforeLines="50" w:line="300" w:lineRule="auto"/>
        <w:ind w:left="849" w:leftChars="177" w:hanging="424" w:hangingChars="177"/>
        <w:jc w:val="both"/>
        <w:rPr>
          <w:rFonts w:ascii="Times New Roman" w:hAnsi="Times New Roman" w:eastAsia="宋体" w:cs="Times New Roman"/>
          <w:snapToGrid w:val="0"/>
          <w:lang w:eastAsia="zh-CN"/>
        </w:rPr>
      </w:pPr>
      <w:r>
        <w:rPr>
          <w:rFonts w:ascii="Times New Roman" w:hAnsi="Times New Roman" w:eastAsia="宋体" w:cs="宋体"/>
          <w:lang w:eastAsia="zh-CN"/>
        </w:rPr>
        <w:t>a</w:t>
      </w:r>
      <w:r>
        <w:rPr>
          <w:rFonts w:hint="eastAsia" w:ascii="Times New Roman" w:hAnsi="Times New Roman" w:eastAsia="宋体" w:cs="宋体"/>
          <w:lang w:eastAsia="zh-CN"/>
        </w:rPr>
        <w:t>）</w:t>
      </w:r>
      <w:r>
        <w:rPr>
          <w:rFonts w:ascii="Times New Roman" w:hAnsi="Times New Roman" w:eastAsia="宋体" w:cs="宋体"/>
          <w:lang w:eastAsia="zh-CN"/>
        </w:rPr>
        <w:tab/>
      </w:r>
      <w:r>
        <w:rPr>
          <w:rFonts w:ascii="Times New Roman" w:hAnsi="Times New Roman" w:eastAsia="宋体" w:cs="宋体"/>
          <w:b/>
          <w:lang w:eastAsia="zh-CN"/>
        </w:rPr>
        <w:t>完善的临床关联：</w:t>
      </w:r>
      <w:r>
        <w:rPr>
          <w:rFonts w:ascii="Times New Roman" w:hAnsi="Times New Roman" w:eastAsia="宋体" w:cs="宋体"/>
          <w:lang w:eastAsia="zh-CN"/>
        </w:rPr>
        <w:t xml:space="preserve">上述SaMD的输出具有证据充分的关联性，已在如临床指南、同行评审期刊中的临床研究、SaMD使用共识、国际参考资料或涉及先前已上市医疗器械/SaMD的其他类似完善的同等资料等来源中得到确定；或              </w:t>
      </w:r>
    </w:p>
    <w:p w14:paraId="39F8B2EE">
      <w:pPr>
        <w:adjustRightInd w:val="0"/>
        <w:snapToGrid w:val="0"/>
        <w:spacing w:before="120" w:beforeLines="50" w:line="300" w:lineRule="auto"/>
        <w:ind w:left="849" w:leftChars="177" w:hanging="424" w:hangingChars="177"/>
        <w:jc w:val="both"/>
        <w:rPr>
          <w:rFonts w:ascii="Times New Roman" w:hAnsi="Times New Roman" w:eastAsia="宋体" w:cs="Times New Roman"/>
          <w:snapToGrid w:val="0"/>
          <w:lang w:eastAsia="zh-CN"/>
        </w:rPr>
      </w:pPr>
      <w:r>
        <w:rPr>
          <w:rFonts w:ascii="Times New Roman" w:hAnsi="Times New Roman" w:eastAsia="宋体" w:cs="宋体"/>
          <w:lang w:eastAsia="zh-CN"/>
        </w:rPr>
        <w:t>b</w:t>
      </w:r>
      <w:r>
        <w:rPr>
          <w:rFonts w:hint="eastAsia" w:ascii="Times New Roman" w:hAnsi="Times New Roman" w:eastAsia="宋体" w:cs="宋体"/>
          <w:lang w:eastAsia="zh-CN"/>
        </w:rPr>
        <w:t>）</w:t>
      </w:r>
      <w:r>
        <w:rPr>
          <w:rFonts w:ascii="Times New Roman" w:hAnsi="Times New Roman" w:eastAsia="宋体" w:cs="宋体"/>
          <w:lang w:eastAsia="zh-CN"/>
        </w:rPr>
        <w:tab/>
      </w:r>
      <w:r>
        <w:rPr>
          <w:rFonts w:ascii="Times New Roman" w:hAnsi="Times New Roman" w:eastAsia="宋体" w:cs="宋体"/>
          <w:b/>
          <w:lang w:eastAsia="zh-CN"/>
        </w:rPr>
        <w:t>新临床关联：</w:t>
      </w:r>
      <w:r>
        <w:rPr>
          <w:rFonts w:ascii="Times New Roman" w:hAnsi="Times New Roman" w:eastAsia="宋体" w:cs="宋体"/>
          <w:lang w:eastAsia="zh-CN"/>
        </w:rPr>
        <w:t>上述SaMD可能涉及新输入、算法或输出、新预期目标人群或新预期用途。例如，非标准输入（如情绪或花粉计数）与标准输入（如步态、血压或其他生理和环境信号）的组合，采用新算法检测健康恶化的早期发作或进行疾病诊断。</w:t>
      </w:r>
    </w:p>
    <w:p w14:paraId="14F532B9">
      <w:pPr>
        <w:tabs>
          <w:tab w:val="left" w:pos="5938"/>
        </w:tabs>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color w:val="FF0000"/>
          <w:lang w:eastAsia="zh-CN"/>
        </w:rPr>
        <w:t>如果无法提供证据证明</w:t>
      </w:r>
      <w:r>
        <w:rPr>
          <w:rFonts w:hint="eastAsia" w:ascii="宋体" w:hAnsi="宋体" w:eastAsia="宋体" w:cs="宋体"/>
          <w:b/>
          <w:color w:val="FF0000"/>
          <w:lang w:eastAsia="zh-CN"/>
        </w:rPr>
        <w:t>①</w:t>
      </w:r>
      <w:r>
        <w:rPr>
          <w:rFonts w:ascii="Times New Roman" w:hAnsi="Times New Roman" w:eastAsia="宋体" w:cs="宋体"/>
          <w:b/>
          <w:color w:val="FF0000"/>
          <w:lang w:eastAsia="zh-CN"/>
        </w:rPr>
        <w:t>、</w:t>
      </w:r>
      <w:r>
        <w:rPr>
          <w:rFonts w:hint="eastAsia" w:ascii="宋体" w:hAnsi="宋体" w:eastAsia="宋体" w:cs="宋体"/>
          <w:b/>
          <w:color w:val="FF0000"/>
          <w:lang w:eastAsia="zh-CN"/>
        </w:rPr>
        <w:t>②</w:t>
      </w:r>
      <w:r>
        <w:rPr>
          <w:rFonts w:ascii="Times New Roman" w:hAnsi="Times New Roman" w:eastAsia="宋体" w:cs="宋体"/>
          <w:b/>
          <w:color w:val="FF0000"/>
          <w:lang w:eastAsia="zh-CN"/>
        </w:rPr>
        <w:t>或</w:t>
      </w:r>
      <w:r>
        <w:rPr>
          <w:rFonts w:hint="eastAsia" w:ascii="宋体" w:hAnsi="宋体" w:eastAsia="宋体" w:cs="宋体"/>
          <w:b/>
          <w:color w:val="FF0000"/>
          <w:lang w:eastAsia="zh-CN"/>
        </w:rPr>
        <w:t>③</w:t>
      </w:r>
      <w:r>
        <w:rPr>
          <w:rFonts w:ascii="Times New Roman" w:hAnsi="Times New Roman" w:eastAsia="宋体" w:cs="宋体"/>
          <w:b/>
          <w:color w:val="FF0000"/>
          <w:lang w:eastAsia="zh-CN"/>
        </w:rPr>
        <w:t>怎么办？</w:t>
      </w:r>
    </w:p>
    <w:p w14:paraId="1DA7AA04">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执行持续的数据分析</w:t>
      </w:r>
    </w:p>
    <w:p w14:paraId="443227E1">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将预期用途更改为有现有证据支持的用途</w:t>
      </w:r>
    </w:p>
    <w:p w14:paraId="5330C711">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修改目标临床关联</w:t>
      </w:r>
    </w:p>
    <w:p w14:paraId="1151B956">
      <w:pPr>
        <w:pStyle w:val="37"/>
        <w:numPr>
          <w:ilvl w:val="0"/>
          <w:numId w:val="12"/>
        </w:numPr>
        <w:adjustRightInd w:val="0"/>
        <w:snapToGrid w:val="0"/>
        <w:spacing w:before="120" w:beforeLines="50" w:line="300" w:lineRule="auto"/>
        <w:ind w:left="851" w:firstLineChars="0"/>
        <w:jc w:val="both"/>
        <w:rPr>
          <w:rFonts w:ascii="Times New Roman" w:hAnsi="Times New Roman" w:eastAsia="宋体" w:cs="Times New Roman"/>
          <w:snapToGrid w:val="0"/>
        </w:rPr>
      </w:pPr>
      <w:r>
        <w:rPr>
          <w:rFonts w:ascii="Times New Roman" w:hAnsi="Times New Roman" w:eastAsia="宋体" w:cs="宋体"/>
        </w:rPr>
        <w:t>对软件进行更改</w:t>
      </w:r>
    </w:p>
    <w:p w14:paraId="073FC9C6">
      <w:pPr>
        <w:pStyle w:val="21"/>
        <w:adjustRightInd w:val="0"/>
        <w:snapToGrid w:val="0"/>
        <w:spacing w:before="120" w:beforeLines="50" w:line="300" w:lineRule="auto"/>
        <w:jc w:val="both"/>
        <w:rPr>
          <w:rFonts w:eastAsia="宋体"/>
          <w:snapToGrid w:val="0"/>
          <w:sz w:val="24"/>
          <w:szCs w:val="24"/>
          <w:lang w:eastAsia="zh-CN"/>
        </w:rPr>
      </w:pPr>
    </w:p>
    <w:p w14:paraId="352C66E1">
      <w:pPr>
        <w:rPr>
          <w:rFonts w:ascii="Times New Roman" w:hAnsi="Times New Roman" w:eastAsia="宋体" w:cs="Times New Roman"/>
          <w:snapToGrid w:val="0"/>
          <w:lang w:eastAsia="zh-CN"/>
        </w:rPr>
      </w:pPr>
      <w:r>
        <w:rPr>
          <w:rFonts w:ascii="Times New Roman" w:hAnsi="Times New Roman" w:eastAsia="宋体" w:cs="宋体"/>
        </w:rPr>
        <w:br w:type="page"/>
      </w:r>
    </w:p>
    <w:p w14:paraId="03739730">
      <w:pPr>
        <w:pStyle w:val="36"/>
        <w:rPr>
          <w:rFonts w:eastAsia="宋体"/>
          <w:lang w:eastAsia="zh-CN"/>
        </w:rPr>
      </w:pPr>
      <w:bookmarkStart w:id="16" w:name="_Toc92183895"/>
      <w:r>
        <w:rPr>
          <w:rFonts w:eastAsia="宋体" w:cs="宋体"/>
          <w:lang w:eastAsia="zh-CN"/>
        </w:rPr>
        <w:t>8.0 独立审查SaMD临床评价的重要性</w:t>
      </w:r>
      <w:bookmarkEnd w:id="16"/>
    </w:p>
    <w:p w14:paraId="047BD0E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SaMD类别基于对患者或公共健康的影响程度，SaMD提供的准确信息对于治疗或诊断、推动临床管理或告知临床管理非常重要。有关SaMD分类的更多信息，请参见</w:t>
      </w:r>
      <w:r>
        <w:fldChar w:fldCharType="begin"/>
      </w:r>
      <w:r>
        <w:instrText xml:space="preserve"> HYPERLINK "http://www.imdrf.org/docs/imdrf/final/technical/imdrf-tech-140918-samd-framework-risk-categorization-141013.pdf" </w:instrText>
      </w:r>
      <w:r>
        <w:fldChar w:fldCharType="separate"/>
      </w:r>
      <w:r>
        <w:rPr>
          <w:rFonts w:ascii="Times New Roman" w:hAnsi="Times New Roman" w:eastAsia="宋体" w:cs="宋体"/>
          <w:snapToGrid w:val="0"/>
          <w:lang w:eastAsia="zh-CN"/>
        </w:rPr>
        <w:t>SaMD N12</w:t>
      </w:r>
      <w:r>
        <w:rPr>
          <w:rFonts w:ascii="Times New Roman" w:hAnsi="Times New Roman" w:eastAsia="宋体" w:cs="宋体"/>
          <w:snapToGrid w:val="0"/>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7.0节。作为基于风险的方法的一部分，依据各个管辖区的法律，是否对某些低风险SaMD的临床证据进行独立审查可能不太重要，制造商可“自行声明”证据的适当性。同样，依据各个管辖区的法律，是否对更高风险SaMD的临床证据进行独立审查对于向用户提供SaMD性能指标的置信度更为重要，包括但不限于识别设计错误或限制、拓宽技术能力、测试假设的适当性和偏倚管理。</w:t>
      </w:r>
    </w:p>
    <w:p w14:paraId="1D0AC85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独立审查的建议强调，SaMD临床评价生成的证据应由满足以下条件的人员进行审查：未积极参与SaMD的开发、未从SaMD中获益、可客观评估SaMD的预期目的以及与整体临床评价证据的一致性。临床评价水平和独立审查的重要性应与SaMD所构成的风险相称。本文件针对独立审查更重要或不太重要的情况提出了建议。</w:t>
      </w:r>
    </w:p>
    <w:p w14:paraId="41B3E2C8">
      <w:pPr>
        <w:pStyle w:val="32"/>
        <w:adjustRightInd w:val="0"/>
        <w:snapToGrid w:val="0"/>
        <w:spacing w:before="120" w:beforeLines="50" w:line="300" w:lineRule="auto"/>
        <w:jc w:val="center"/>
        <w:rPr>
          <w:rFonts w:eastAsia="宋体"/>
          <w:b w:val="0"/>
          <w:bCs w:val="0"/>
          <w:snapToGrid w:val="0"/>
          <w:color w:val="152943"/>
          <w:sz w:val="24"/>
          <w:szCs w:val="24"/>
          <w:lang w:eastAsia="zh-CN"/>
        </w:rPr>
      </w:pPr>
      <w:r>
        <w:rPr>
          <w:lang w:eastAsia="zh-CN" w:bidi="ar-SA"/>
        </w:rPr>
        <mc:AlternateContent>
          <mc:Choice Requires="wpg">
            <w:drawing>
              <wp:anchor distT="0" distB="0" distL="114300" distR="114300" simplePos="0" relativeHeight="251664384" behindDoc="0" locked="0" layoutInCell="1" allowOverlap="1">
                <wp:simplePos x="0" y="0"/>
                <wp:positionH relativeFrom="column">
                  <wp:posOffset>128270</wp:posOffset>
                </wp:positionH>
                <wp:positionV relativeFrom="paragraph">
                  <wp:posOffset>91440</wp:posOffset>
                </wp:positionV>
                <wp:extent cx="5351780" cy="2707005"/>
                <wp:effectExtent l="0" t="0" r="1905" b="0"/>
                <wp:wrapNone/>
                <wp:docPr id="173" name="组合 173"/>
                <wp:cNvGraphicFramePr/>
                <a:graphic xmlns:a="http://schemas.openxmlformats.org/drawingml/2006/main">
                  <a:graphicData uri="http://schemas.microsoft.com/office/word/2010/wordprocessingGroup">
                    <wpg:wgp>
                      <wpg:cNvGrpSpPr/>
                      <wpg:grpSpPr>
                        <a:xfrm>
                          <a:off x="0" y="0"/>
                          <a:ext cx="5351529" cy="2706781"/>
                          <a:chOff x="0" y="0"/>
                          <a:chExt cx="5351529" cy="2706781"/>
                        </a:xfrm>
                      </wpg:grpSpPr>
                      <wps:wsp>
                        <wps:cNvPr id="143" name="文本框 143"/>
                        <wps:cNvSpPr txBox="1"/>
                        <wps:spPr>
                          <a:xfrm>
                            <a:off x="465765" y="53788"/>
                            <a:ext cx="815788" cy="1434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AED33">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wps:txbx>
                        <wps:bodyPr rot="0" spcFirstLastPara="0" vertOverflow="overflow" horzOverflow="overflow" vert="horz" wrap="square" lIns="0" tIns="0" rIns="0" bIns="0" numCol="1" spcCol="0" rtlCol="0" fromWordArt="0" anchor="ctr" anchorCtr="0" forceAA="0" compatLnSpc="1">
                          <a:noAutofit/>
                        </wps:bodyPr>
                      </wps:wsp>
                      <wps:wsp>
                        <wps:cNvPr id="144" name="文本框 144"/>
                        <wps:cNvSpPr txBox="1"/>
                        <wps:spPr>
                          <a:xfrm>
                            <a:off x="4688141" y="44823"/>
                            <a:ext cx="663388" cy="14287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B296A">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wps:txbx>
                        <wps:bodyPr rot="0" spcFirstLastPara="0" vertOverflow="overflow" horzOverflow="overflow" vert="horz" wrap="square" lIns="0" tIns="0" rIns="0" bIns="0" numCol="1" spcCol="0" rtlCol="0" fromWordArt="0" anchor="ctr" anchorCtr="0" forceAA="0" compatLnSpc="1">
                          <a:noAutofit/>
                        </wps:bodyPr>
                      </wps:wsp>
                      <wps:wsp>
                        <wps:cNvPr id="145" name="文本框 145"/>
                        <wps:cNvSpPr txBox="1"/>
                        <wps:spPr>
                          <a:xfrm>
                            <a:off x="2446965" y="0"/>
                            <a:ext cx="1631576"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9A640">
                              <w:pPr>
                                <w:jc w:val="center"/>
                                <w:rPr>
                                  <w:rFonts w:ascii="Times New Roman" w:hAnsi="Times New Roman" w:eastAsia="宋体" w:cs="Times New Roman"/>
                                  <w:i/>
                                  <w:color w:val="C00000"/>
                                  <w:sz w:val="13"/>
                                  <w:szCs w:val="13"/>
                                </w:rPr>
                              </w:pPr>
                              <w:r>
                                <w:rPr>
                                  <w:rFonts w:ascii="Times New Roman" w:hAnsi="Times New Roman" w:eastAsia="宋体" w:cs="宋体"/>
                                  <w:b/>
                                  <w:color w:val="C00000"/>
                                  <w:sz w:val="12"/>
                                </w:rPr>
                                <w:t>独立审查</w:t>
                              </w:r>
                            </w:p>
                          </w:txbxContent>
                        </wps:txbx>
                        <wps:bodyPr rot="0" spcFirstLastPara="0" vertOverflow="overflow" horzOverflow="overflow" vert="horz" wrap="square" lIns="0" tIns="0" rIns="0" bIns="0" numCol="1" spcCol="0" rtlCol="0" fromWordArt="0" anchor="ctr" anchorCtr="0" forceAA="0" compatLnSpc="1">
                          <a:noAutofit/>
                        </wps:bodyPr>
                      </wps:wsp>
                      <wps:wsp>
                        <wps:cNvPr id="146" name="文本框 146"/>
                        <wps:cNvSpPr txBox="1"/>
                        <wps:spPr>
                          <a:xfrm>
                            <a:off x="1774612" y="161365"/>
                            <a:ext cx="10757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49E95">
                              <w:pPr>
                                <w:jc w:val="center"/>
                                <w:rPr>
                                  <w:rFonts w:ascii="Times New Roman" w:hAnsi="Times New Roman" w:eastAsia="宋体" w:cs="Times New Roman"/>
                                  <w:i/>
                                  <w:color w:val="auto"/>
                                  <w:sz w:val="13"/>
                                  <w:szCs w:val="13"/>
                                </w:rPr>
                              </w:pPr>
                              <w:r>
                                <w:rPr>
                                  <w:rFonts w:ascii="Times New Roman" w:hAnsi="Times New Roman" w:eastAsia="宋体" w:cs="宋体"/>
                                  <w:b/>
                                  <w:sz w:val="12"/>
                                </w:rPr>
                                <w:t>不太重要</w:t>
                              </w:r>
                            </w:p>
                          </w:txbxContent>
                        </wps:txbx>
                        <wps:bodyPr rot="0" spcFirstLastPara="0" vertOverflow="overflow" horzOverflow="overflow" vert="horz" wrap="square" lIns="0" tIns="0" rIns="0" bIns="0" numCol="1" spcCol="0" rtlCol="0" fromWordArt="0" anchor="ctr" anchorCtr="0" forceAA="0" compatLnSpc="1">
                          <a:noAutofit/>
                        </wps:bodyPr>
                      </wps:wsp>
                      <wps:wsp>
                        <wps:cNvPr id="147" name="文本框 147"/>
                        <wps:cNvSpPr txBox="1"/>
                        <wps:spPr>
                          <a:xfrm>
                            <a:off x="3379294" y="152400"/>
                            <a:ext cx="107569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9B5A5">
                              <w:pPr>
                                <w:jc w:val="center"/>
                                <w:rPr>
                                  <w:rFonts w:ascii="Times New Roman" w:hAnsi="Times New Roman" w:eastAsia="宋体" w:cs="Times New Roman"/>
                                  <w:i/>
                                  <w:color w:val="auto"/>
                                  <w:sz w:val="13"/>
                                  <w:szCs w:val="13"/>
                                </w:rPr>
                              </w:pPr>
                              <w:r>
                                <w:rPr>
                                  <w:rFonts w:ascii="Times New Roman" w:hAnsi="Times New Roman" w:eastAsia="宋体" w:cs="宋体"/>
                                  <w:b/>
                                  <w:sz w:val="12"/>
                                </w:rPr>
                                <w:t>更重要</w:t>
                              </w:r>
                            </w:p>
                          </w:txbxContent>
                        </wps:txbx>
                        <wps:bodyPr rot="0" spcFirstLastPara="0" vertOverflow="overflow" horzOverflow="overflow" vert="horz" wrap="square" lIns="0" tIns="0" rIns="0" bIns="0" numCol="1" spcCol="0" rtlCol="0" fromWordArt="0" anchor="ctr" anchorCtr="0" forceAA="0" compatLnSpc="1">
                          <a:noAutofit/>
                        </wps:bodyPr>
                      </wps:wsp>
                      <wps:wsp>
                        <wps:cNvPr id="148" name="文本框 148"/>
                        <wps:cNvSpPr txBox="1"/>
                        <wps:spPr>
                          <a:xfrm>
                            <a:off x="1433953" y="1407459"/>
                            <a:ext cx="4840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021EB">
                              <w:pPr>
                                <w:rPr>
                                  <w:rFonts w:ascii="Times New Roman" w:hAnsi="Times New Roman" w:eastAsia="宋体" w:cs="Times New Roman"/>
                                  <w:i/>
                                  <w:color w:val="auto"/>
                                  <w:sz w:val="13"/>
                                  <w:szCs w:val="13"/>
                                </w:rPr>
                              </w:pPr>
                              <w:r>
                                <w:rPr>
                                  <w:rFonts w:ascii="Times New Roman" w:hAnsi="Times New Roman" w:eastAsia="宋体" w:cs="宋体"/>
                                  <w:sz w:val="12"/>
                                </w:rPr>
                                <w:t xml:space="preserve"> 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49" name="文本框 149"/>
                        <wps:cNvSpPr txBox="1"/>
                        <wps:spPr>
                          <a:xfrm>
                            <a:off x="2500753" y="851647"/>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75325">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50" name="文本框 150"/>
                        <wps:cNvSpPr txBox="1"/>
                        <wps:spPr>
                          <a:xfrm>
                            <a:off x="3594447" y="4661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CF14A">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51" name="文本框 151"/>
                        <wps:cNvSpPr txBox="1"/>
                        <wps:spPr>
                          <a:xfrm>
                            <a:off x="4123365" y="277906"/>
                            <a:ext cx="54000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5AB19D">
                              <w:pPr>
                                <w:rPr>
                                  <w:rFonts w:ascii="Times New Roman" w:hAnsi="Times New Roman" w:eastAsia="宋体" w:cs="Times New Roman"/>
                                  <w:i/>
                                  <w:color w:val="auto"/>
                                  <w:sz w:val="13"/>
                                  <w:szCs w:val="13"/>
                                  <w:lang w:eastAsia="zh-CN"/>
                                </w:rPr>
                              </w:pPr>
                              <w:r>
                                <w:rPr>
                                  <w:rFonts w:ascii="Times New Roman" w:hAnsi="Times New Roman" w:eastAsia="宋体" w:cs="宋体"/>
                                  <w:sz w:val="12"/>
                                </w:rPr>
                                <w:t>IV类</w:t>
                              </w:r>
                            </w:p>
                          </w:txbxContent>
                        </wps:txbx>
                        <wps:bodyPr rot="0" spcFirstLastPara="0" vertOverflow="overflow" horzOverflow="overflow" vert="horz" wrap="square" lIns="0" tIns="0" rIns="0" bIns="0" numCol="1" spcCol="0" rtlCol="0" fromWordArt="0" anchor="ctr" anchorCtr="0" forceAA="0" compatLnSpc="1">
                          <a:noAutofit/>
                        </wps:bodyPr>
                      </wps:wsp>
                      <wps:wsp>
                        <wps:cNvPr id="152" name="文本框 152"/>
                        <wps:cNvSpPr txBox="1"/>
                        <wps:spPr>
                          <a:xfrm>
                            <a:off x="4759859" y="717176"/>
                            <a:ext cx="539750" cy="833158"/>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73DF1">
                              <w:pPr>
                                <w:jc w:val="center"/>
                                <w:rPr>
                                  <w:rFonts w:ascii="Times New Roman" w:hAnsi="Times New Roman" w:eastAsia="宋体" w:cs="Times New Roman"/>
                                  <w:i/>
                                  <w:color w:val="auto"/>
                                  <w:sz w:val="13"/>
                                  <w:szCs w:val="13"/>
                                  <w:lang w:eastAsia="zh-CN"/>
                                </w:rPr>
                              </w:pPr>
                              <w:r>
                                <w:rPr>
                                  <w:rFonts w:ascii="Times New Roman" w:hAnsi="Times New Roman" w:eastAsia="宋体" w:cs="宋体"/>
                                  <w:sz w:val="12"/>
                                  <w:lang w:eastAsia="zh-CN"/>
                                </w:rPr>
                                <w:t>（医疗器械的一部分/嵌入医疗器械）</w:t>
                              </w:r>
                            </w:p>
                          </w:txbxContent>
                        </wps:txbx>
                        <wps:bodyPr rot="0" spcFirstLastPara="0" vertOverflow="overflow" horzOverflow="overflow" vert="horz" wrap="square" lIns="0" tIns="0" rIns="0" bIns="0" numCol="1" spcCol="0" rtlCol="0" fromWordArt="0" anchor="ctr" anchorCtr="0" forceAA="0" compatLnSpc="1">
                          <a:noAutofit/>
                        </wps:bodyPr>
                      </wps:wsp>
                      <wps:wsp>
                        <wps:cNvPr id="153" name="文本框 153"/>
                        <wps:cNvSpPr txBox="1"/>
                        <wps:spPr>
                          <a:xfrm>
                            <a:off x="376118" y="2133040"/>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A777B">
                              <w:pPr>
                                <w:jc w:val="center"/>
                                <w:rPr>
                                  <w:rFonts w:ascii="Times New Roman" w:hAnsi="Times New Roman" w:eastAsia="宋体" w:cs="Times New Roman"/>
                                  <w:i/>
                                  <w:color w:val="auto"/>
                                  <w:sz w:val="10"/>
                                  <w:szCs w:val="10"/>
                                </w:rPr>
                              </w:pPr>
                              <w:r>
                                <w:rPr>
                                  <w:rFonts w:ascii="Times New Roman" w:hAnsi="Times New Roman" w:eastAsia="宋体" w:cs="宋体"/>
                                  <w:sz w:val="10"/>
                                </w:rPr>
                                <w:t>检索信息</w:t>
                              </w:r>
                            </w:p>
                          </w:txbxContent>
                        </wps:txbx>
                        <wps:bodyPr rot="0" spcFirstLastPara="0" vertOverflow="overflow" horzOverflow="overflow" vert="horz" wrap="square" lIns="0" tIns="0" rIns="0" bIns="0" numCol="1" spcCol="0" rtlCol="0" fromWordArt="0" anchor="ctr" anchorCtr="0" forceAA="0" compatLnSpc="1">
                          <a:noAutofit/>
                        </wps:bodyPr>
                      </wps:wsp>
                      <wps:wsp>
                        <wps:cNvPr id="154" name="文本框 154"/>
                        <wps:cNvSpPr txBox="1"/>
                        <wps:spPr>
                          <a:xfrm>
                            <a:off x="3889722" y="2133040"/>
                            <a:ext cx="394447" cy="2151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59534">
                              <w:pPr>
                                <w:jc w:val="center"/>
                                <w:rPr>
                                  <w:rFonts w:ascii="Times New Roman" w:hAnsi="Times New Roman" w:eastAsia="宋体" w:cs="Times New Roman"/>
                                  <w:i/>
                                  <w:color w:val="auto"/>
                                  <w:sz w:val="10"/>
                                  <w:szCs w:val="10"/>
                                </w:rPr>
                              </w:pPr>
                              <w:r>
                                <w:rPr>
                                  <w:rFonts w:ascii="Times New Roman" w:hAnsi="Times New Roman" w:eastAsia="宋体" w:cs="宋体"/>
                                  <w:sz w:val="10"/>
                                </w:rPr>
                                <w:t>治疗/诊断：严重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55" name="文本框 155"/>
                        <wps:cNvSpPr txBox="1"/>
                        <wps:spPr>
                          <a:xfrm>
                            <a:off x="3235859" y="2142565"/>
                            <a:ext cx="349623"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839FE">
                              <w:pPr>
                                <w:jc w:val="center"/>
                                <w:rPr>
                                  <w:rFonts w:ascii="Times New Roman" w:hAnsi="Times New Roman" w:eastAsia="宋体" w:cs="Times New Roman"/>
                                  <w:i/>
                                  <w:color w:val="auto"/>
                                  <w:sz w:val="10"/>
                                  <w:szCs w:val="10"/>
                                </w:rPr>
                              </w:pPr>
                              <w:r>
                                <w:rPr>
                                  <w:rFonts w:ascii="Times New Roman" w:hAnsi="Times New Roman" w:eastAsia="宋体" w:cs="宋体"/>
                                  <w:sz w:val="10"/>
                                </w:rPr>
                                <w:t>推动：严重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56" name="文本框 156"/>
                        <wps:cNvSpPr txBox="1"/>
                        <wps:spPr>
                          <a:xfrm>
                            <a:off x="2500753" y="2142565"/>
                            <a:ext cx="358514" cy="1613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8972A">
                              <w:pPr>
                                <w:jc w:val="center"/>
                                <w:rPr>
                                  <w:rFonts w:ascii="Times New Roman" w:hAnsi="Times New Roman" w:eastAsia="宋体" w:cs="Times New Roman"/>
                                  <w:i/>
                                  <w:color w:val="auto"/>
                                  <w:sz w:val="10"/>
                                  <w:szCs w:val="10"/>
                                </w:rPr>
                              </w:pPr>
                              <w:r>
                                <w:rPr>
                                  <w:rFonts w:ascii="Times New Roman" w:hAnsi="Times New Roman" w:eastAsia="宋体" w:cs="宋体"/>
                                  <w:sz w:val="10"/>
                                </w:rPr>
                                <w:t>告知：危急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157" name="文本框 157"/>
                        <wps:cNvSpPr txBox="1"/>
                        <wps:spPr>
                          <a:xfrm>
                            <a:off x="1819435" y="2142565"/>
                            <a:ext cx="295836" cy="15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ADF8E">
                              <w:pPr>
                                <w:jc w:val="center"/>
                                <w:rPr>
                                  <w:rFonts w:ascii="Times New Roman" w:hAnsi="Times New Roman" w:eastAsia="宋体" w:cs="Times New Roman"/>
                                  <w:i/>
                                  <w:color w:val="auto"/>
                                  <w:sz w:val="10"/>
                                  <w:szCs w:val="10"/>
                                </w:rPr>
                              </w:pPr>
                              <w:r>
                                <w:rPr>
                                  <w:rFonts w:ascii="Times New Roman" w:hAnsi="Times New Roman" w:eastAsia="宋体" w:cs="宋体"/>
                                  <w:sz w:val="10"/>
                                </w:rPr>
                                <w:t>告知：严重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58" name="文本框 158"/>
                        <wps:cNvSpPr txBox="1"/>
                        <wps:spPr>
                          <a:xfrm>
                            <a:off x="1003647" y="2133040"/>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D6F0F">
                              <w:pPr>
                                <w:jc w:val="center"/>
                                <w:rPr>
                                  <w:rFonts w:ascii="Times New Roman" w:hAnsi="Times New Roman" w:eastAsia="宋体" w:cs="Times New Roman"/>
                                  <w:i/>
                                  <w:color w:val="auto"/>
                                  <w:sz w:val="10"/>
                                  <w:szCs w:val="10"/>
                                </w:rPr>
                              </w:pPr>
                              <w:r>
                                <w:rPr>
                                  <w:rFonts w:ascii="Times New Roman" w:hAnsi="Times New Roman" w:eastAsia="宋体" w:cs="宋体"/>
                                  <w:sz w:val="10"/>
                                </w:rPr>
                                <w:t>优化过程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159" name="文本框 159"/>
                        <wps:cNvSpPr txBox="1"/>
                        <wps:spPr>
                          <a:xfrm>
                            <a:off x="4768824" y="2133040"/>
                            <a:ext cx="530785" cy="2958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92AB5">
                              <w:pPr>
                                <w:jc w:val="center"/>
                                <w:rPr>
                                  <w:rFonts w:ascii="Times New Roman" w:hAnsi="Times New Roman" w:eastAsia="宋体" w:cs="Times New Roman"/>
                                  <w:i/>
                                  <w:color w:val="auto"/>
                                  <w:sz w:val="10"/>
                                  <w:szCs w:val="10"/>
                                </w:rPr>
                              </w:pPr>
                              <w:r>
                                <w:rPr>
                                  <w:rFonts w:ascii="Times New Roman" w:hAnsi="Times New Roman" w:eastAsia="宋体" w:cs="宋体"/>
                                  <w:sz w:val="10"/>
                                </w:rPr>
                                <w:t>闭环干预非临床的媒介</w:t>
                              </w:r>
                            </w:p>
                          </w:txbxContent>
                        </wps:txbx>
                        <wps:bodyPr rot="0" spcFirstLastPara="0" vertOverflow="overflow" horzOverflow="overflow" vert="horz" wrap="square" lIns="0" tIns="0" rIns="0" bIns="0" numCol="1" spcCol="0" rtlCol="0" fromWordArt="0" anchor="ctr" anchorCtr="0" forceAA="0" compatLnSpc="1">
                          <a:noAutofit/>
                        </wps:bodyPr>
                      </wps:wsp>
                      <wps:wsp>
                        <wps:cNvPr id="160" name="文本框 160"/>
                        <wps:cNvSpPr txBox="1"/>
                        <wps:spPr>
                          <a:xfrm>
                            <a:off x="698847" y="2312894"/>
                            <a:ext cx="385482" cy="1344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B9D1A">
                              <w:pPr>
                                <w:jc w:val="center"/>
                                <w:rPr>
                                  <w:rFonts w:ascii="Times New Roman" w:hAnsi="Times New Roman" w:eastAsia="宋体" w:cs="Times New Roman"/>
                                  <w:i/>
                                  <w:color w:val="auto"/>
                                  <w:sz w:val="10"/>
                                  <w:szCs w:val="10"/>
                                </w:rPr>
                              </w:pPr>
                              <w:r>
                                <w:rPr>
                                  <w:rFonts w:ascii="Times New Roman" w:hAnsi="Times New Roman" w:eastAsia="宋体" w:cs="宋体"/>
                                  <w:sz w:val="10"/>
                                </w:rPr>
                                <w:t>组织数据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161" name="文本框 161"/>
                        <wps:cNvSpPr txBox="1"/>
                        <wps:spPr>
                          <a:xfrm>
                            <a:off x="1460847"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9C450">
                              <w:pPr>
                                <w:jc w:val="center"/>
                                <w:rPr>
                                  <w:rFonts w:ascii="Times New Roman" w:hAnsi="Times New Roman" w:eastAsia="宋体" w:cs="Times New Roman"/>
                                  <w:i/>
                                  <w:color w:val="auto"/>
                                  <w:sz w:val="10"/>
                                  <w:szCs w:val="10"/>
                                </w:rPr>
                              </w:pPr>
                              <w:r>
                                <w:rPr>
                                  <w:rFonts w:ascii="Times New Roman" w:hAnsi="Times New Roman" w:eastAsia="宋体" w:cs="宋体"/>
                                  <w:sz w:val="10"/>
                                </w:rPr>
                                <w:t>告知：非严重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62" name="文本框 162"/>
                        <wps:cNvSpPr txBox="1"/>
                        <wps:spPr>
                          <a:xfrm>
                            <a:off x="2025624"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BE411">
                              <w:pPr>
                                <w:jc w:val="center"/>
                                <w:rPr>
                                  <w:rFonts w:ascii="Times New Roman" w:hAnsi="Times New Roman" w:eastAsia="宋体" w:cs="Times New Roman"/>
                                  <w:i/>
                                  <w:color w:val="auto"/>
                                  <w:sz w:val="10"/>
                                  <w:szCs w:val="10"/>
                                </w:rPr>
                              </w:pPr>
                              <w:r>
                                <w:rPr>
                                  <w:rFonts w:ascii="Times New Roman" w:hAnsi="Times New Roman" w:eastAsia="宋体" w:cs="宋体"/>
                                  <w:sz w:val="10"/>
                                </w:rPr>
                                <w:t>推动：非严重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63" name="文本框 163"/>
                        <wps:cNvSpPr txBox="1"/>
                        <wps:spPr>
                          <a:xfrm>
                            <a:off x="3584968" y="2312191"/>
                            <a:ext cx="367907" cy="2154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BF139">
                              <w:pPr>
                                <w:jc w:val="center"/>
                                <w:rPr>
                                  <w:rFonts w:ascii="Times New Roman" w:hAnsi="Times New Roman" w:eastAsia="宋体" w:cs="Times New Roman"/>
                                  <w:i/>
                                  <w:color w:val="auto"/>
                                  <w:sz w:val="10"/>
                                  <w:szCs w:val="10"/>
                                </w:rPr>
                              </w:pPr>
                              <w:r>
                                <w:rPr>
                                  <w:rFonts w:ascii="Times New Roman" w:hAnsi="Times New Roman" w:eastAsia="宋体" w:cs="宋体"/>
                                  <w:sz w:val="10"/>
                                </w:rPr>
                                <w:t>推动：危急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164" name="文本框 164"/>
                        <wps:cNvSpPr txBox="1"/>
                        <wps:spPr>
                          <a:xfrm>
                            <a:off x="2814518" y="2286000"/>
                            <a:ext cx="483870" cy="24204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75067">
                              <w:pPr>
                                <w:ind w:left="60" w:leftChars="25" w:right="60" w:rightChars="25"/>
                                <w:jc w:val="center"/>
                                <w:rPr>
                                  <w:rFonts w:ascii="Times New Roman" w:hAnsi="Times New Roman" w:eastAsia="宋体" w:cs="Times New Roman"/>
                                  <w:i/>
                                  <w:color w:val="auto"/>
                                  <w:sz w:val="10"/>
                                  <w:szCs w:val="10"/>
                                </w:rPr>
                              </w:pPr>
                              <w:r>
                                <w:rPr>
                                  <w:rFonts w:ascii="Times New Roman" w:hAnsi="Times New Roman" w:eastAsia="宋体" w:cs="宋体"/>
                                  <w:sz w:val="10"/>
                                </w:rPr>
                                <w:t>治疗/诊断：非严重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65" name="文本框 165"/>
                        <wps:cNvSpPr txBox="1"/>
                        <wps:spPr>
                          <a:xfrm>
                            <a:off x="4257835" y="2286000"/>
                            <a:ext cx="448235" cy="2146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00FFE">
                              <w:pPr>
                                <w:ind w:left="60" w:leftChars="25" w:right="60" w:rightChars="25"/>
                                <w:jc w:val="center"/>
                                <w:rPr>
                                  <w:rFonts w:ascii="Times New Roman" w:hAnsi="Times New Roman" w:eastAsia="宋体" w:cs="Times New Roman"/>
                                  <w:i/>
                                  <w:color w:val="auto"/>
                                  <w:sz w:val="10"/>
                                  <w:szCs w:val="10"/>
                                </w:rPr>
                              </w:pPr>
                              <w:r>
                                <w:rPr>
                                  <w:rFonts w:ascii="Times New Roman" w:hAnsi="Times New Roman" w:eastAsia="宋体" w:cs="宋体"/>
                                  <w:sz w:val="10"/>
                                </w:rPr>
                                <w:t>治疗/诊断：危急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166" name="文本框 166"/>
                        <wps:cNvSpPr txBox="1"/>
                        <wps:spPr>
                          <a:xfrm rot="16200000">
                            <a:off x="-229000" y="1026459"/>
                            <a:ext cx="600878"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C2807">
                              <w:pPr>
                                <w:jc w:val="center"/>
                                <w:rPr>
                                  <w:rFonts w:ascii="Times New Roman" w:hAnsi="Times New Roman" w:eastAsia="宋体" w:cs="Times New Roman"/>
                                  <w:i/>
                                  <w:color w:val="auto"/>
                                  <w:sz w:val="13"/>
                                  <w:szCs w:val="13"/>
                                </w:rPr>
                              </w:pPr>
                              <w:r>
                                <w:rPr>
                                  <w:rFonts w:ascii="Times New Roman" w:hAnsi="Times New Roman" w:eastAsia="宋体" w:cs="宋体"/>
                                  <w:b/>
                                  <w:sz w:val="12"/>
                                </w:rPr>
                                <w:t>影响</w:t>
                              </w:r>
                            </w:p>
                          </w:txbxContent>
                        </wps:txbx>
                        <wps:bodyPr rot="0" spcFirstLastPara="0" vertOverflow="overflow" horzOverflow="overflow" vert="horz" wrap="square" lIns="0" tIns="0" rIns="0" bIns="0" numCol="1" spcCol="0" rtlCol="0" fromWordArt="0" anchor="ctr" anchorCtr="0" forceAA="0" compatLnSpc="1">
                          <a:noAutofit/>
                        </wps:bodyPr>
                      </wps:wsp>
                      <wps:wsp>
                        <wps:cNvPr id="167" name="文本框 167"/>
                        <wps:cNvSpPr txBox="1"/>
                        <wps:spPr>
                          <a:xfrm rot="16200000">
                            <a:off x="143035" y="1891553"/>
                            <a:ext cx="215470"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04485">
                              <w:pPr>
                                <w:jc w:val="center"/>
                                <w:rPr>
                                  <w:rFonts w:ascii="Times New Roman" w:hAnsi="Times New Roman" w:eastAsia="宋体" w:cs="Times New Roman"/>
                                  <w:i/>
                                  <w:color w:val="auto"/>
                                  <w:sz w:val="11"/>
                                  <w:szCs w:val="11"/>
                                </w:rPr>
                              </w:pPr>
                              <w:r>
                                <w:rPr>
                                  <w:rFonts w:ascii="Times New Roman" w:hAnsi="Times New Roman" w:eastAsia="宋体" w:cs="宋体"/>
                                  <w:sz w:val="10"/>
                                </w:rPr>
                                <w:t>无</w:t>
                              </w:r>
                            </w:p>
                          </w:txbxContent>
                        </wps:txbx>
                        <wps:bodyPr rot="0" spcFirstLastPara="0" vertOverflow="overflow" horzOverflow="overflow" vert="horz" wrap="square" lIns="0" tIns="0" rIns="0" bIns="0" numCol="1" spcCol="0" rtlCol="0" fromWordArt="0" anchor="ctr" anchorCtr="0" forceAA="0" compatLnSpc="1">
                          <a:noAutofit/>
                        </wps:bodyPr>
                      </wps:wsp>
                      <wps:wsp>
                        <wps:cNvPr id="168" name="文本框 168"/>
                        <wps:cNvSpPr txBox="1"/>
                        <wps:spPr>
                          <a:xfrm rot="16200000">
                            <a:off x="143035" y="1497106"/>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360EB">
                              <w:pPr>
                                <w:jc w:val="center"/>
                                <w:rPr>
                                  <w:rFonts w:ascii="Times New Roman" w:hAnsi="Times New Roman" w:eastAsia="宋体" w:cs="Times New Roman"/>
                                  <w:i/>
                                  <w:color w:val="auto"/>
                                  <w:sz w:val="11"/>
                                  <w:szCs w:val="11"/>
                                </w:rPr>
                              </w:pPr>
                              <w:r>
                                <w:rPr>
                                  <w:rFonts w:ascii="Times New Roman" w:hAnsi="Times New Roman" w:eastAsia="宋体" w:cs="宋体"/>
                                  <w:sz w:val="10"/>
                                </w:rPr>
                                <w:t>低</w:t>
                              </w:r>
                            </w:p>
                          </w:txbxContent>
                        </wps:txbx>
                        <wps:bodyPr rot="0" spcFirstLastPara="0" vertOverflow="overflow" horzOverflow="overflow" vert="horz" wrap="square" lIns="0" tIns="0" rIns="0" bIns="0" numCol="1" spcCol="0" rtlCol="0" fromWordArt="0" anchor="ctr" anchorCtr="0" forceAA="0" compatLnSpc="1">
                          <a:noAutofit/>
                        </wps:bodyPr>
                      </wps:wsp>
                      <wps:wsp>
                        <wps:cNvPr id="169" name="文本框 169"/>
                        <wps:cNvSpPr txBox="1"/>
                        <wps:spPr>
                          <a:xfrm rot="16200000">
                            <a:off x="71317" y="1156447"/>
                            <a:ext cx="35892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2032A">
                              <w:pPr>
                                <w:jc w:val="center"/>
                                <w:rPr>
                                  <w:rFonts w:ascii="Times New Roman" w:hAnsi="Times New Roman" w:eastAsia="宋体" w:cs="Times New Roman"/>
                                  <w:i/>
                                  <w:color w:val="auto"/>
                                  <w:sz w:val="11"/>
                                  <w:szCs w:val="11"/>
                                </w:rPr>
                              </w:pPr>
                              <w:r>
                                <w:rPr>
                                  <w:rFonts w:ascii="Times New Roman" w:hAnsi="Times New Roman" w:eastAsia="宋体" w:cs="宋体"/>
                                  <w:sz w:val="10"/>
                                </w:rPr>
                                <w:t>中度</w:t>
                              </w:r>
                            </w:p>
                          </w:txbxContent>
                        </wps:txbx>
                        <wps:bodyPr rot="0" spcFirstLastPara="0" vertOverflow="overflow" horzOverflow="overflow" vert="horz" wrap="square" lIns="0" tIns="0" rIns="0" bIns="0" numCol="1" spcCol="0" rtlCol="0" fromWordArt="0" anchor="ctr" anchorCtr="0" forceAA="0" compatLnSpc="1">
                          <a:noAutofit/>
                        </wps:bodyPr>
                      </wps:wsp>
                      <wps:wsp>
                        <wps:cNvPr id="170" name="文本框 170"/>
                        <wps:cNvSpPr txBox="1"/>
                        <wps:spPr>
                          <a:xfrm rot="16200000">
                            <a:off x="143035" y="726141"/>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26B4C">
                              <w:pPr>
                                <w:jc w:val="center"/>
                                <w:rPr>
                                  <w:rFonts w:ascii="Times New Roman" w:hAnsi="Times New Roman" w:eastAsia="宋体" w:cs="Times New Roman"/>
                                  <w:i/>
                                  <w:color w:val="auto"/>
                                  <w:sz w:val="11"/>
                                  <w:szCs w:val="11"/>
                                </w:rPr>
                              </w:pPr>
                              <w:r>
                                <w:rPr>
                                  <w:rFonts w:ascii="Times New Roman" w:hAnsi="Times New Roman" w:eastAsia="宋体" w:cs="宋体"/>
                                  <w:sz w:val="10"/>
                                </w:rPr>
                                <w:t>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171" name="文本框 171"/>
                        <wps:cNvSpPr txBox="1"/>
                        <wps:spPr>
                          <a:xfrm rot="16200000">
                            <a:off x="-13847" y="291353"/>
                            <a:ext cx="5286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B3B76">
                              <w:pPr>
                                <w:jc w:val="center"/>
                                <w:rPr>
                                  <w:rFonts w:ascii="Times New Roman" w:hAnsi="Times New Roman" w:eastAsia="宋体" w:cs="Times New Roman"/>
                                  <w:i/>
                                  <w:color w:val="auto"/>
                                  <w:sz w:val="11"/>
                                  <w:szCs w:val="11"/>
                                </w:rPr>
                              </w:pPr>
                              <w:r>
                                <w:rPr>
                                  <w:rFonts w:ascii="Times New Roman" w:hAnsi="Times New Roman" w:eastAsia="宋体" w:cs="宋体"/>
                                  <w:sz w:val="10"/>
                                </w:rPr>
                                <w:t>灾难的</w:t>
                              </w:r>
                            </w:p>
                          </w:txbxContent>
                        </wps:txbx>
                        <wps:bodyPr rot="0" spcFirstLastPara="0" vertOverflow="overflow" horzOverflow="overflow" vert="horz" wrap="square" lIns="0" tIns="0" rIns="0" bIns="0" numCol="1" spcCol="0" rtlCol="0" fromWordArt="0" anchor="ctr" anchorCtr="0" forceAA="0" compatLnSpc="1">
                          <a:noAutofit/>
                        </wps:bodyPr>
                      </wps:wsp>
                      <wps:wsp>
                        <wps:cNvPr id="172" name="文本框 172"/>
                        <wps:cNvSpPr txBox="1"/>
                        <wps:spPr>
                          <a:xfrm>
                            <a:off x="1953906" y="2563906"/>
                            <a:ext cx="187362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13C85">
                              <w:pPr>
                                <w:jc w:val="center"/>
                                <w:rPr>
                                  <w:rFonts w:ascii="Times New Roman" w:hAnsi="Times New Roman" w:eastAsia="宋体" w:cs="Times New Roman"/>
                                  <w:i/>
                                  <w:color w:val="auto"/>
                                  <w:sz w:val="13"/>
                                  <w:szCs w:val="13"/>
                                </w:rPr>
                              </w:pPr>
                              <w:r>
                                <w:rPr>
                                  <w:rFonts w:ascii="Times New Roman" w:hAnsi="Times New Roman" w:eastAsia="宋体" w:cs="宋体"/>
                                  <w:b/>
                                  <w:sz w:val="12"/>
                                </w:rPr>
                                <w:t>定义表述</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10.1pt;margin-top:7.2pt;height:213.15pt;width:421.4pt;z-index:251664384;mso-width-relative:page;mso-height-relative:page;" coordsize="5351529,2706781" o:gfxdata="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APKCqY2QAAAAkBAAAPAAAAAAAAAAEAIAAAACIAAABkcnMvZG93bnJl&#10;di54bWxQSwECFAAUAAAACACHTuJARdCApRsHAADWVQAADgAAAAAAAAABACAAAAAoAQAAZHJzL2Uy&#10;b0RvYy54bWxQSwUGAAAAAAYABgBZAQAAtQoAAAAA&#10;">
                <o:lock v:ext="edit" aspectratio="f"/>
                <v:shape id="_x0000_s1026" o:spid="_x0000_s1026" o:spt="202" type="#_x0000_t202" style="position:absolute;left:465765;top:53788;height:143435;width:815788;v-text-anchor:middle;" fillcolor="#D3DFEE" filled="t" stroked="f" coordsize="21600,21600" o:gfxdata="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6NEdS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BAAED33">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v:textbox>
                </v:shape>
                <v:shape id="_x0000_s1026" o:spid="_x0000_s1026" o:spt="202" type="#_x0000_t202" style="position:absolute;left:4688141;top:44823;height:142875;width:663388;v-text-anchor:middle;" fillcolor="#D3DFEE" filled="t" stroked="f" coordsize="21600,21600" o:gfxdata="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SJo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78DB296A">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v:textbox>
                </v:shape>
                <v:shape id="_x0000_s1026" o:spid="_x0000_s1026" o:spt="202" type="#_x0000_t202" style="position:absolute;left:2446965;top:0;height:142875;width:1631576;v-text-anchor:middle;" fillcolor="#FFFFFF [3212]" filled="t" stroked="f" coordsize="21600,21600" o:gfxdata="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UWiK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0379A640">
                        <w:pPr>
                          <w:jc w:val="center"/>
                          <w:rPr>
                            <w:rFonts w:ascii="Times New Roman" w:hAnsi="Times New Roman" w:eastAsia="宋体" w:cs="Times New Roman"/>
                            <w:i/>
                            <w:color w:val="C00000"/>
                            <w:sz w:val="13"/>
                            <w:szCs w:val="13"/>
                          </w:rPr>
                        </w:pPr>
                        <w:r>
                          <w:rPr>
                            <w:rFonts w:ascii="Times New Roman" w:hAnsi="Times New Roman" w:eastAsia="宋体" w:cs="宋体"/>
                            <w:b/>
                            <w:color w:val="C00000"/>
                            <w:sz w:val="12"/>
                          </w:rPr>
                          <w:t>独立审查</w:t>
                        </w:r>
                      </w:p>
                    </w:txbxContent>
                  </v:textbox>
                </v:shape>
                <v:shape id="_x0000_s1026" o:spid="_x0000_s1026" o:spt="202" type="#_x0000_t202" style="position:absolute;left:1774612;top:161365;height:142875;width:1075765;v-text-anchor:middle;" fillcolor="#FFFFFF [3212]" filled="t" stroked="f" coordsize="21600,21600" o:gfxdata="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xsRV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23749E95">
                        <w:pPr>
                          <w:jc w:val="center"/>
                          <w:rPr>
                            <w:rFonts w:ascii="Times New Roman" w:hAnsi="Times New Roman" w:eastAsia="宋体" w:cs="Times New Roman"/>
                            <w:i/>
                            <w:color w:val="auto"/>
                            <w:sz w:val="13"/>
                            <w:szCs w:val="13"/>
                          </w:rPr>
                        </w:pPr>
                        <w:r>
                          <w:rPr>
                            <w:rFonts w:ascii="Times New Roman" w:hAnsi="Times New Roman" w:eastAsia="宋体" w:cs="宋体"/>
                            <w:b/>
                            <w:sz w:val="12"/>
                          </w:rPr>
                          <w:t>不太重要</w:t>
                        </w:r>
                      </w:p>
                    </w:txbxContent>
                  </v:textbox>
                </v:shape>
                <v:shape id="_x0000_s1026" o:spid="_x0000_s1026" o:spt="202" type="#_x0000_t202" style="position:absolute;left:3379294;top:152400;height:142875;width:1075690;v-text-anchor:middle;" fillcolor="#FFFFFF [3212]" filled="t" stroked="f" coordsize="21600,21600" o:gfxdata="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KYc6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7F39B5A5">
                        <w:pPr>
                          <w:jc w:val="center"/>
                          <w:rPr>
                            <w:rFonts w:ascii="Times New Roman" w:hAnsi="Times New Roman" w:eastAsia="宋体" w:cs="Times New Roman"/>
                            <w:i/>
                            <w:color w:val="auto"/>
                            <w:sz w:val="13"/>
                            <w:szCs w:val="13"/>
                          </w:rPr>
                        </w:pPr>
                        <w:r>
                          <w:rPr>
                            <w:rFonts w:ascii="Times New Roman" w:hAnsi="Times New Roman" w:eastAsia="宋体" w:cs="宋体"/>
                            <w:b/>
                            <w:sz w:val="12"/>
                          </w:rPr>
                          <w:t>更重要</w:t>
                        </w:r>
                      </w:p>
                    </w:txbxContent>
                  </v:textbox>
                </v:shape>
                <v:shape id="_x0000_s1026" o:spid="_x0000_s1026" o:spt="202" type="#_x0000_t202" style="position:absolute;left:1433953;top:1407459;height:142875;width:484094;v-text-anchor:middle;" fillcolor="#FFFFFF [3212]" filled="t" stroked="f" coordsize="21600,21600" o:gfxdata="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hX1vL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197021EB">
                        <w:pPr>
                          <w:rPr>
                            <w:rFonts w:ascii="Times New Roman" w:hAnsi="Times New Roman" w:eastAsia="宋体" w:cs="Times New Roman"/>
                            <w:i/>
                            <w:color w:val="auto"/>
                            <w:sz w:val="13"/>
                            <w:szCs w:val="13"/>
                          </w:rPr>
                        </w:pPr>
                        <w:r>
                          <w:rPr>
                            <w:rFonts w:ascii="Times New Roman" w:hAnsi="Times New Roman" w:eastAsia="宋体" w:cs="宋体"/>
                            <w:sz w:val="12"/>
                          </w:rPr>
                          <w:t xml:space="preserve"> I类</w:t>
                        </w:r>
                      </w:p>
                    </w:txbxContent>
                  </v:textbox>
                </v:shape>
                <v:shape id="_x0000_s1026" o:spid="_x0000_s1026" o:spt="202" type="#_x0000_t202" style="position:absolute;left:2500753;top:851647;height:142875;width:483870;v-text-anchor:middle;" fillcolor="#FFFFFF [3212]" filled="t" stroked="f" coordsize="21600,21600" o:gfxdata="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ZUCe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79F75325">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II类</w:t>
                        </w:r>
                      </w:p>
                    </w:txbxContent>
                  </v:textbox>
                </v:shape>
                <v:shape id="_x0000_s1026" o:spid="_x0000_s1026" o:spt="202" type="#_x0000_t202" style="position:absolute;left:3594447;top:466165;height:142875;width:483870;v-text-anchor:middle;" fillcolor="#FFFFFF [3212]" filled="t" stroked="f" coordsize="21600,21600" o:gfxdata="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6b2e/&#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7A5CF14A">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III类</w:t>
                        </w:r>
                      </w:p>
                    </w:txbxContent>
                  </v:textbox>
                </v:shape>
                <v:shape id="_x0000_s1026" o:spid="_x0000_s1026" o:spt="202" type="#_x0000_t202" style="position:absolute;left:4123365;top:277906;height:142875;width:540000;v-text-anchor:middle;" fillcolor="#FFFFFF [3212]" filled="t" stroked="f" coordsize="21600,21600" o:gfxdata="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bK/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035AB19D">
                        <w:pPr>
                          <w:rPr>
                            <w:rFonts w:ascii="Times New Roman" w:hAnsi="Times New Roman" w:eastAsia="宋体" w:cs="Times New Roman"/>
                            <w:i/>
                            <w:color w:val="auto"/>
                            <w:sz w:val="13"/>
                            <w:szCs w:val="13"/>
                            <w:lang w:eastAsia="zh-CN"/>
                          </w:rPr>
                        </w:pPr>
                        <w:r>
                          <w:rPr>
                            <w:rFonts w:ascii="Times New Roman" w:hAnsi="Times New Roman" w:eastAsia="宋体" w:cs="宋体"/>
                            <w:sz w:val="12"/>
                          </w:rPr>
                          <w:t>IV类</w:t>
                        </w:r>
                      </w:p>
                    </w:txbxContent>
                  </v:textbox>
                </v:shape>
                <v:shape id="_x0000_s1026" o:spid="_x0000_s1026" o:spt="202" type="#_x0000_t202" style="position:absolute;left:4759859;top:717176;height:833158;width:539750;v-text-anchor:middle;" fillcolor="#D3DFEE" filled="t" stroked="f" coordsize="21600,21600" o:gfxdata="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gik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7B073DF1">
                        <w:pPr>
                          <w:jc w:val="center"/>
                          <w:rPr>
                            <w:rFonts w:ascii="Times New Roman" w:hAnsi="Times New Roman" w:eastAsia="宋体" w:cs="Times New Roman"/>
                            <w:i/>
                            <w:color w:val="auto"/>
                            <w:sz w:val="13"/>
                            <w:szCs w:val="13"/>
                            <w:lang w:eastAsia="zh-CN"/>
                          </w:rPr>
                        </w:pPr>
                        <w:r>
                          <w:rPr>
                            <w:rFonts w:ascii="Times New Roman" w:hAnsi="Times New Roman" w:eastAsia="宋体" w:cs="宋体"/>
                            <w:sz w:val="12"/>
                            <w:lang w:eastAsia="zh-CN"/>
                          </w:rPr>
                          <w:t>（医疗器械的一部分/嵌入医疗器械）</w:t>
                        </w:r>
                      </w:p>
                    </w:txbxContent>
                  </v:textbox>
                </v:shape>
                <v:shape id="_x0000_s1026" o:spid="_x0000_s1026" o:spt="202" type="#_x0000_t202" style="position:absolute;left:376118;top:2133040;height:142875;width:483870;v-text-anchor:middle;" fillcolor="#FFFFFF [3212]" filled="t" stroked="f" coordsize="21600,21600" o:gfxdata="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WjxE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BCA777B">
                        <w:pPr>
                          <w:jc w:val="center"/>
                          <w:rPr>
                            <w:rFonts w:ascii="Times New Roman" w:hAnsi="Times New Roman" w:eastAsia="宋体" w:cs="Times New Roman"/>
                            <w:i/>
                            <w:color w:val="auto"/>
                            <w:sz w:val="10"/>
                            <w:szCs w:val="10"/>
                          </w:rPr>
                        </w:pPr>
                        <w:r>
                          <w:rPr>
                            <w:rFonts w:ascii="Times New Roman" w:hAnsi="Times New Roman" w:eastAsia="宋体" w:cs="宋体"/>
                            <w:sz w:val="10"/>
                          </w:rPr>
                          <w:t>检索信息</w:t>
                        </w:r>
                      </w:p>
                    </w:txbxContent>
                  </v:textbox>
                </v:shape>
                <v:shape id="_x0000_s1026" o:spid="_x0000_s1026" o:spt="202" type="#_x0000_t202" style="position:absolute;left:3889722;top:2133040;height:215152;width:394447;v-text-anchor:middle;" fillcolor="#FFFFFF [3212]" filled="t" stroked="f" coordsize="21600,21600" o:gfxdata="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BaWS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4FB59534">
                        <w:pPr>
                          <w:jc w:val="center"/>
                          <w:rPr>
                            <w:rFonts w:ascii="Times New Roman" w:hAnsi="Times New Roman" w:eastAsia="宋体" w:cs="Times New Roman"/>
                            <w:i/>
                            <w:color w:val="auto"/>
                            <w:sz w:val="10"/>
                            <w:szCs w:val="10"/>
                          </w:rPr>
                        </w:pPr>
                        <w:r>
                          <w:rPr>
                            <w:rFonts w:ascii="Times New Roman" w:hAnsi="Times New Roman" w:eastAsia="宋体" w:cs="宋体"/>
                            <w:sz w:val="10"/>
                          </w:rPr>
                          <w:t>治疗/诊断：严重</w:t>
                        </w:r>
                      </w:p>
                    </w:txbxContent>
                  </v:textbox>
                </v:shape>
                <v:shape id="_x0000_s1026" o:spid="_x0000_s1026" o:spt="202" type="#_x0000_t202" style="position:absolute;left:3235859;top:2142565;height:142875;width:349623;v-text-anchor:middle;" fillcolor="#FFFFFF [3212]" filled="t" stroked="f" coordsize="21600,21600" o:gfxdata="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NzP+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2D839FE">
                        <w:pPr>
                          <w:jc w:val="center"/>
                          <w:rPr>
                            <w:rFonts w:ascii="Times New Roman" w:hAnsi="Times New Roman" w:eastAsia="宋体" w:cs="Times New Roman"/>
                            <w:i/>
                            <w:color w:val="auto"/>
                            <w:sz w:val="10"/>
                            <w:szCs w:val="10"/>
                          </w:rPr>
                        </w:pPr>
                        <w:r>
                          <w:rPr>
                            <w:rFonts w:ascii="Times New Roman" w:hAnsi="Times New Roman" w:eastAsia="宋体" w:cs="宋体"/>
                            <w:sz w:val="10"/>
                          </w:rPr>
                          <w:t>推动：严重</w:t>
                        </w:r>
                      </w:p>
                    </w:txbxContent>
                  </v:textbox>
                </v:shape>
                <v:shape id="_x0000_s1026" o:spid="_x0000_s1026" o:spt="202" type="#_x0000_t202" style="position:absolute;left:2500753;top:2142565;height:161365;width:358514;v-text-anchor:middle;" fillcolor="#FFFFFF [3212]" filled="t" stroked="f" coordsize="21600,21600" o:gfxdata="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9Si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F48972A">
                        <w:pPr>
                          <w:jc w:val="center"/>
                          <w:rPr>
                            <w:rFonts w:ascii="Times New Roman" w:hAnsi="Times New Roman" w:eastAsia="宋体" w:cs="Times New Roman"/>
                            <w:i/>
                            <w:color w:val="auto"/>
                            <w:sz w:val="10"/>
                            <w:szCs w:val="10"/>
                          </w:rPr>
                        </w:pPr>
                        <w:r>
                          <w:rPr>
                            <w:rFonts w:ascii="Times New Roman" w:hAnsi="Times New Roman" w:eastAsia="宋体" w:cs="宋体"/>
                            <w:sz w:val="10"/>
                          </w:rPr>
                          <w:t>告知：危急</w:t>
                        </w:r>
                      </w:p>
                    </w:txbxContent>
                  </v:textbox>
                </v:shape>
                <v:shape id="_x0000_s1026" o:spid="_x0000_s1026" o:spt="202" type="#_x0000_t202" style="position:absolute;left:1819435;top:2142565;height:152400;width:295836;v-text-anchor:middle;" fillcolor="#FFFFFF [3212]" filled="t" stroked="f" coordsize="21600,21600" o:gfxdata="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P3E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A7ADF8E">
                        <w:pPr>
                          <w:jc w:val="center"/>
                          <w:rPr>
                            <w:rFonts w:ascii="Times New Roman" w:hAnsi="Times New Roman" w:eastAsia="宋体" w:cs="Times New Roman"/>
                            <w:i/>
                            <w:color w:val="auto"/>
                            <w:sz w:val="10"/>
                            <w:szCs w:val="10"/>
                          </w:rPr>
                        </w:pPr>
                        <w:r>
                          <w:rPr>
                            <w:rFonts w:ascii="Times New Roman" w:hAnsi="Times New Roman" w:eastAsia="宋体" w:cs="宋体"/>
                            <w:sz w:val="10"/>
                          </w:rPr>
                          <w:t>告知：严重</w:t>
                        </w:r>
                      </w:p>
                    </w:txbxContent>
                  </v:textbox>
                </v:shape>
                <v:shape id="_x0000_s1026" o:spid="_x0000_s1026" o:spt="202" type="#_x0000_t202" style="position:absolute;left:1003647;top:2133040;height:142875;width:483870;v-text-anchor:middle;" fillcolor="#FFFFFF [3212]" filled="t" stroked="f" coordsize="21600,21600" o:gfxdata="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MY2G/&#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7CD6F0F">
                        <w:pPr>
                          <w:jc w:val="center"/>
                          <w:rPr>
                            <w:rFonts w:ascii="Times New Roman" w:hAnsi="Times New Roman" w:eastAsia="宋体" w:cs="Times New Roman"/>
                            <w:i/>
                            <w:color w:val="auto"/>
                            <w:sz w:val="10"/>
                            <w:szCs w:val="10"/>
                          </w:rPr>
                        </w:pPr>
                        <w:r>
                          <w:rPr>
                            <w:rFonts w:ascii="Times New Roman" w:hAnsi="Times New Roman" w:eastAsia="宋体" w:cs="宋体"/>
                            <w:sz w:val="10"/>
                          </w:rPr>
                          <w:t>优化过程</w:t>
                        </w:r>
                      </w:p>
                    </w:txbxContent>
                  </v:textbox>
                </v:shape>
                <v:shape id="_x0000_s1026" o:spid="_x0000_s1026" o:spt="202" type="#_x0000_t202" style="position:absolute;left:4768824;top:2133040;height:295835;width:530785;v-text-anchor:middle;" fillcolor="#FFFFFF [3212]" filled="t" stroked="f" coordsize="21600,21600" o:gfxdata="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DG+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6392AB5">
                        <w:pPr>
                          <w:jc w:val="center"/>
                          <w:rPr>
                            <w:rFonts w:ascii="Times New Roman" w:hAnsi="Times New Roman" w:eastAsia="宋体" w:cs="Times New Roman"/>
                            <w:i/>
                            <w:color w:val="auto"/>
                            <w:sz w:val="10"/>
                            <w:szCs w:val="10"/>
                          </w:rPr>
                        </w:pPr>
                        <w:r>
                          <w:rPr>
                            <w:rFonts w:ascii="Times New Roman" w:hAnsi="Times New Roman" w:eastAsia="宋体" w:cs="宋体"/>
                            <w:sz w:val="10"/>
                          </w:rPr>
                          <w:t>闭环干预非临床的媒介</w:t>
                        </w:r>
                      </w:p>
                    </w:txbxContent>
                  </v:textbox>
                </v:shape>
                <v:shape id="_x0000_s1026" o:spid="_x0000_s1026" o:spt="202" type="#_x0000_t202" style="position:absolute;left:698847;top:2312894;height:134471;width:385482;v-text-anchor:middle;" fillcolor="#FFFFFF [3212]" filled="t" stroked="f" coordsize="21600,21600" o:gfxdata="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9al2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12AB9D1A">
                        <w:pPr>
                          <w:jc w:val="center"/>
                          <w:rPr>
                            <w:rFonts w:ascii="Times New Roman" w:hAnsi="Times New Roman" w:eastAsia="宋体" w:cs="Times New Roman"/>
                            <w:i/>
                            <w:color w:val="auto"/>
                            <w:sz w:val="10"/>
                            <w:szCs w:val="10"/>
                          </w:rPr>
                        </w:pPr>
                        <w:r>
                          <w:rPr>
                            <w:rFonts w:ascii="Times New Roman" w:hAnsi="Times New Roman" w:eastAsia="宋体" w:cs="宋体"/>
                            <w:sz w:val="10"/>
                          </w:rPr>
                          <w:t>组织数据</w:t>
                        </w:r>
                      </w:p>
                    </w:txbxContent>
                  </v:textbox>
                </v:shape>
                <v:shape id="_x0000_s1026" o:spid="_x0000_s1026" o:spt="202" type="#_x0000_t202" style="position:absolute;left:1460847;top:2312894;height:142875;width:483870;v-text-anchor:middle;" fillcolor="#FFFFFF [3212]" filled="t" stroked="f" coordsize="21600,21600" o:gfxdata="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mgBB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68E9C450">
                        <w:pPr>
                          <w:jc w:val="center"/>
                          <w:rPr>
                            <w:rFonts w:ascii="Times New Roman" w:hAnsi="Times New Roman" w:eastAsia="宋体" w:cs="Times New Roman"/>
                            <w:i/>
                            <w:color w:val="auto"/>
                            <w:sz w:val="10"/>
                            <w:szCs w:val="10"/>
                          </w:rPr>
                        </w:pPr>
                        <w:r>
                          <w:rPr>
                            <w:rFonts w:ascii="Times New Roman" w:hAnsi="Times New Roman" w:eastAsia="宋体" w:cs="宋体"/>
                            <w:sz w:val="10"/>
                          </w:rPr>
                          <w:t>告知：非严重</w:t>
                        </w:r>
                      </w:p>
                    </w:txbxContent>
                  </v:textbox>
                </v:shape>
                <v:shape id="_x0000_s1026" o:spid="_x0000_s1026" o:spt="202" type="#_x0000_t202" style="position:absolute;left:2025624;top:2312894;height:142875;width:483870;v-text-anchor:middle;" fillcolor="#FFFFFF [3212]" filled="t" stroked="f" coordsize="21600,21600" o:gfxdata="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SJ42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582BE411">
                        <w:pPr>
                          <w:jc w:val="center"/>
                          <w:rPr>
                            <w:rFonts w:ascii="Times New Roman" w:hAnsi="Times New Roman" w:eastAsia="宋体" w:cs="Times New Roman"/>
                            <w:i/>
                            <w:color w:val="auto"/>
                            <w:sz w:val="10"/>
                            <w:szCs w:val="10"/>
                          </w:rPr>
                        </w:pPr>
                        <w:r>
                          <w:rPr>
                            <w:rFonts w:ascii="Times New Roman" w:hAnsi="Times New Roman" w:eastAsia="宋体" w:cs="宋体"/>
                            <w:sz w:val="10"/>
                          </w:rPr>
                          <w:t>推动：非严重</w:t>
                        </w:r>
                      </w:p>
                    </w:txbxContent>
                  </v:textbox>
                </v:shape>
                <v:shape id="_x0000_s1026" o:spid="_x0000_s1026" o:spt="202" type="#_x0000_t202" style="position:absolute;left:3584968;top:2312191;height:215471;width:367907;v-text-anchor:middle;" fillcolor="#FFFFFF [3212]" filled="t" stroked="f" coordsize="21600,21600" o:gfxdata="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Dut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779BF139">
                        <w:pPr>
                          <w:jc w:val="center"/>
                          <w:rPr>
                            <w:rFonts w:ascii="Times New Roman" w:hAnsi="Times New Roman" w:eastAsia="宋体" w:cs="Times New Roman"/>
                            <w:i/>
                            <w:color w:val="auto"/>
                            <w:sz w:val="10"/>
                            <w:szCs w:val="10"/>
                          </w:rPr>
                        </w:pPr>
                        <w:r>
                          <w:rPr>
                            <w:rFonts w:ascii="Times New Roman" w:hAnsi="Times New Roman" w:eastAsia="宋体" w:cs="宋体"/>
                            <w:sz w:val="10"/>
                          </w:rPr>
                          <w:t>推动：危急</w:t>
                        </w:r>
                      </w:p>
                    </w:txbxContent>
                  </v:textbox>
                </v:shape>
                <v:shape id="_x0000_s1026" o:spid="_x0000_s1026" o:spt="202" type="#_x0000_t202" style="position:absolute;left:2814518;top:2286000;height:242047;width:483870;v-text-anchor:middle;" fillcolor="#FFFFFF [3212]" filled="t" stroked="f" coordsize="21600,21600" o:gfxdata="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7aPZ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7E775067">
                        <w:pPr>
                          <w:ind w:left="60" w:leftChars="25" w:right="60" w:rightChars="25"/>
                          <w:jc w:val="center"/>
                          <w:rPr>
                            <w:rFonts w:ascii="Times New Roman" w:hAnsi="Times New Roman" w:eastAsia="宋体" w:cs="Times New Roman"/>
                            <w:i/>
                            <w:color w:val="auto"/>
                            <w:sz w:val="10"/>
                            <w:szCs w:val="10"/>
                          </w:rPr>
                        </w:pPr>
                        <w:r>
                          <w:rPr>
                            <w:rFonts w:ascii="Times New Roman" w:hAnsi="Times New Roman" w:eastAsia="宋体" w:cs="宋体"/>
                            <w:sz w:val="10"/>
                          </w:rPr>
                          <w:t>治疗/诊断：非严重</w:t>
                        </w:r>
                      </w:p>
                    </w:txbxContent>
                  </v:textbox>
                </v:shape>
                <v:shape id="_x0000_s1026" o:spid="_x0000_s1026" o:spt="202" type="#_x0000_t202" style="position:absolute;left:4257835;top:2286000;height:214630;width:448235;v-text-anchor:middle;" fillcolor="#FFFFFF [3212]" filled="t" stroked="f" coordsize="21600,21600" o:gfxdata="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EGQ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0D00FFE">
                        <w:pPr>
                          <w:ind w:left="60" w:leftChars="25" w:right="60" w:rightChars="25"/>
                          <w:jc w:val="center"/>
                          <w:rPr>
                            <w:rFonts w:ascii="Times New Roman" w:hAnsi="Times New Roman" w:eastAsia="宋体" w:cs="Times New Roman"/>
                            <w:i/>
                            <w:color w:val="auto"/>
                            <w:sz w:val="10"/>
                            <w:szCs w:val="10"/>
                          </w:rPr>
                        </w:pPr>
                        <w:r>
                          <w:rPr>
                            <w:rFonts w:ascii="Times New Roman" w:hAnsi="Times New Roman" w:eastAsia="宋体" w:cs="宋体"/>
                            <w:sz w:val="10"/>
                          </w:rPr>
                          <w:t>治疗/诊断：危急</w:t>
                        </w:r>
                      </w:p>
                    </w:txbxContent>
                  </v:textbox>
                </v:shape>
                <v:shape id="_x0000_s1026" o:spid="_x0000_s1026" o:spt="202" type="#_x0000_t202" style="position:absolute;left:-229000;top:1026459;height:142877;width:600878;rotation:-5898240f;v-text-anchor:middle;" fillcolor="#FFFFFF [3212]" filled="t" stroked="f" coordsize="21600,21600" o:gfxdata="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AKrg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38EC2807">
                        <w:pPr>
                          <w:jc w:val="center"/>
                          <w:rPr>
                            <w:rFonts w:ascii="Times New Roman" w:hAnsi="Times New Roman" w:eastAsia="宋体" w:cs="Times New Roman"/>
                            <w:i/>
                            <w:color w:val="auto"/>
                            <w:sz w:val="13"/>
                            <w:szCs w:val="13"/>
                          </w:rPr>
                        </w:pPr>
                        <w:r>
                          <w:rPr>
                            <w:rFonts w:ascii="Times New Roman" w:hAnsi="Times New Roman" w:eastAsia="宋体" w:cs="宋体"/>
                            <w:b/>
                            <w:sz w:val="12"/>
                          </w:rPr>
                          <w:t>影响</w:t>
                        </w:r>
                      </w:p>
                    </w:txbxContent>
                  </v:textbox>
                </v:shape>
                <v:shape id="_x0000_s1026" o:spid="_x0000_s1026" o:spt="202" type="#_x0000_t202" style="position:absolute;left:143035;top:1891553;height:142877;width:215470;rotation:-5898240f;v-text-anchor:middle;" fillcolor="#FFFFFF [3212]" filled="t" stroked="f" coordsize="21600,21600" o:gfxdata="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A97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63E04485">
                        <w:pPr>
                          <w:jc w:val="center"/>
                          <w:rPr>
                            <w:rFonts w:ascii="Times New Roman" w:hAnsi="Times New Roman" w:eastAsia="宋体" w:cs="Times New Roman"/>
                            <w:i/>
                            <w:color w:val="auto"/>
                            <w:sz w:val="11"/>
                            <w:szCs w:val="11"/>
                          </w:rPr>
                        </w:pPr>
                        <w:r>
                          <w:rPr>
                            <w:rFonts w:ascii="Times New Roman" w:hAnsi="Times New Roman" w:eastAsia="宋体" w:cs="宋体"/>
                            <w:sz w:val="10"/>
                          </w:rPr>
                          <w:t>无</w:t>
                        </w:r>
                      </w:p>
                    </w:txbxContent>
                  </v:textbox>
                </v:shape>
                <v:shape id="_x0000_s1026" o:spid="_x0000_s1026" o:spt="202" type="#_x0000_t202" style="position:absolute;left:143035;top:1497106;height:142875;width:215265;rotation:-5898240f;v-text-anchor:middle;" fillcolor="#FFFFFF [3212]" filled="t" stroked="f" coordsize="21600,21600" o:gfxdata="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mwm/&#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F5360EB">
                        <w:pPr>
                          <w:jc w:val="center"/>
                          <w:rPr>
                            <w:rFonts w:ascii="Times New Roman" w:hAnsi="Times New Roman" w:eastAsia="宋体" w:cs="Times New Roman"/>
                            <w:i/>
                            <w:color w:val="auto"/>
                            <w:sz w:val="11"/>
                            <w:szCs w:val="11"/>
                          </w:rPr>
                        </w:pPr>
                        <w:r>
                          <w:rPr>
                            <w:rFonts w:ascii="Times New Roman" w:hAnsi="Times New Roman" w:eastAsia="宋体" w:cs="宋体"/>
                            <w:sz w:val="10"/>
                          </w:rPr>
                          <w:t>低</w:t>
                        </w:r>
                      </w:p>
                    </w:txbxContent>
                  </v:textbox>
                </v:shape>
                <v:shape id="_x0000_s1026" o:spid="_x0000_s1026" o:spt="202" type="#_x0000_t202" style="position:absolute;left:71317;top:1156447;height:142875;width:358925;rotation:-5898240f;v-text-anchor:middle;" fillcolor="#FFFFFF [3212]" filled="t" stroked="f" coordsize="21600,21600" o:gfxdata="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fPpK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082032A">
                        <w:pPr>
                          <w:jc w:val="center"/>
                          <w:rPr>
                            <w:rFonts w:ascii="Times New Roman" w:hAnsi="Times New Roman" w:eastAsia="宋体" w:cs="Times New Roman"/>
                            <w:i/>
                            <w:color w:val="auto"/>
                            <w:sz w:val="11"/>
                            <w:szCs w:val="11"/>
                          </w:rPr>
                        </w:pPr>
                        <w:r>
                          <w:rPr>
                            <w:rFonts w:ascii="Times New Roman" w:hAnsi="Times New Roman" w:eastAsia="宋体" w:cs="宋体"/>
                            <w:sz w:val="10"/>
                          </w:rPr>
                          <w:t>中度</w:t>
                        </w:r>
                      </w:p>
                    </w:txbxContent>
                  </v:textbox>
                </v:shape>
                <v:shape id="_x0000_s1026" o:spid="_x0000_s1026" o:spt="202" type="#_x0000_t202" style="position:absolute;left:143035;top:726141;height:142875;width:215265;rotation:-5898240f;v-text-anchor:middle;" fillcolor="#FFFFFF [3212]" filled="t" stroked="f" coordsize="21600,21600" o:gfxdata="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fAHS&#10;wAAAANwAAAAPAAAAAAAAAAEAIAAAACIAAABkcnMvZG93bnJldi54bWxQSwECFAAUAAAACACHTuJA&#10;My8FnjsAAAA5AAAAEAAAAAAAAAABACAAAAAPAQAAZHJzL3NoYXBleG1sLnhtbFBLBQYAAAAABgAG&#10;AFsBAAC5AwAAAAA=&#10;">
                  <v:fill on="t" focussize="0,0"/>
                  <v:stroke on="f" weight="0.5pt"/>
                  <v:imagedata o:title=""/>
                  <o:lock v:ext="edit" aspectratio="f"/>
                  <v:textbox inset="0mm,0mm,0mm,0mm">
                    <w:txbxContent>
                      <w:p w14:paraId="39526B4C">
                        <w:pPr>
                          <w:jc w:val="center"/>
                          <w:rPr>
                            <w:rFonts w:ascii="Times New Roman" w:hAnsi="Times New Roman" w:eastAsia="宋体" w:cs="Times New Roman"/>
                            <w:i/>
                            <w:color w:val="auto"/>
                            <w:sz w:val="11"/>
                            <w:szCs w:val="11"/>
                          </w:rPr>
                        </w:pPr>
                        <w:r>
                          <w:rPr>
                            <w:rFonts w:ascii="Times New Roman" w:hAnsi="Times New Roman" w:eastAsia="宋体" w:cs="宋体"/>
                            <w:sz w:val="10"/>
                          </w:rPr>
                          <w:t>严重</w:t>
                        </w:r>
                      </w:p>
                    </w:txbxContent>
                  </v:textbox>
                </v:shape>
                <v:shape id="_x0000_s1026" o:spid="_x0000_s1026" o:spt="202" type="#_x0000_t202" style="position:absolute;left:-13847;top:291353;height:142875;width:528694;rotation:-5898240f;v-text-anchor:middle;" fillcolor="#FFFFFF [3212]" filled="t" stroked="f" coordsize="21600,21600" o:gfxdata="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MKRJ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38BB3B76">
                        <w:pPr>
                          <w:jc w:val="center"/>
                          <w:rPr>
                            <w:rFonts w:ascii="Times New Roman" w:hAnsi="Times New Roman" w:eastAsia="宋体" w:cs="Times New Roman"/>
                            <w:i/>
                            <w:color w:val="auto"/>
                            <w:sz w:val="11"/>
                            <w:szCs w:val="11"/>
                          </w:rPr>
                        </w:pPr>
                        <w:r>
                          <w:rPr>
                            <w:rFonts w:ascii="Times New Roman" w:hAnsi="Times New Roman" w:eastAsia="宋体" w:cs="宋体"/>
                            <w:sz w:val="10"/>
                          </w:rPr>
                          <w:t>灾难的</w:t>
                        </w:r>
                      </w:p>
                    </w:txbxContent>
                  </v:textbox>
                </v:shape>
                <v:shape id="_x0000_s1026" o:spid="_x0000_s1026" o:spt="202" type="#_x0000_t202" style="position:absolute;left:1953906;top:2563906;height:142875;width:1873624;v-text-anchor:middle;" fillcolor="#FFFFFF [3212]" filled="t" stroked="f" coordsize="21600,21600" o:gfxdata="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EI6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9613C85">
                        <w:pPr>
                          <w:jc w:val="center"/>
                          <w:rPr>
                            <w:rFonts w:ascii="Times New Roman" w:hAnsi="Times New Roman" w:eastAsia="宋体" w:cs="Times New Roman"/>
                            <w:i/>
                            <w:color w:val="auto"/>
                            <w:sz w:val="13"/>
                            <w:szCs w:val="13"/>
                          </w:rPr>
                        </w:pPr>
                        <w:r>
                          <w:rPr>
                            <w:rFonts w:ascii="Times New Roman" w:hAnsi="Times New Roman" w:eastAsia="宋体" w:cs="宋体"/>
                            <w:b/>
                            <w:sz w:val="12"/>
                          </w:rPr>
                          <w:t>定义表述</w:t>
                        </w:r>
                      </w:p>
                    </w:txbxContent>
                  </v:textbox>
                </v:shape>
              </v:group>
            </w:pict>
          </mc:Fallback>
        </mc:AlternateContent>
      </w:r>
      <w:r>
        <w:rPr>
          <w:rFonts w:ascii="宋体" w:hAnsi="宋体" w:eastAsia="宋体" w:cs="宋体"/>
          <w:lang w:eastAsia="zh-CN" w:bidi="ar-SA"/>
        </w:rPr>
        <w:drawing>
          <wp:inline distT="0" distB="0" distL="0" distR="0">
            <wp:extent cx="5486400" cy="2717165"/>
            <wp:effectExtent l="0" t="0" r="0" b="6985"/>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pic:cNvPicPr>
                  </pic:nvPicPr>
                  <pic:blipFill>
                    <a:blip r:embed="rId17"/>
                    <a:stretch>
                      <a:fillRect/>
                    </a:stretch>
                  </pic:blipFill>
                  <pic:spPr>
                    <a:xfrm>
                      <a:off x="0" y="0"/>
                      <a:ext cx="5486400" cy="2717165"/>
                    </a:xfrm>
                    <a:prstGeom prst="rect">
                      <a:avLst/>
                    </a:prstGeom>
                  </pic:spPr>
                </pic:pic>
              </a:graphicData>
            </a:graphic>
          </wp:inline>
        </w:drawing>
      </w:r>
    </w:p>
    <w:p w14:paraId="2D0FE933">
      <w:pPr>
        <w:pStyle w:val="32"/>
        <w:adjustRightInd w:val="0"/>
        <w:snapToGrid w:val="0"/>
        <w:spacing w:before="120" w:beforeLines="50" w:line="300" w:lineRule="auto"/>
        <w:jc w:val="center"/>
        <w:rPr>
          <w:rFonts w:eastAsia="宋体"/>
          <w:snapToGrid w:val="0"/>
          <w:sz w:val="24"/>
          <w:szCs w:val="24"/>
          <w:lang w:eastAsia="zh-CN"/>
        </w:rPr>
      </w:pPr>
      <w:r>
        <w:rPr>
          <w:rFonts w:eastAsia="宋体" w:cs="宋体"/>
          <w:sz w:val="24"/>
          <w:lang w:eastAsia="zh-CN"/>
        </w:rPr>
        <w:t>图13 - 采用基于风险的方法评估独立审查的重要性</w:t>
      </w:r>
    </w:p>
    <w:p w14:paraId="56721B7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7295CC6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图13说明了独立审查更重要或不太重要的情况。图中，红色垂直分界线区分了独立审查对于不同SaMD类别不太重要和更重要的情况。独立审查对于“治疗/诊断：严重和危急”医疗情况和临床状况的SaMD以及“推动：危急”医疗情况和临床状况的SaMD更为重要。本文件中的独立审查不一定表示监管审查，但表明了独立性对于结果审查至关重要的概念。</w:t>
      </w:r>
    </w:p>
    <w:p w14:paraId="77CF4928">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就本文件而言，“不太重要”的独立审查类似于质量管理体系中执行的设计审查概念。不太重要的独立审查相关工作可由公司内部的个人或外部专家开展。</w:t>
      </w:r>
    </w:p>
    <w:p w14:paraId="66367725">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就本文件而言，“更重要”的独立审查相关工作可由外部专家开展，例如与监管机构、代表监管机构的第三方或同行评审期刊的编辑委员会进行正式磋商，同时也可由未积极参与SaMD开发的“非冲突”内部专家审查员开展。</w:t>
      </w:r>
    </w:p>
    <w:p w14:paraId="5285AAC5">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6CF529B8">
      <w:pPr>
        <w:pStyle w:val="36"/>
        <w:rPr>
          <w:rFonts w:eastAsia="宋体"/>
          <w:lang w:eastAsia="zh-CN"/>
        </w:rPr>
      </w:pPr>
      <w:bookmarkStart w:id="17" w:name="_Toc92183896"/>
      <w:r>
        <w:rPr>
          <w:rFonts w:eastAsia="宋体" w:cs="宋体"/>
          <w:lang w:eastAsia="zh-CN"/>
        </w:rPr>
        <w:t>9.0 利用真实世界性能数据持续学习的途径</w:t>
      </w:r>
      <w:bookmarkEnd w:id="17"/>
    </w:p>
    <w:p w14:paraId="144E761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SaMD可利用器械与人员之间的连通性持续监测SaMD的安全性、有效性和性能。</w:t>
      </w:r>
    </w:p>
    <w:p w14:paraId="21157979">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 xml:space="preserve">SaMD制造商可能对SaMD的未来功能和预期用途作出假设，可通过不断收集和分析在上市后使用SaMD的数据来获悉。监测真实世界性能数据有助于SaMD在最初导入市场后的功能和预期用途的发展。此类数据可能包括上市后信息，如安全性数据、性能研究结果、医疗器械的持续临床证据生成、支持或加强SaMD输出与临床状况的临床关联的新研究出版物/结果，或最终用户给出的有助于SaMD制造商了解SaMD真实世界性能的直接反馈。如果得到临床证据的支持（该证据通过利用持续监测的真实世界性能数据进行临床评价而生成），可能需要更改SaMD定义声明，如图14所示。 </w:t>
      </w:r>
    </w:p>
    <w:p w14:paraId="4FE1C902">
      <w:pPr>
        <w:pStyle w:val="32"/>
        <w:adjustRightInd w:val="0"/>
        <w:snapToGrid w:val="0"/>
        <w:spacing w:before="120" w:beforeLines="50" w:line="300" w:lineRule="auto"/>
        <w:jc w:val="center"/>
        <w:rPr>
          <w:rFonts w:eastAsia="宋体"/>
          <w:snapToGrid w:val="0"/>
          <w:sz w:val="24"/>
          <w:szCs w:val="24"/>
          <w:lang w:eastAsia="zh-CN"/>
        </w:rPr>
      </w:pPr>
      <w:r>
        <w:rPr>
          <w:lang w:eastAsia="zh-CN" w:bidi="ar-SA"/>
        </w:rPr>
        <mc:AlternateContent>
          <mc:Choice Requires="wpg">
            <w:drawing>
              <wp:anchor distT="0" distB="0" distL="114300" distR="114300" simplePos="0" relativeHeight="251665408" behindDoc="0" locked="0" layoutInCell="1" allowOverlap="1">
                <wp:simplePos x="0" y="0"/>
                <wp:positionH relativeFrom="column">
                  <wp:posOffset>633095</wp:posOffset>
                </wp:positionH>
                <wp:positionV relativeFrom="paragraph">
                  <wp:posOffset>118110</wp:posOffset>
                </wp:positionV>
                <wp:extent cx="4580890" cy="2796540"/>
                <wp:effectExtent l="0" t="0" r="0" b="4445"/>
                <wp:wrapNone/>
                <wp:docPr id="185" name="组合 185"/>
                <wp:cNvGraphicFramePr/>
                <a:graphic xmlns:a="http://schemas.openxmlformats.org/drawingml/2006/main">
                  <a:graphicData uri="http://schemas.microsoft.com/office/word/2010/wordprocessingGroup">
                    <wpg:wgp>
                      <wpg:cNvGrpSpPr/>
                      <wpg:grpSpPr>
                        <a:xfrm>
                          <a:off x="0" y="0"/>
                          <a:ext cx="4580964" cy="2796428"/>
                          <a:chOff x="0" y="0"/>
                          <a:chExt cx="4580964" cy="2796428"/>
                        </a:xfrm>
                      </wpg:grpSpPr>
                      <wps:wsp>
                        <wps:cNvPr id="175" name="文本框 175"/>
                        <wps:cNvSpPr txBox="1"/>
                        <wps:spPr>
                          <a:xfrm>
                            <a:off x="0" y="134470"/>
                            <a:ext cx="716915" cy="6273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51A13">
                              <w:pPr>
                                <w:jc w:val="center"/>
                                <w:rPr>
                                  <w:rFonts w:ascii="Times New Roman" w:hAnsi="Times New Roman" w:eastAsia="宋体" w:cs="Times New Roman"/>
                                  <w:b/>
                                  <w:i/>
                                  <w:color w:val="auto"/>
                                  <w:sz w:val="18"/>
                                  <w:szCs w:val="18"/>
                                </w:rPr>
                              </w:pPr>
                              <w:r>
                                <w:rPr>
                                  <w:rFonts w:ascii="Times New Roman" w:hAnsi="Times New Roman" w:eastAsia="宋体" w:cs="宋体"/>
                                  <w:sz w:val="18"/>
                                </w:rPr>
                                <w:t>SaMD定义表述</w:t>
                              </w:r>
                              <w:r>
                                <w:rPr>
                                  <w:rFonts w:ascii="Times New Roman" w:hAnsi="Times New Roman" w:eastAsia="宋体" w:cs="宋体"/>
                                  <w:b/>
                                  <w:i/>
                                  <w:sz w:val="18"/>
                                </w:rPr>
                                <w:t>初始版</w:t>
                              </w:r>
                            </w:p>
                          </w:txbxContent>
                        </wps:txbx>
                        <wps:bodyPr rot="0" spcFirstLastPara="0" vertOverflow="overflow" horzOverflow="overflow" vert="horz" wrap="square" lIns="0" tIns="0" rIns="0" bIns="0" numCol="1" spcCol="0" rtlCol="0" fromWordArt="0" anchor="ctr" anchorCtr="0" forceAA="0" compatLnSpc="1">
                          <a:noAutofit/>
                        </wps:bodyPr>
                      </wps:wsp>
                      <wps:wsp>
                        <wps:cNvPr id="176" name="文本框 176"/>
                        <wps:cNvSpPr txBox="1"/>
                        <wps:spPr>
                          <a:xfrm>
                            <a:off x="47626" y="986495"/>
                            <a:ext cx="803746" cy="134470"/>
                          </a:xfrm>
                          <a:prstGeom prst="rect">
                            <a:avLst/>
                          </a:prstGeom>
                          <a:solidFill>
                            <a:srgbClr val="9933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5593">
                              <w:pPr>
                                <w:jc w:val="center"/>
                                <w:rPr>
                                  <w:rFonts w:ascii="Times New Roman" w:hAnsi="Times New Roman" w:eastAsia="宋体" w:cs="Times New Roman"/>
                                  <w:b/>
                                  <w:i/>
                                  <w:color w:val="FFFFFF" w:themeColor="background1"/>
                                  <w:sz w:val="18"/>
                                  <w:szCs w:val="18"/>
                                  <w14:textFill>
                                    <w14:solidFill>
                                      <w14:schemeClr w14:val="bg1"/>
                                    </w14:solidFill>
                                  </w14:textFill>
                                </w:rPr>
                              </w:pPr>
                              <w:r>
                                <w:rPr>
                                  <w:rFonts w:ascii="Times New Roman" w:hAnsi="Times New Roman" w:eastAsia="宋体" w:cs="宋体"/>
                                  <w:i/>
                                  <w:color w:val="FFFFFF"/>
                                  <w:sz w:val="18"/>
                                </w:rPr>
                                <w:t>新临床证据</w:t>
                              </w:r>
                              <w:r>
                                <w:rPr>
                                  <w:rFonts w:ascii="Times New Roman" w:hAnsi="Times New Roman" w:eastAsia="宋体" w:cs="宋体"/>
                                  <w:i/>
                                  <w:color w:val="FFFFFF"/>
                                  <w:sz w:val="18"/>
                                  <w:vertAlign w:val="subscript"/>
                                </w:rPr>
                                <w:t>1</w:t>
                              </w:r>
                            </w:p>
                          </w:txbxContent>
                        </wps:txbx>
                        <wps:bodyPr rot="0" spcFirstLastPara="0" vertOverflow="overflow" horzOverflow="overflow" vert="horz" wrap="square" lIns="0" tIns="0" rIns="0" bIns="0" numCol="1" spcCol="0" rtlCol="0" fromWordArt="0" anchor="ctr" anchorCtr="0" forceAA="0" compatLnSpc="1">
                          <a:noAutofit/>
                        </wps:bodyPr>
                      </wps:wsp>
                      <wps:wsp>
                        <wps:cNvPr id="177" name="文本框 177"/>
                        <wps:cNvSpPr txBox="1"/>
                        <wps:spPr>
                          <a:xfrm>
                            <a:off x="134468" y="1210570"/>
                            <a:ext cx="716905" cy="133985"/>
                          </a:xfrm>
                          <a:prstGeom prst="rect">
                            <a:avLst/>
                          </a:prstGeom>
                          <a:solidFill>
                            <a:srgbClr val="9933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A1FF7">
                              <w:pPr>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i/>
                                  <w:color w:val="FFFFFF"/>
                                  <w:sz w:val="18"/>
                                </w:rPr>
                                <w:t>新临床证据</w:t>
                              </w:r>
                              <w:r>
                                <w:rPr>
                                  <w:rFonts w:ascii="Times New Roman" w:hAnsi="Times New Roman" w:eastAsia="宋体" w:cs="宋体"/>
                                  <w:i/>
                                  <w:color w:val="FFFFFF"/>
                                  <w:sz w:val="18"/>
                                  <w:vertAlign w:val="subscript"/>
                                </w:rPr>
                                <w:t>2</w:t>
                              </w:r>
                            </w:p>
                          </w:txbxContent>
                        </wps:txbx>
                        <wps:bodyPr rot="0" spcFirstLastPara="0" vertOverflow="overflow" horzOverflow="overflow" vert="horz" wrap="square" lIns="0" tIns="0" rIns="0" bIns="0" numCol="1" spcCol="0" rtlCol="0" fromWordArt="0" anchor="ctr" anchorCtr="0" forceAA="0" compatLnSpc="1">
                          <a:noAutofit/>
                        </wps:bodyPr>
                      </wps:wsp>
                      <wps:wsp>
                        <wps:cNvPr id="178" name="文本框 178"/>
                        <wps:cNvSpPr txBox="1"/>
                        <wps:spPr>
                          <a:xfrm>
                            <a:off x="1676400" y="0"/>
                            <a:ext cx="770964" cy="9054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44578">
                              <w:pPr>
                                <w:jc w:val="center"/>
                                <w:rPr>
                                  <w:rFonts w:ascii="Times New Roman" w:hAnsi="Times New Roman" w:eastAsia="宋体" w:cs="Times New Roman"/>
                                  <w:color w:val="auto"/>
                                  <w:sz w:val="18"/>
                                  <w:szCs w:val="18"/>
                                  <w:lang w:eastAsia="zh-CN"/>
                                </w:rPr>
                              </w:pPr>
                              <w:r>
                                <w:rPr>
                                  <w:rFonts w:ascii="Times New Roman" w:hAnsi="Times New Roman" w:eastAsia="宋体" w:cs="宋体"/>
                                  <w:sz w:val="18"/>
                                  <w:lang w:eastAsia="zh-CN"/>
                                </w:rPr>
                                <w:t>上市后监测</w:t>
                              </w:r>
                            </w:p>
                            <w:p w14:paraId="1309D8E0">
                              <w:pPr>
                                <w:spacing w:after="180" w:afterLines="75"/>
                                <w:jc w:val="center"/>
                                <w:rPr>
                                  <w:rFonts w:ascii="Times New Roman" w:hAnsi="Times New Roman" w:eastAsia="宋体" w:cs="Times New Roman"/>
                                  <w:color w:val="auto"/>
                                  <w:sz w:val="18"/>
                                  <w:szCs w:val="18"/>
                                  <w:lang w:eastAsia="zh-CN"/>
                                </w:rPr>
                              </w:pPr>
                            </w:p>
                            <w:p w14:paraId="7BD1B967">
                              <w:pPr>
                                <w:rPr>
                                  <w:rFonts w:ascii="Times New Roman" w:hAnsi="Times New Roman" w:eastAsia="宋体" w:cs="Times New Roman"/>
                                  <w:color w:val="auto"/>
                                  <w:sz w:val="15"/>
                                  <w:szCs w:val="15"/>
                                  <w:lang w:eastAsia="zh-CN"/>
                                </w:rPr>
                              </w:pPr>
                              <w:r>
                                <w:rPr>
                                  <w:rFonts w:ascii="Times New Roman" w:hAnsi="Times New Roman" w:eastAsia="宋体" w:cs="宋体"/>
                                  <w:sz w:val="15"/>
                                  <w:szCs w:val="15"/>
                                  <w:lang w:eastAsia="zh-CN"/>
                                </w:rPr>
                                <w:t>用户反馈，</w:t>
                              </w:r>
                            </w:p>
                            <w:p w14:paraId="37C28ED1">
                              <w:pPr>
                                <w:rPr>
                                  <w:rFonts w:ascii="Times New Roman" w:hAnsi="Times New Roman" w:eastAsia="宋体" w:cs="Times New Roman"/>
                                  <w:color w:val="auto"/>
                                  <w:sz w:val="15"/>
                                  <w:szCs w:val="15"/>
                                  <w:lang w:eastAsia="zh-CN"/>
                                </w:rPr>
                              </w:pPr>
                              <w:r>
                                <w:rPr>
                                  <w:rFonts w:ascii="Times New Roman" w:hAnsi="Times New Roman" w:eastAsia="宋体" w:cs="宋体"/>
                                  <w:sz w:val="15"/>
                                  <w:szCs w:val="15"/>
                                  <w:lang w:eastAsia="zh-CN"/>
                                </w:rPr>
                                <w:t>投诉，</w:t>
                              </w:r>
                            </w:p>
                            <w:p w14:paraId="3DEDBF11">
                              <w:pPr>
                                <w:rPr>
                                  <w:rFonts w:ascii="Times New Roman" w:hAnsi="Times New Roman" w:eastAsia="宋体" w:cs="Times New Roman"/>
                                  <w:b/>
                                  <w:i/>
                                  <w:color w:val="auto"/>
                                  <w:sz w:val="15"/>
                                  <w:szCs w:val="15"/>
                                  <w:lang w:eastAsia="zh-CN"/>
                                </w:rPr>
                              </w:pPr>
                              <w:r>
                                <w:rPr>
                                  <w:rFonts w:ascii="Times New Roman" w:hAnsi="Times New Roman" w:eastAsia="宋体" w:cs="宋体"/>
                                  <w:sz w:val="15"/>
                                  <w:szCs w:val="15"/>
                                  <w:lang w:eastAsia="zh-CN"/>
                                </w:rPr>
                                <w:t>不良事件等。</w:t>
                              </w:r>
                            </w:p>
                          </w:txbxContent>
                        </wps:txbx>
                        <wps:bodyPr rot="0" spcFirstLastPara="0" vertOverflow="overflow" horzOverflow="overflow" vert="horz" wrap="square" lIns="0" tIns="0" rIns="0" bIns="0" numCol="1" spcCol="0" rtlCol="0" fromWordArt="0" anchor="t" anchorCtr="0" forceAA="0" compatLnSpc="1">
                          <a:noAutofit/>
                        </wps:bodyPr>
                      </wps:wsp>
                      <wps:wsp>
                        <wps:cNvPr id="179" name="文本框 179"/>
                        <wps:cNvSpPr txBox="1"/>
                        <wps:spPr>
                          <a:xfrm>
                            <a:off x="1461247" y="1102659"/>
                            <a:ext cx="1039906" cy="36755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47FB3">
                              <w:pPr>
                                <w:jc w:val="center"/>
                                <w:rPr>
                                  <w:rFonts w:ascii="Times New Roman" w:hAnsi="Times New Roman" w:eastAsia="宋体" w:cs="Times New Roman"/>
                                  <w:b/>
                                  <w:i/>
                                  <w:color w:val="auto"/>
                                </w:rPr>
                              </w:pPr>
                              <w:r>
                                <w:rPr>
                                  <w:rFonts w:ascii="Times New Roman" w:hAnsi="Times New Roman" w:eastAsia="宋体" w:cs="宋体"/>
                                </w:rPr>
                                <w:t>重复循环</w:t>
                              </w:r>
                            </w:p>
                          </w:txbxContent>
                        </wps:txbx>
                        <wps:bodyPr rot="0" spcFirstLastPara="0" vertOverflow="overflow" horzOverflow="overflow" vert="horz" wrap="square" lIns="0" tIns="0" rIns="0" bIns="0" numCol="1" spcCol="0" rtlCol="0" fromWordArt="0" anchor="t" anchorCtr="0" forceAA="0" compatLnSpc="1">
                          <a:noAutofit/>
                        </wps:bodyPr>
                      </wps:wsp>
                      <wps:wsp>
                        <wps:cNvPr id="180" name="文本框 180"/>
                        <wps:cNvSpPr txBox="1"/>
                        <wps:spPr>
                          <a:xfrm>
                            <a:off x="1093694" y="1891553"/>
                            <a:ext cx="1174376" cy="904875"/>
                          </a:xfrm>
                          <a:prstGeom prst="rect">
                            <a:avLst/>
                          </a:prstGeom>
                          <a:solidFill>
                            <a:srgbClr val="00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7126D">
                              <w:pPr>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新临床证据</w:t>
                              </w:r>
                            </w:p>
                            <w:p w14:paraId="159ADED4">
                              <w:pPr>
                                <w:adjustRightInd w:val="0"/>
                                <w:snapToGrid w:val="0"/>
                                <w:rPr>
                                  <w:rFonts w:ascii="Times New Roman" w:hAnsi="Times New Roman" w:eastAsia="宋体" w:cs="Times New Roman"/>
                                  <w:color w:val="FFFFFF" w:themeColor="background1"/>
                                  <w:sz w:val="13"/>
                                  <w:szCs w:val="13"/>
                                  <w:lang w:eastAsia="zh-CN"/>
                                  <w14:textFill>
                                    <w14:solidFill>
                                      <w14:schemeClr w14:val="bg1"/>
                                    </w14:solidFill>
                                  </w14:textFill>
                                </w:rPr>
                              </w:pPr>
                            </w:p>
                            <w:p w14:paraId="71632ED3">
                              <w:pPr>
                                <w:adjustRightInd w:val="0"/>
                                <w:snapToGrid w:val="0"/>
                                <w:rPr>
                                  <w:rFonts w:ascii="Times New Roman" w:hAnsi="Times New Roman" w:eastAsia="宋体" w:cs="Times New Roman"/>
                                  <w:color w:val="FFFFFF" w:themeColor="background1"/>
                                  <w:sz w:val="13"/>
                                  <w:szCs w:val="13"/>
                                  <w:lang w:eastAsia="zh-CN"/>
                                  <w14:textFill>
                                    <w14:solidFill>
                                      <w14:schemeClr w14:val="bg1"/>
                                    </w14:solidFill>
                                  </w14:textFill>
                                </w:rPr>
                              </w:pPr>
                            </w:p>
                            <w:p w14:paraId="05083D42">
                              <w:pPr>
                                <w:rPr>
                                  <w:rFonts w:ascii="Times New Roman" w:hAnsi="Times New Roman" w:eastAsia="宋体" w:cs="宋体"/>
                                  <w:color w:val="FFFFFF"/>
                                  <w:sz w:val="18"/>
                                  <w:lang w:eastAsia="zh-CN"/>
                                </w:rPr>
                              </w:pPr>
                              <w:r>
                                <w:rPr>
                                  <w:rFonts w:ascii="Times New Roman" w:hAnsi="Times New Roman" w:eastAsia="宋体" w:cs="宋体"/>
                                  <w:color w:val="FFFFFF"/>
                                  <w:sz w:val="18"/>
                                  <w:lang w:eastAsia="zh-CN"/>
                                </w:rPr>
                                <w:t>启用新功能</w:t>
                              </w:r>
                            </w:p>
                            <w:p w14:paraId="2822AFF8">
                              <w:pPr>
                                <w:rPr>
                                  <w:rFonts w:ascii="Times New Roman" w:hAnsi="Times New Roman" w:eastAsia="宋体" w:cs="Times New Roman"/>
                                  <w:color w:val="FFFFFF" w:themeColor="background1"/>
                                  <w:sz w:val="18"/>
                                  <w:szCs w:val="18"/>
                                  <w:lang w:eastAsia="zh-CN"/>
                                  <w14:textFill>
                                    <w14:solidFill>
                                      <w14:schemeClr w14:val="bg1"/>
                                    </w14:solidFill>
                                  </w14:textFill>
                                </w:rPr>
                              </w:pPr>
                            </w:p>
                            <w:p w14:paraId="55C59043">
                              <w:pPr>
                                <w:rPr>
                                  <w:rFonts w:ascii="Times New Roman" w:hAnsi="Times New Roman" w:eastAsia="宋体" w:cs="Times New Roman"/>
                                  <w:b/>
                                  <w:i/>
                                  <w:color w:val="FFFFFF" w:themeColor="background1"/>
                                  <w:sz w:val="15"/>
                                  <w:szCs w:val="15"/>
                                  <w:lang w:eastAsia="zh-CN"/>
                                  <w14:textFill>
                                    <w14:solidFill>
                                      <w14:schemeClr w14:val="bg1"/>
                                    </w14:solidFill>
                                  </w14:textFill>
                                </w:rPr>
                              </w:pPr>
                              <w:r>
                                <w:rPr>
                                  <w:rFonts w:ascii="Times New Roman" w:hAnsi="Times New Roman" w:eastAsia="宋体" w:cs="宋体"/>
                                  <w:color w:val="FFFFFF"/>
                                  <w:sz w:val="18"/>
                                  <w:lang w:eastAsia="zh-CN"/>
                                </w:rPr>
                                <w:t>禁用现有功能</w:t>
                              </w:r>
                            </w:p>
                          </w:txbxContent>
                        </wps:txbx>
                        <wps:bodyPr rot="0" spcFirstLastPara="0" vertOverflow="overflow" horzOverflow="overflow" vert="horz" wrap="square" lIns="0" tIns="0" rIns="0" bIns="0" numCol="1" spcCol="0" rtlCol="0" fromWordArt="0" anchor="t" anchorCtr="0" forceAA="0" compatLnSpc="1">
                          <a:noAutofit/>
                        </wps:bodyPr>
                      </wps:wsp>
                      <wps:wsp>
                        <wps:cNvPr id="181" name="文本框 181"/>
                        <wps:cNvSpPr txBox="1"/>
                        <wps:spPr>
                          <a:xfrm>
                            <a:off x="3137647" y="0"/>
                            <a:ext cx="1443317" cy="761850"/>
                          </a:xfrm>
                          <a:prstGeom prst="rect">
                            <a:avLst/>
                          </a:prstGeom>
                          <a:solidFill>
                            <a:schemeClr val="bg1">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CB141">
                              <w:pPr>
                                <w:spacing w:after="120" w:afterLines="50"/>
                                <w:jc w:val="center"/>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临床评价</w:t>
                              </w:r>
                            </w:p>
                            <w:p w14:paraId="56690439">
                              <w:pPr>
                                <w:spacing w:line="300" w:lineRule="auto"/>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有效临床关联</w:t>
                              </w:r>
                            </w:p>
                            <w:p w14:paraId="15D3D10E">
                              <w:pPr>
                                <w:spacing w:line="300" w:lineRule="auto"/>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分析确认</w:t>
                              </w:r>
                            </w:p>
                            <w:p w14:paraId="7A07D176">
                              <w:pPr>
                                <w:spacing w:line="300" w:lineRule="auto"/>
                                <w:rPr>
                                  <w:rFonts w:ascii="Times New Roman" w:hAnsi="Times New Roman" w:eastAsia="宋体" w:cs="Times New Roman"/>
                                  <w:b/>
                                  <w:i/>
                                  <w:color w:val="FFFFFF" w:themeColor="background1"/>
                                  <w:sz w:val="15"/>
                                  <w:szCs w:val="15"/>
                                  <w14:textFill>
                                    <w14:solidFill>
                                      <w14:schemeClr w14:val="bg1"/>
                                    </w14:solidFill>
                                  </w14:textFill>
                                </w:rPr>
                              </w:pPr>
                              <w:r>
                                <w:rPr>
                                  <w:rFonts w:ascii="Times New Roman" w:hAnsi="Times New Roman" w:eastAsia="宋体" w:cs="宋体"/>
                                  <w:color w:val="FFFFFF"/>
                                  <w:sz w:val="18"/>
                                </w:rPr>
                                <w:t>临床确认</w:t>
                              </w:r>
                            </w:p>
                          </w:txbxContent>
                        </wps:txbx>
                        <wps:bodyPr rot="0" spcFirstLastPara="0" vertOverflow="overflow" horzOverflow="overflow" vert="horz" wrap="square" lIns="0" tIns="0" rIns="0" bIns="0" numCol="1" spcCol="0" rtlCol="0" fromWordArt="0" anchor="t" anchorCtr="0" forceAA="0" compatLnSpc="1">
                          <a:noAutofit/>
                        </wps:bodyPr>
                      </wps:wsp>
                      <wps:wsp>
                        <wps:cNvPr id="182" name="文本框 182"/>
                        <wps:cNvSpPr txBox="1"/>
                        <wps:spPr>
                          <a:xfrm>
                            <a:off x="3433482" y="869576"/>
                            <a:ext cx="716915" cy="34962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28223">
                              <w:pPr>
                                <w:jc w:val="center"/>
                                <w:rPr>
                                  <w:rFonts w:ascii="Times New Roman" w:hAnsi="Times New Roman" w:eastAsia="宋体" w:cs="Times New Roman"/>
                                  <w:b/>
                                  <w:i/>
                                  <w:color w:val="auto"/>
                                  <w:sz w:val="18"/>
                                  <w:szCs w:val="18"/>
                                </w:rPr>
                              </w:pPr>
                              <w:r>
                                <w:rPr>
                                  <w:rFonts w:ascii="Times New Roman" w:hAnsi="Times New Roman" w:eastAsia="宋体" w:cs="宋体"/>
                                  <w:sz w:val="18"/>
                                </w:rPr>
                                <w:t>收集数据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183" name="文本框 183"/>
                        <wps:cNvSpPr txBox="1"/>
                        <wps:spPr>
                          <a:xfrm>
                            <a:off x="3433482" y="2294965"/>
                            <a:ext cx="716915" cy="349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E85DD">
                              <w:pPr>
                                <w:jc w:val="center"/>
                                <w:rPr>
                                  <w:rFonts w:ascii="Times New Roman" w:hAnsi="Times New Roman" w:eastAsia="宋体" w:cs="Times New Roman"/>
                                  <w:b/>
                                  <w:i/>
                                  <w:color w:val="auto"/>
                                  <w:sz w:val="18"/>
                                  <w:szCs w:val="18"/>
                                </w:rPr>
                              </w:pPr>
                              <w:r>
                                <w:rPr>
                                  <w:rFonts w:ascii="Times New Roman" w:hAnsi="Times New Roman" w:eastAsia="宋体" w:cs="宋体"/>
                                  <w:sz w:val="18"/>
                                </w:rPr>
                                <w:t>评价数据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184" name="文本框 184"/>
                        <wps:cNvSpPr txBox="1"/>
                        <wps:spPr>
                          <a:xfrm>
                            <a:off x="3424517" y="1577788"/>
                            <a:ext cx="716915" cy="349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56FF2">
                              <w:pPr>
                                <w:jc w:val="center"/>
                                <w:rPr>
                                  <w:rFonts w:ascii="Times New Roman" w:hAnsi="Times New Roman" w:eastAsia="宋体" w:cs="Times New Roman"/>
                                  <w:b/>
                                  <w:i/>
                                  <w:color w:val="auto"/>
                                  <w:sz w:val="18"/>
                                  <w:szCs w:val="18"/>
                                </w:rPr>
                              </w:pPr>
                              <w:r>
                                <w:rPr>
                                  <w:rFonts w:ascii="Times New Roman" w:hAnsi="Times New Roman" w:eastAsia="宋体" w:cs="宋体"/>
                                  <w:sz w:val="18"/>
                                </w:rPr>
                                <w:t>分析数据</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49.85pt;margin-top:9.3pt;height:220.2pt;width:360.7pt;z-index:251665408;mso-width-relative:page;mso-height-relative:page;" coordsize="4580964,2796428" o:gfxdata="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MqjkITaAAAACQEAAA8A&#10;AAAAAAAAAQAgAAAAIgAAAGRycy9kb3ducmV2LnhtbFBLAQIUABQAAAAIAIdO4kB1UQ1HiAQAAJge&#10;AAAOAAAAAAAAAAEAIAAAACkBAABkcnMvZTJvRG9jLnhtbFBLBQYAAAAABgAGAFkBAAAjCAAAAAA=&#10;">
                <o:lock v:ext="edit" aspectratio="f"/>
                <v:shape id="_x0000_s1026" o:spid="_x0000_s1026" o:spt="202" type="#_x0000_t202" style="position:absolute;left:0;top:134470;height:627380;width:716915;v-text-anchor:middle;" fillcolor="#FFFFFF [3212]" filled="t" stroked="f" coordsize="21600,21600" o:gfxdata="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iQn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7D051A13">
                        <w:pPr>
                          <w:jc w:val="center"/>
                          <w:rPr>
                            <w:rFonts w:ascii="Times New Roman" w:hAnsi="Times New Roman" w:eastAsia="宋体" w:cs="Times New Roman"/>
                            <w:b/>
                            <w:i/>
                            <w:color w:val="auto"/>
                            <w:sz w:val="18"/>
                            <w:szCs w:val="18"/>
                          </w:rPr>
                        </w:pPr>
                        <w:r>
                          <w:rPr>
                            <w:rFonts w:ascii="Times New Roman" w:hAnsi="Times New Roman" w:eastAsia="宋体" w:cs="宋体"/>
                            <w:sz w:val="18"/>
                          </w:rPr>
                          <w:t>SaMD定义表述</w:t>
                        </w:r>
                        <w:r>
                          <w:rPr>
                            <w:rFonts w:ascii="Times New Roman" w:hAnsi="Times New Roman" w:eastAsia="宋体" w:cs="宋体"/>
                            <w:b/>
                            <w:i/>
                            <w:sz w:val="18"/>
                          </w:rPr>
                          <w:t>初始版</w:t>
                        </w:r>
                      </w:p>
                    </w:txbxContent>
                  </v:textbox>
                </v:shape>
                <v:shape id="_x0000_s1026" o:spid="_x0000_s1026" o:spt="202" type="#_x0000_t202" style="position:absolute;left:47626;top:986495;height:134470;width:803746;v-text-anchor:middle;" fillcolor="#9933FF" filled="t" stroked="f" coordsize="21600,21600" o:gfxdata="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9oKO/&#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1DD75593">
                        <w:pPr>
                          <w:jc w:val="center"/>
                          <w:rPr>
                            <w:rFonts w:ascii="Times New Roman" w:hAnsi="Times New Roman" w:eastAsia="宋体" w:cs="Times New Roman"/>
                            <w:b/>
                            <w:i/>
                            <w:color w:val="FFFFFF" w:themeColor="background1"/>
                            <w:sz w:val="18"/>
                            <w:szCs w:val="18"/>
                            <w14:textFill>
                              <w14:solidFill>
                                <w14:schemeClr w14:val="bg1"/>
                              </w14:solidFill>
                            </w14:textFill>
                          </w:rPr>
                        </w:pPr>
                        <w:r>
                          <w:rPr>
                            <w:rFonts w:ascii="Times New Roman" w:hAnsi="Times New Roman" w:eastAsia="宋体" w:cs="宋体"/>
                            <w:i/>
                            <w:color w:val="FFFFFF"/>
                            <w:sz w:val="18"/>
                          </w:rPr>
                          <w:t>新临床证据</w:t>
                        </w:r>
                        <w:r>
                          <w:rPr>
                            <w:rFonts w:ascii="Times New Roman" w:hAnsi="Times New Roman" w:eastAsia="宋体" w:cs="宋体"/>
                            <w:i/>
                            <w:color w:val="FFFFFF"/>
                            <w:sz w:val="18"/>
                            <w:vertAlign w:val="subscript"/>
                          </w:rPr>
                          <w:t>1</w:t>
                        </w:r>
                      </w:p>
                    </w:txbxContent>
                  </v:textbox>
                </v:shape>
                <v:shape id="_x0000_s1026" o:spid="_x0000_s1026" o:spt="202" type="#_x0000_t202" style="position:absolute;left:134468;top:1210570;height:133985;width:716905;v-text-anchor:middle;" fillcolor="#9933FF" filled="t" stroked="f" coordsize="21600,21600" o:gfxdata="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xBTi/&#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735A1FF7">
                        <w:pPr>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i/>
                            <w:color w:val="FFFFFF"/>
                            <w:sz w:val="18"/>
                          </w:rPr>
                          <w:t>新临床证据</w:t>
                        </w:r>
                        <w:r>
                          <w:rPr>
                            <w:rFonts w:ascii="Times New Roman" w:hAnsi="Times New Roman" w:eastAsia="宋体" w:cs="宋体"/>
                            <w:i/>
                            <w:color w:val="FFFFFF"/>
                            <w:sz w:val="18"/>
                            <w:vertAlign w:val="subscript"/>
                          </w:rPr>
                          <w:t>2</w:t>
                        </w:r>
                      </w:p>
                    </w:txbxContent>
                  </v:textbox>
                </v:shape>
                <v:shape id="_x0000_s1026" o:spid="_x0000_s1026" o:spt="202" type="#_x0000_t202" style="position:absolute;left:1676400;top:0;height:905435;width:770964;" fillcolor="#FFFFFF [3212]" filled="t" stroked="f" coordsize="21600,21600" o:gfxdata="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yVWm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22A44578">
                        <w:pPr>
                          <w:jc w:val="center"/>
                          <w:rPr>
                            <w:rFonts w:ascii="Times New Roman" w:hAnsi="Times New Roman" w:eastAsia="宋体" w:cs="Times New Roman"/>
                            <w:color w:val="auto"/>
                            <w:sz w:val="18"/>
                            <w:szCs w:val="18"/>
                            <w:lang w:eastAsia="zh-CN"/>
                          </w:rPr>
                        </w:pPr>
                        <w:r>
                          <w:rPr>
                            <w:rFonts w:ascii="Times New Roman" w:hAnsi="Times New Roman" w:eastAsia="宋体" w:cs="宋体"/>
                            <w:sz w:val="18"/>
                            <w:lang w:eastAsia="zh-CN"/>
                          </w:rPr>
                          <w:t>上市后监测</w:t>
                        </w:r>
                      </w:p>
                      <w:p w14:paraId="1309D8E0">
                        <w:pPr>
                          <w:spacing w:after="180" w:afterLines="75"/>
                          <w:jc w:val="center"/>
                          <w:rPr>
                            <w:rFonts w:ascii="Times New Roman" w:hAnsi="Times New Roman" w:eastAsia="宋体" w:cs="Times New Roman"/>
                            <w:color w:val="auto"/>
                            <w:sz w:val="18"/>
                            <w:szCs w:val="18"/>
                            <w:lang w:eastAsia="zh-CN"/>
                          </w:rPr>
                        </w:pPr>
                      </w:p>
                      <w:p w14:paraId="7BD1B967">
                        <w:pPr>
                          <w:rPr>
                            <w:rFonts w:ascii="Times New Roman" w:hAnsi="Times New Roman" w:eastAsia="宋体" w:cs="Times New Roman"/>
                            <w:color w:val="auto"/>
                            <w:sz w:val="15"/>
                            <w:szCs w:val="15"/>
                            <w:lang w:eastAsia="zh-CN"/>
                          </w:rPr>
                        </w:pPr>
                        <w:r>
                          <w:rPr>
                            <w:rFonts w:ascii="Times New Roman" w:hAnsi="Times New Roman" w:eastAsia="宋体" w:cs="宋体"/>
                            <w:sz w:val="15"/>
                            <w:szCs w:val="15"/>
                            <w:lang w:eastAsia="zh-CN"/>
                          </w:rPr>
                          <w:t>用户反馈，</w:t>
                        </w:r>
                      </w:p>
                      <w:p w14:paraId="37C28ED1">
                        <w:pPr>
                          <w:rPr>
                            <w:rFonts w:ascii="Times New Roman" w:hAnsi="Times New Roman" w:eastAsia="宋体" w:cs="Times New Roman"/>
                            <w:color w:val="auto"/>
                            <w:sz w:val="15"/>
                            <w:szCs w:val="15"/>
                            <w:lang w:eastAsia="zh-CN"/>
                          </w:rPr>
                        </w:pPr>
                        <w:r>
                          <w:rPr>
                            <w:rFonts w:ascii="Times New Roman" w:hAnsi="Times New Roman" w:eastAsia="宋体" w:cs="宋体"/>
                            <w:sz w:val="15"/>
                            <w:szCs w:val="15"/>
                            <w:lang w:eastAsia="zh-CN"/>
                          </w:rPr>
                          <w:t>投诉，</w:t>
                        </w:r>
                      </w:p>
                      <w:p w14:paraId="3DEDBF11">
                        <w:pPr>
                          <w:rPr>
                            <w:rFonts w:ascii="Times New Roman" w:hAnsi="Times New Roman" w:eastAsia="宋体" w:cs="Times New Roman"/>
                            <w:b/>
                            <w:i/>
                            <w:color w:val="auto"/>
                            <w:sz w:val="15"/>
                            <w:szCs w:val="15"/>
                            <w:lang w:eastAsia="zh-CN"/>
                          </w:rPr>
                        </w:pPr>
                        <w:r>
                          <w:rPr>
                            <w:rFonts w:ascii="Times New Roman" w:hAnsi="Times New Roman" w:eastAsia="宋体" w:cs="宋体"/>
                            <w:sz w:val="15"/>
                            <w:szCs w:val="15"/>
                            <w:lang w:eastAsia="zh-CN"/>
                          </w:rPr>
                          <w:t>不良事件等。</w:t>
                        </w:r>
                      </w:p>
                    </w:txbxContent>
                  </v:textbox>
                </v:shape>
                <v:shape id="_x0000_s1026" o:spid="_x0000_s1026" o:spt="202" type="#_x0000_t202" style="position:absolute;left:1461247;top:1102659;height:367553;width:1039906;" fillcolor="#FFFFFF [3212]" filled="t" stroked="f" coordsize="21600,21600" o:gfxdata="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PvDytwAAANwAAAAP&#10;AAAAAAAAAAEAIAAAACIAAABkcnMvZG93bnJldi54bWxQSwECFAAUAAAACACHTuJAMy8FnjsAAAA5&#10;AAAAEAAAAAAAAAABACAAAAAGAQAAZHJzL3NoYXBleG1sLnhtbFBLBQYAAAAABgAGAFsBAACwAwAA&#10;AAA=&#10;">
                  <v:fill on="t" focussize="0,0"/>
                  <v:stroke on="f" weight="0.5pt"/>
                  <v:imagedata o:title=""/>
                  <o:lock v:ext="edit" aspectratio="f"/>
                  <v:textbox inset="0mm,0mm,0mm,0mm">
                    <w:txbxContent>
                      <w:p w14:paraId="60E47FB3">
                        <w:pPr>
                          <w:jc w:val="center"/>
                          <w:rPr>
                            <w:rFonts w:ascii="Times New Roman" w:hAnsi="Times New Roman" w:eastAsia="宋体" w:cs="Times New Roman"/>
                            <w:b/>
                            <w:i/>
                            <w:color w:val="auto"/>
                          </w:rPr>
                        </w:pPr>
                        <w:r>
                          <w:rPr>
                            <w:rFonts w:ascii="Times New Roman" w:hAnsi="Times New Roman" w:eastAsia="宋体" w:cs="宋体"/>
                          </w:rPr>
                          <w:t>重复循环</w:t>
                        </w:r>
                      </w:p>
                    </w:txbxContent>
                  </v:textbox>
                </v:shape>
                <v:shape id="_x0000_s1026" o:spid="_x0000_s1026" o:spt="202" type="#_x0000_t202" style="position:absolute;left:1093694;top:1891553;height:904875;width:1174376;" fillcolor="#0066FF" filled="t" stroked="f" coordsize="21600,21600" o:gfxdata="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Fr3&#10;hcEAAADcAAAADwAAAAAAAAABACAAAAAiAAAAZHJzL2Rvd25yZXYueG1sUEsBAhQAFAAAAAgAh07i&#10;QDMvBZ47AAAAOQAAABAAAAAAAAAAAQAgAAAAEAEAAGRycy9zaGFwZXhtbC54bWxQSwUGAAAAAAYA&#10;BgBbAQAAugMAAAAA&#10;">
                  <v:fill on="t" focussize="0,0"/>
                  <v:stroke on="f" weight="0.5pt"/>
                  <v:imagedata o:title=""/>
                  <o:lock v:ext="edit" aspectratio="f"/>
                  <v:textbox inset="0mm,0mm,0mm,0mm">
                    <w:txbxContent>
                      <w:p w14:paraId="6447126D">
                        <w:pPr>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新临床证据</w:t>
                        </w:r>
                      </w:p>
                      <w:p w14:paraId="159ADED4">
                        <w:pPr>
                          <w:adjustRightInd w:val="0"/>
                          <w:snapToGrid w:val="0"/>
                          <w:rPr>
                            <w:rFonts w:ascii="Times New Roman" w:hAnsi="Times New Roman" w:eastAsia="宋体" w:cs="Times New Roman"/>
                            <w:color w:val="FFFFFF" w:themeColor="background1"/>
                            <w:sz w:val="13"/>
                            <w:szCs w:val="13"/>
                            <w:lang w:eastAsia="zh-CN"/>
                            <w14:textFill>
                              <w14:solidFill>
                                <w14:schemeClr w14:val="bg1"/>
                              </w14:solidFill>
                            </w14:textFill>
                          </w:rPr>
                        </w:pPr>
                      </w:p>
                      <w:p w14:paraId="71632ED3">
                        <w:pPr>
                          <w:adjustRightInd w:val="0"/>
                          <w:snapToGrid w:val="0"/>
                          <w:rPr>
                            <w:rFonts w:ascii="Times New Roman" w:hAnsi="Times New Roman" w:eastAsia="宋体" w:cs="Times New Roman"/>
                            <w:color w:val="FFFFFF" w:themeColor="background1"/>
                            <w:sz w:val="13"/>
                            <w:szCs w:val="13"/>
                            <w:lang w:eastAsia="zh-CN"/>
                            <w14:textFill>
                              <w14:solidFill>
                                <w14:schemeClr w14:val="bg1"/>
                              </w14:solidFill>
                            </w14:textFill>
                          </w:rPr>
                        </w:pPr>
                      </w:p>
                      <w:p w14:paraId="05083D42">
                        <w:pPr>
                          <w:rPr>
                            <w:rFonts w:ascii="Times New Roman" w:hAnsi="Times New Roman" w:eastAsia="宋体" w:cs="宋体"/>
                            <w:color w:val="FFFFFF"/>
                            <w:sz w:val="18"/>
                            <w:lang w:eastAsia="zh-CN"/>
                          </w:rPr>
                        </w:pPr>
                        <w:r>
                          <w:rPr>
                            <w:rFonts w:ascii="Times New Roman" w:hAnsi="Times New Roman" w:eastAsia="宋体" w:cs="宋体"/>
                            <w:color w:val="FFFFFF"/>
                            <w:sz w:val="18"/>
                            <w:lang w:eastAsia="zh-CN"/>
                          </w:rPr>
                          <w:t>启用新功能</w:t>
                        </w:r>
                      </w:p>
                      <w:p w14:paraId="2822AFF8">
                        <w:pPr>
                          <w:rPr>
                            <w:rFonts w:ascii="Times New Roman" w:hAnsi="Times New Roman" w:eastAsia="宋体" w:cs="Times New Roman"/>
                            <w:color w:val="FFFFFF" w:themeColor="background1"/>
                            <w:sz w:val="18"/>
                            <w:szCs w:val="18"/>
                            <w:lang w:eastAsia="zh-CN"/>
                            <w14:textFill>
                              <w14:solidFill>
                                <w14:schemeClr w14:val="bg1"/>
                              </w14:solidFill>
                            </w14:textFill>
                          </w:rPr>
                        </w:pPr>
                      </w:p>
                      <w:p w14:paraId="55C59043">
                        <w:pPr>
                          <w:rPr>
                            <w:rFonts w:ascii="Times New Roman" w:hAnsi="Times New Roman" w:eastAsia="宋体" w:cs="Times New Roman"/>
                            <w:b/>
                            <w:i/>
                            <w:color w:val="FFFFFF" w:themeColor="background1"/>
                            <w:sz w:val="15"/>
                            <w:szCs w:val="15"/>
                            <w:lang w:eastAsia="zh-CN"/>
                            <w14:textFill>
                              <w14:solidFill>
                                <w14:schemeClr w14:val="bg1"/>
                              </w14:solidFill>
                            </w14:textFill>
                          </w:rPr>
                        </w:pPr>
                        <w:r>
                          <w:rPr>
                            <w:rFonts w:ascii="Times New Roman" w:hAnsi="Times New Roman" w:eastAsia="宋体" w:cs="宋体"/>
                            <w:color w:val="FFFFFF"/>
                            <w:sz w:val="18"/>
                            <w:lang w:eastAsia="zh-CN"/>
                          </w:rPr>
                          <w:t>禁用现有功能</w:t>
                        </w:r>
                      </w:p>
                    </w:txbxContent>
                  </v:textbox>
                </v:shape>
                <v:shape id="_x0000_s1026" o:spid="_x0000_s1026" o:spt="202" type="#_x0000_t202" style="position:absolute;left:3137647;top:0;height:761850;width:1443317;" fillcolor="#808080 [1612]" filled="t" stroked="f" coordsize="21600,21600" o:gfxdata="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eCWC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7F3CB141">
                        <w:pPr>
                          <w:spacing w:after="120" w:afterLines="50"/>
                          <w:jc w:val="center"/>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临床评价</w:t>
                        </w:r>
                      </w:p>
                      <w:p w14:paraId="56690439">
                        <w:pPr>
                          <w:spacing w:line="300" w:lineRule="auto"/>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有效临床关联</w:t>
                        </w:r>
                      </w:p>
                      <w:p w14:paraId="15D3D10E">
                        <w:pPr>
                          <w:spacing w:line="300" w:lineRule="auto"/>
                          <w:rPr>
                            <w:rFonts w:ascii="Times New Roman" w:hAnsi="Times New Roman" w:eastAsia="宋体" w:cs="Times New Roman"/>
                            <w:color w:val="FFFFFF" w:themeColor="background1"/>
                            <w:sz w:val="18"/>
                            <w:szCs w:val="18"/>
                            <w:lang w:eastAsia="zh-CN"/>
                            <w14:textFill>
                              <w14:solidFill>
                                <w14:schemeClr w14:val="bg1"/>
                              </w14:solidFill>
                            </w14:textFill>
                          </w:rPr>
                        </w:pPr>
                        <w:r>
                          <w:rPr>
                            <w:rFonts w:ascii="Times New Roman" w:hAnsi="Times New Roman" w:eastAsia="宋体" w:cs="宋体"/>
                            <w:color w:val="FFFFFF"/>
                            <w:sz w:val="18"/>
                            <w:lang w:eastAsia="zh-CN"/>
                          </w:rPr>
                          <w:t>分析确认</w:t>
                        </w:r>
                      </w:p>
                      <w:p w14:paraId="7A07D176">
                        <w:pPr>
                          <w:spacing w:line="300" w:lineRule="auto"/>
                          <w:rPr>
                            <w:rFonts w:ascii="Times New Roman" w:hAnsi="Times New Roman" w:eastAsia="宋体" w:cs="Times New Roman"/>
                            <w:b/>
                            <w:i/>
                            <w:color w:val="FFFFFF" w:themeColor="background1"/>
                            <w:sz w:val="15"/>
                            <w:szCs w:val="15"/>
                            <w14:textFill>
                              <w14:solidFill>
                                <w14:schemeClr w14:val="bg1"/>
                              </w14:solidFill>
                            </w14:textFill>
                          </w:rPr>
                        </w:pPr>
                        <w:r>
                          <w:rPr>
                            <w:rFonts w:ascii="Times New Roman" w:hAnsi="Times New Roman" w:eastAsia="宋体" w:cs="宋体"/>
                            <w:color w:val="FFFFFF"/>
                            <w:sz w:val="18"/>
                          </w:rPr>
                          <w:t>临床确认</w:t>
                        </w:r>
                      </w:p>
                    </w:txbxContent>
                  </v:textbox>
                </v:shape>
                <v:shape id="_x0000_s1026" o:spid="_x0000_s1026" o:spt="202" type="#_x0000_t202" style="position:absolute;left:3433482;top:869576;height:349623;width:716915;v-text-anchor:middle;" fillcolor="#FFFFFF [3212]" filled="t" stroked="f" coordsize="21600,21600" o:gfxdata="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RHjM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06128223">
                        <w:pPr>
                          <w:jc w:val="center"/>
                          <w:rPr>
                            <w:rFonts w:ascii="Times New Roman" w:hAnsi="Times New Roman" w:eastAsia="宋体" w:cs="Times New Roman"/>
                            <w:b/>
                            <w:i/>
                            <w:color w:val="auto"/>
                            <w:sz w:val="18"/>
                            <w:szCs w:val="18"/>
                          </w:rPr>
                        </w:pPr>
                        <w:r>
                          <w:rPr>
                            <w:rFonts w:ascii="Times New Roman" w:hAnsi="Times New Roman" w:eastAsia="宋体" w:cs="宋体"/>
                            <w:sz w:val="18"/>
                          </w:rPr>
                          <w:t>收集数据</w:t>
                        </w:r>
                      </w:p>
                    </w:txbxContent>
                  </v:textbox>
                </v:shape>
                <v:shape id="_x0000_s1026" o:spid="_x0000_s1026" o:spt="202" type="#_x0000_t202" style="position:absolute;left:3433482;top:2294965;height:349250;width:716915;v-text-anchor:middle;" fillcolor="#FFFFFF [3212]" filled="t" stroked="f" coordsize="21600,21600" o:gfxdata="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jdV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06FE85DD">
                        <w:pPr>
                          <w:jc w:val="center"/>
                          <w:rPr>
                            <w:rFonts w:ascii="Times New Roman" w:hAnsi="Times New Roman" w:eastAsia="宋体" w:cs="Times New Roman"/>
                            <w:b/>
                            <w:i/>
                            <w:color w:val="auto"/>
                            <w:sz w:val="18"/>
                            <w:szCs w:val="18"/>
                          </w:rPr>
                        </w:pPr>
                        <w:r>
                          <w:rPr>
                            <w:rFonts w:ascii="Times New Roman" w:hAnsi="Times New Roman" w:eastAsia="宋体" w:cs="宋体"/>
                            <w:sz w:val="18"/>
                          </w:rPr>
                          <w:t>评价数据</w:t>
                        </w:r>
                      </w:p>
                    </w:txbxContent>
                  </v:textbox>
                </v:shape>
                <v:shape id="_x0000_s1026" o:spid="_x0000_s1026" o:spt="202" type="#_x0000_t202" style="position:absolute;left:3424517;top:1577788;height:349250;width:716915;v-text-anchor:middle;" fillcolor="#FFFFFF [3212]" filled="t" stroked="f" coordsize="21600,21600" o:gfxdata="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OFFI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6AA56FF2">
                        <w:pPr>
                          <w:jc w:val="center"/>
                          <w:rPr>
                            <w:rFonts w:ascii="Times New Roman" w:hAnsi="Times New Roman" w:eastAsia="宋体" w:cs="Times New Roman"/>
                            <w:b/>
                            <w:i/>
                            <w:color w:val="auto"/>
                            <w:sz w:val="18"/>
                            <w:szCs w:val="18"/>
                          </w:rPr>
                        </w:pPr>
                        <w:r>
                          <w:rPr>
                            <w:rFonts w:ascii="Times New Roman" w:hAnsi="Times New Roman" w:eastAsia="宋体" w:cs="宋体"/>
                            <w:sz w:val="18"/>
                          </w:rPr>
                          <w:t>分析数据</w:t>
                        </w:r>
                      </w:p>
                    </w:txbxContent>
                  </v:textbox>
                </v:shape>
              </v:group>
            </w:pict>
          </mc:Fallback>
        </mc:AlternateContent>
      </w:r>
      <w:r>
        <w:rPr>
          <w:rFonts w:ascii="宋体" w:hAnsi="宋体" w:eastAsia="宋体" w:cs="宋体"/>
          <w:lang w:eastAsia="zh-CN" w:bidi="ar-SA"/>
        </w:rPr>
        <w:drawing>
          <wp:inline distT="0" distB="0" distL="0" distR="0">
            <wp:extent cx="4921250" cy="2924175"/>
            <wp:effectExtent l="0" t="0" r="0" b="9525"/>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pic:cNvPicPr>
                  </pic:nvPicPr>
                  <pic:blipFill>
                    <a:blip r:embed="rId18"/>
                    <a:stretch>
                      <a:fillRect/>
                    </a:stretch>
                  </pic:blipFill>
                  <pic:spPr>
                    <a:xfrm>
                      <a:off x="0" y="0"/>
                      <a:ext cx="4921623" cy="2924492"/>
                    </a:xfrm>
                    <a:prstGeom prst="rect">
                      <a:avLst/>
                    </a:prstGeom>
                  </pic:spPr>
                </pic:pic>
              </a:graphicData>
            </a:graphic>
          </wp:inline>
        </w:drawing>
      </w:r>
    </w:p>
    <w:p w14:paraId="23E93875">
      <w:pPr>
        <w:pStyle w:val="32"/>
        <w:adjustRightInd w:val="0"/>
        <w:snapToGrid w:val="0"/>
        <w:spacing w:before="120" w:beforeLines="50" w:line="300" w:lineRule="auto"/>
        <w:jc w:val="center"/>
        <w:rPr>
          <w:rFonts w:eastAsia="宋体"/>
          <w:snapToGrid w:val="0"/>
          <w:sz w:val="24"/>
          <w:szCs w:val="24"/>
          <w:lang w:eastAsia="zh-CN"/>
        </w:rPr>
      </w:pPr>
      <w:r>
        <w:rPr>
          <w:rFonts w:eastAsia="宋体" w:cs="宋体"/>
          <w:sz w:val="24"/>
          <w:lang w:eastAsia="zh-CN"/>
        </w:rPr>
        <w:t>图14 - 持续学习的途径 - 真实世界SaMD性能数据在持续SaMD临床评价中的应用</w:t>
      </w:r>
    </w:p>
    <w:p w14:paraId="4527951B">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学习可通过以下方式影响SaMD的初始分类：</w:t>
      </w:r>
    </w:p>
    <w:p w14:paraId="1A8FF3EB">
      <w:pPr>
        <w:pStyle w:val="37"/>
        <w:numPr>
          <w:ilvl w:val="0"/>
          <w:numId w:val="1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真实世界性能数据可提供证据，证明SaMD的分析或临床有效性优于SaMD制造商最初评价的性能指标，或</w:t>
      </w:r>
    </w:p>
    <w:p w14:paraId="1F8D404F">
      <w:pPr>
        <w:pStyle w:val="37"/>
        <w:numPr>
          <w:ilvl w:val="0"/>
          <w:numId w:val="13"/>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真实世界性能数据可提供证据证明SaMD的分析或临床有效性劣于SaMD制造商最初评价的性能指标。</w:t>
      </w:r>
      <w:r>
        <w:rPr>
          <w:rFonts w:ascii="Times New Roman" w:hAnsi="Times New Roman" w:eastAsia="宋体" w:cs="宋体"/>
          <w:lang w:eastAsia="zh-CN"/>
        </w:rPr>
        <w:br w:type="page"/>
      </w:r>
    </w:p>
    <w:p w14:paraId="08E8EA8C">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收集更多临床证据是为了证实假设并创建和支持新预期用途，SaMD制造商将更新临床评价并生成新定义声明。然后重复循环。</w:t>
      </w:r>
    </w:p>
    <w:p w14:paraId="6A7ABA26">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本文件鼓励SaMD制造商利用SaMD的功能捕获真实世界性能数据，以了解用户与SaMD的交互，并对分析和技术性能进行持续监测，以支持未来的预期用途。</w:t>
      </w:r>
    </w:p>
    <w:p w14:paraId="014433FA">
      <w:pPr>
        <w:pStyle w:val="40"/>
        <w:rPr>
          <w:rFonts w:eastAsia="宋体"/>
          <w:lang w:eastAsia="zh-CN"/>
        </w:rPr>
      </w:pPr>
      <w:bookmarkStart w:id="18" w:name="_Toc92183897"/>
      <w:r>
        <w:rPr>
          <w:rFonts w:eastAsia="宋体" w:cs="宋体"/>
          <w:lang w:eastAsia="zh-CN"/>
        </w:rPr>
        <w:t xml:space="preserve">9.1 </w:t>
      </w:r>
      <w:r>
        <w:rPr>
          <w:rFonts w:eastAsia="宋体" w:cs="宋体"/>
          <w:lang w:eastAsia="zh-CN"/>
        </w:rPr>
        <w:tab/>
      </w:r>
      <w:r>
        <w:rPr>
          <w:rFonts w:eastAsia="宋体" w:cs="宋体"/>
          <w:lang w:eastAsia="zh-CN"/>
        </w:rPr>
        <w:t>利用真实世界性能数据持续学习的考虑因素</w:t>
      </w:r>
      <w:bookmarkEnd w:id="18"/>
    </w:p>
    <w:p w14:paraId="308AAE13">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SaMD应促进上市后信息的收集，禁用SaMD的现有功能或启用新功能。</w:t>
      </w:r>
    </w:p>
    <w:p w14:paraId="5344E7D8">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SaMD制造商无需依赖最终用户的积极参与即可收集真实世界性能数据。SaMD制造商应致力于在收集数据时采用尽可能造成最小负担的方法，并沿用SaMD的临床证据收集功能。</w:t>
      </w:r>
    </w:p>
    <w:p w14:paraId="157F1FC0">
      <w:pPr>
        <w:pStyle w:val="37"/>
        <w:numPr>
          <w:ilvl w:val="0"/>
          <w:numId w:val="14"/>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随着临床评价的进行，风险分类可能会发生变化，从而需要更改SaMD定义声明。</w:t>
      </w:r>
    </w:p>
    <w:p w14:paraId="48F1D57A">
      <w:pPr>
        <w:adjustRightInd w:val="0"/>
        <w:snapToGrid w:val="0"/>
        <w:spacing w:before="120" w:beforeLines="50" w:line="300" w:lineRule="auto"/>
        <w:jc w:val="center"/>
        <w:rPr>
          <w:rFonts w:ascii="Times New Roman" w:hAnsi="Times New Roman" w:eastAsia="宋体" w:cs="Times New Roman"/>
          <w:snapToGrid w:val="0"/>
          <w:lang w:eastAsia="zh-CN"/>
        </w:rPr>
      </w:pPr>
      <w:r>
        <w:rPr>
          <w:lang w:eastAsia="zh-CN" w:bidi="ar-SA"/>
        </w:rPr>
        <mc:AlternateContent>
          <mc:Choice Requires="wpg">
            <w:drawing>
              <wp:anchor distT="0" distB="0" distL="114300" distR="114300" simplePos="0" relativeHeight="251666432" behindDoc="0" locked="0" layoutInCell="1" allowOverlap="1">
                <wp:simplePos x="0" y="0"/>
                <wp:positionH relativeFrom="column">
                  <wp:posOffset>147320</wp:posOffset>
                </wp:positionH>
                <wp:positionV relativeFrom="paragraph">
                  <wp:posOffset>112395</wp:posOffset>
                </wp:positionV>
                <wp:extent cx="5342255" cy="2697480"/>
                <wp:effectExtent l="0" t="0" r="0" b="8255"/>
                <wp:wrapNone/>
                <wp:docPr id="220" name="组合 220"/>
                <wp:cNvGraphicFramePr/>
                <a:graphic xmlns:a="http://schemas.openxmlformats.org/drawingml/2006/main">
                  <a:graphicData uri="http://schemas.microsoft.com/office/word/2010/wordprocessingGroup">
                    <wpg:wgp>
                      <wpg:cNvGrpSpPr/>
                      <wpg:grpSpPr>
                        <a:xfrm>
                          <a:off x="0" y="0"/>
                          <a:ext cx="5342181" cy="2697405"/>
                          <a:chOff x="0" y="8965"/>
                          <a:chExt cx="5342181" cy="2697405"/>
                        </a:xfrm>
                      </wpg:grpSpPr>
                      <wpg:grpSp>
                        <wpg:cNvPr id="187" name="组合 187"/>
                        <wpg:cNvGrpSpPr/>
                        <wpg:grpSpPr>
                          <a:xfrm>
                            <a:off x="0" y="8965"/>
                            <a:ext cx="5342181" cy="2697405"/>
                            <a:chOff x="8965" y="8966"/>
                            <a:chExt cx="5342564" cy="2697815"/>
                          </a:xfrm>
                        </wpg:grpSpPr>
                        <wps:wsp>
                          <wps:cNvPr id="188" name="文本框 188"/>
                          <wps:cNvSpPr txBox="1"/>
                          <wps:spPr>
                            <a:xfrm>
                              <a:off x="465765" y="53788"/>
                              <a:ext cx="815788" cy="1434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1F184">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wps:txbx>
                          <wps:bodyPr rot="0" spcFirstLastPara="0" vertOverflow="overflow" horzOverflow="overflow" vert="horz" wrap="square" lIns="0" tIns="0" rIns="0" bIns="0" numCol="1" spcCol="0" rtlCol="0" fromWordArt="0" anchor="ctr" anchorCtr="0" forceAA="0" compatLnSpc="1">
                            <a:noAutofit/>
                          </wps:bodyPr>
                        </wps:wsp>
                        <wps:wsp>
                          <wps:cNvPr id="189" name="文本框 189"/>
                          <wps:cNvSpPr txBox="1"/>
                          <wps:spPr>
                            <a:xfrm>
                              <a:off x="4688141" y="44823"/>
                              <a:ext cx="663388" cy="14287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735EF">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wps:txbx>
                          <wps:bodyPr rot="0" spcFirstLastPara="0" vertOverflow="overflow" horzOverflow="overflow" vert="horz" wrap="square" lIns="0" tIns="0" rIns="0" bIns="0" numCol="1" spcCol="0" rtlCol="0" fromWordArt="0" anchor="ctr" anchorCtr="0" forceAA="0" compatLnSpc="1">
                            <a:noAutofit/>
                          </wps:bodyPr>
                        </wps:wsp>
                        <wps:wsp>
                          <wps:cNvPr id="190" name="文本框 190"/>
                          <wps:cNvSpPr txBox="1"/>
                          <wps:spPr>
                            <a:xfrm>
                              <a:off x="2446965" y="8966"/>
                              <a:ext cx="1631576"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327D9">
                                <w:pPr>
                                  <w:jc w:val="center"/>
                                  <w:rPr>
                                    <w:rFonts w:ascii="Times New Roman" w:hAnsi="Times New Roman" w:eastAsia="宋体" w:cs="Times New Roman"/>
                                    <w:i/>
                                    <w:color w:val="C00000"/>
                                    <w:sz w:val="13"/>
                                    <w:szCs w:val="13"/>
                                  </w:rPr>
                                </w:pPr>
                                <w:r>
                                  <w:rPr>
                                    <w:rFonts w:ascii="Times New Roman" w:hAnsi="Times New Roman" w:eastAsia="宋体" w:cs="宋体"/>
                                    <w:b/>
                                    <w:color w:val="C00000"/>
                                    <w:sz w:val="12"/>
                                  </w:rPr>
                                  <w:t>独立审查</w:t>
                                </w:r>
                              </w:p>
                            </w:txbxContent>
                          </wps:txbx>
                          <wps:bodyPr rot="0" spcFirstLastPara="0" vertOverflow="overflow" horzOverflow="overflow" vert="horz" wrap="square" lIns="0" tIns="0" rIns="0" bIns="0" numCol="1" spcCol="0" rtlCol="0" fromWordArt="0" anchor="ctr" anchorCtr="0" forceAA="0" compatLnSpc="1">
                            <a:noAutofit/>
                          </wps:bodyPr>
                        </wps:wsp>
                        <wps:wsp>
                          <wps:cNvPr id="193" name="文本框 193"/>
                          <wps:cNvSpPr txBox="1"/>
                          <wps:spPr>
                            <a:xfrm>
                              <a:off x="1424987" y="1407459"/>
                              <a:ext cx="4840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F00FA">
                                <w:pPr>
                                  <w:rPr>
                                    <w:rFonts w:ascii="Times New Roman" w:hAnsi="Times New Roman" w:eastAsia="宋体" w:cs="Times New Roman"/>
                                    <w:i/>
                                    <w:color w:val="auto"/>
                                    <w:sz w:val="13"/>
                                    <w:szCs w:val="13"/>
                                  </w:rPr>
                                </w:pPr>
                                <w:r>
                                  <w:rPr>
                                    <w:rFonts w:ascii="Times New Roman" w:hAnsi="Times New Roman" w:eastAsia="宋体" w:cs="宋体"/>
                                    <w:sz w:val="12"/>
                                  </w:rPr>
                                  <w:t xml:space="preserve"> 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94" name="文本框 194"/>
                          <wps:cNvSpPr txBox="1"/>
                          <wps:spPr>
                            <a:xfrm>
                              <a:off x="2491788" y="86061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D301A">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95" name="文本框 195"/>
                          <wps:cNvSpPr txBox="1"/>
                          <wps:spPr>
                            <a:xfrm>
                              <a:off x="3576516" y="475131"/>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194E0">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III类</w:t>
                                </w:r>
                              </w:p>
                            </w:txbxContent>
                          </wps:txbx>
                          <wps:bodyPr rot="0" spcFirstLastPara="0" vertOverflow="overflow" horzOverflow="overflow" vert="horz" wrap="square" lIns="0" tIns="0" rIns="0" bIns="0" numCol="1" spcCol="0" rtlCol="0" fromWordArt="0" anchor="ctr" anchorCtr="0" forceAA="0" compatLnSpc="1">
                            <a:noAutofit/>
                          </wps:bodyPr>
                        </wps:wsp>
                        <wps:wsp>
                          <wps:cNvPr id="196" name="文本框 196"/>
                          <wps:cNvSpPr txBox="1"/>
                          <wps:spPr>
                            <a:xfrm>
                              <a:off x="4096468" y="295839"/>
                              <a:ext cx="54000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86E59">
                                <w:pPr>
                                  <w:rPr>
                                    <w:rFonts w:ascii="Times New Roman" w:hAnsi="Times New Roman" w:eastAsia="宋体" w:cs="Times New Roman"/>
                                    <w:i/>
                                    <w:color w:val="auto"/>
                                    <w:sz w:val="13"/>
                                    <w:szCs w:val="13"/>
                                    <w:lang w:eastAsia="zh-CN"/>
                                  </w:rPr>
                                </w:pPr>
                                <w:r>
                                  <w:rPr>
                                    <w:rFonts w:ascii="Times New Roman" w:hAnsi="Times New Roman" w:eastAsia="宋体" w:cs="宋体"/>
                                    <w:sz w:val="12"/>
                                  </w:rPr>
                                  <w:t>IV类</w:t>
                                </w:r>
                              </w:p>
                            </w:txbxContent>
                          </wps:txbx>
                          <wps:bodyPr rot="0" spcFirstLastPara="0" vertOverflow="overflow" horzOverflow="overflow" vert="horz" wrap="square" lIns="0" tIns="0" rIns="0" bIns="0" numCol="1" spcCol="0" rtlCol="0" fromWordArt="0" anchor="ctr" anchorCtr="0" forceAA="0" compatLnSpc="1">
                            <a:noAutofit/>
                          </wps:bodyPr>
                        </wps:wsp>
                        <wps:wsp>
                          <wps:cNvPr id="197" name="文本框 197"/>
                          <wps:cNvSpPr txBox="1"/>
                          <wps:spPr>
                            <a:xfrm>
                              <a:off x="4759360" y="617879"/>
                              <a:ext cx="539750" cy="932135"/>
                            </a:xfrm>
                            <a:prstGeom prst="rect">
                              <a:avLst/>
                            </a:prstGeom>
                            <a:solidFill>
                              <a:srgbClr val="D3DF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04F82">
                                <w:pPr>
                                  <w:jc w:val="center"/>
                                  <w:rPr>
                                    <w:rFonts w:ascii="Times New Roman" w:hAnsi="Times New Roman" w:eastAsia="宋体" w:cs="Times New Roman"/>
                                    <w:i/>
                                    <w:color w:val="auto"/>
                                    <w:sz w:val="13"/>
                                    <w:szCs w:val="13"/>
                                    <w:lang w:eastAsia="zh-CN"/>
                                  </w:rPr>
                                </w:pPr>
                                <w:r>
                                  <w:rPr>
                                    <w:rFonts w:ascii="Times New Roman" w:hAnsi="Times New Roman" w:eastAsia="宋体" w:cs="宋体"/>
                                    <w:sz w:val="12"/>
                                    <w:lang w:eastAsia="zh-CN"/>
                                  </w:rPr>
                                  <w:t>（医疗器械的一部分/嵌入医疗器械）</w:t>
                                </w:r>
                              </w:p>
                            </w:txbxContent>
                          </wps:txbx>
                          <wps:bodyPr rot="0" spcFirstLastPara="0" vertOverflow="overflow" horzOverflow="overflow" vert="horz" wrap="square" lIns="0" tIns="0" rIns="0" bIns="0" numCol="1" spcCol="0" rtlCol="0" fromWordArt="0" anchor="ctr" anchorCtr="0" forceAA="0" compatLnSpc="1">
                            <a:noAutofit/>
                          </wps:bodyPr>
                        </wps:wsp>
                        <wps:wsp>
                          <wps:cNvPr id="198" name="文本框 198"/>
                          <wps:cNvSpPr txBox="1"/>
                          <wps:spPr>
                            <a:xfrm>
                              <a:off x="376118" y="21425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2173B">
                                <w:pPr>
                                  <w:jc w:val="center"/>
                                  <w:rPr>
                                    <w:rFonts w:ascii="Times New Roman" w:hAnsi="Times New Roman" w:eastAsia="宋体" w:cs="Times New Roman"/>
                                    <w:i/>
                                    <w:color w:val="auto"/>
                                    <w:sz w:val="10"/>
                                    <w:szCs w:val="10"/>
                                  </w:rPr>
                                </w:pPr>
                                <w:r>
                                  <w:rPr>
                                    <w:rFonts w:ascii="Times New Roman" w:hAnsi="Times New Roman" w:eastAsia="宋体" w:cs="宋体"/>
                                    <w:sz w:val="10"/>
                                  </w:rPr>
                                  <w:t>检索信息</w:t>
                                </w:r>
                              </w:p>
                            </w:txbxContent>
                          </wps:txbx>
                          <wps:bodyPr rot="0" spcFirstLastPara="0" vertOverflow="overflow" horzOverflow="overflow" vert="horz" wrap="square" lIns="0" tIns="0" rIns="0" bIns="0" numCol="1" spcCol="0" rtlCol="0" fromWordArt="0" anchor="ctr" anchorCtr="0" forceAA="0" compatLnSpc="1">
                            <a:noAutofit/>
                          </wps:bodyPr>
                        </wps:wsp>
                        <wps:wsp>
                          <wps:cNvPr id="199" name="文本框 199"/>
                          <wps:cNvSpPr txBox="1"/>
                          <wps:spPr>
                            <a:xfrm>
                              <a:off x="3872350" y="2142565"/>
                              <a:ext cx="394447" cy="21515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012FF">
                                <w:pPr>
                                  <w:jc w:val="center"/>
                                  <w:rPr>
                                    <w:rFonts w:ascii="Times New Roman" w:hAnsi="Times New Roman" w:eastAsia="宋体" w:cs="Times New Roman"/>
                                    <w:i/>
                                    <w:color w:val="auto"/>
                                    <w:sz w:val="10"/>
                                    <w:szCs w:val="10"/>
                                  </w:rPr>
                                </w:pPr>
                                <w:r>
                                  <w:rPr>
                                    <w:rFonts w:ascii="Times New Roman" w:hAnsi="Times New Roman" w:eastAsia="宋体" w:cs="宋体"/>
                                    <w:sz w:val="10"/>
                                  </w:rPr>
                                  <w:t>治疗/诊断：严重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00" name="文本框 200"/>
                          <wps:cNvSpPr txBox="1"/>
                          <wps:spPr>
                            <a:xfrm>
                              <a:off x="3235859" y="2142565"/>
                              <a:ext cx="349623"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944F4">
                                <w:pPr>
                                  <w:jc w:val="center"/>
                                  <w:rPr>
                                    <w:rFonts w:ascii="Times New Roman" w:hAnsi="Times New Roman" w:eastAsia="宋体" w:cs="Times New Roman"/>
                                    <w:i/>
                                    <w:color w:val="auto"/>
                                    <w:sz w:val="10"/>
                                    <w:szCs w:val="10"/>
                                  </w:rPr>
                                </w:pPr>
                                <w:r>
                                  <w:rPr>
                                    <w:rFonts w:ascii="Times New Roman" w:hAnsi="Times New Roman" w:eastAsia="宋体" w:cs="宋体"/>
                                    <w:sz w:val="10"/>
                                  </w:rPr>
                                  <w:t>推动：严重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01" name="文本框 201"/>
                          <wps:cNvSpPr txBox="1"/>
                          <wps:spPr>
                            <a:xfrm>
                              <a:off x="2500753" y="2142565"/>
                              <a:ext cx="358514" cy="1613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E18D9">
                                <w:pPr>
                                  <w:jc w:val="center"/>
                                  <w:rPr>
                                    <w:rFonts w:ascii="Times New Roman" w:hAnsi="Times New Roman" w:eastAsia="宋体" w:cs="Times New Roman"/>
                                    <w:i/>
                                    <w:color w:val="auto"/>
                                    <w:sz w:val="10"/>
                                    <w:szCs w:val="10"/>
                                  </w:rPr>
                                </w:pPr>
                                <w:r>
                                  <w:rPr>
                                    <w:rFonts w:ascii="Times New Roman" w:hAnsi="Times New Roman" w:eastAsia="宋体" w:cs="宋体"/>
                                    <w:sz w:val="10"/>
                                  </w:rPr>
                                  <w:t>告知：危急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202" name="文本框 202"/>
                          <wps:cNvSpPr txBox="1"/>
                          <wps:spPr>
                            <a:xfrm>
                              <a:off x="1801314" y="2142122"/>
                              <a:ext cx="350929" cy="1524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1F29">
                                <w:pPr>
                                  <w:jc w:val="center"/>
                                  <w:rPr>
                                    <w:rFonts w:ascii="Times New Roman" w:hAnsi="Times New Roman" w:eastAsia="宋体" w:cs="Times New Roman"/>
                                    <w:i/>
                                    <w:color w:val="auto"/>
                                    <w:sz w:val="10"/>
                                    <w:szCs w:val="10"/>
                                  </w:rPr>
                                </w:pPr>
                                <w:r>
                                  <w:rPr>
                                    <w:rFonts w:ascii="Times New Roman" w:hAnsi="Times New Roman" w:eastAsia="宋体" w:cs="宋体"/>
                                    <w:sz w:val="10"/>
                                  </w:rPr>
                                  <w:t>告知：严重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03" name="文本框 203"/>
                          <wps:cNvSpPr txBox="1"/>
                          <wps:spPr>
                            <a:xfrm>
                              <a:off x="1003647" y="2142565"/>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CF50A">
                                <w:pPr>
                                  <w:jc w:val="center"/>
                                  <w:rPr>
                                    <w:rFonts w:ascii="Times New Roman" w:hAnsi="Times New Roman" w:eastAsia="宋体" w:cs="Times New Roman"/>
                                    <w:i/>
                                    <w:color w:val="auto"/>
                                    <w:sz w:val="10"/>
                                    <w:szCs w:val="10"/>
                                  </w:rPr>
                                </w:pPr>
                                <w:r>
                                  <w:rPr>
                                    <w:rFonts w:ascii="Times New Roman" w:hAnsi="Times New Roman" w:eastAsia="宋体" w:cs="宋体"/>
                                    <w:sz w:val="10"/>
                                  </w:rPr>
                                  <w:t>优化过程</w:t>
                                </w:r>
                              </w:p>
                            </w:txbxContent>
                          </wps:txbx>
                          <wps:bodyPr rot="0" spcFirstLastPara="0" vertOverflow="overflow" horzOverflow="overflow" vert="horz" wrap="square" lIns="0" tIns="0" rIns="0" bIns="0" numCol="1" spcCol="0" rtlCol="0" fromWordArt="0" anchor="ctr" anchorCtr="0" forceAA="0" compatLnSpc="1">
                            <a:noAutofit/>
                          </wps:bodyPr>
                        </wps:wsp>
                        <wps:wsp>
                          <wps:cNvPr id="204" name="文本框 204"/>
                          <wps:cNvSpPr txBox="1"/>
                          <wps:spPr>
                            <a:xfrm>
                              <a:off x="4768824" y="2142565"/>
                              <a:ext cx="530785" cy="2958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DB93B">
                                <w:pPr>
                                  <w:jc w:val="center"/>
                                  <w:rPr>
                                    <w:rFonts w:ascii="Times New Roman" w:hAnsi="Times New Roman" w:eastAsia="宋体" w:cs="Times New Roman"/>
                                    <w:i/>
                                    <w:color w:val="auto"/>
                                    <w:sz w:val="10"/>
                                    <w:szCs w:val="10"/>
                                  </w:rPr>
                                </w:pPr>
                                <w:r>
                                  <w:rPr>
                                    <w:rFonts w:ascii="Times New Roman" w:hAnsi="Times New Roman" w:eastAsia="宋体" w:cs="宋体"/>
                                    <w:sz w:val="10"/>
                                  </w:rPr>
                                  <w:t>闭环干预非临床的媒介</w:t>
                                </w:r>
                              </w:p>
                            </w:txbxContent>
                          </wps:txbx>
                          <wps:bodyPr rot="0" spcFirstLastPara="0" vertOverflow="overflow" horzOverflow="overflow" vert="horz" wrap="square" lIns="0" tIns="0" rIns="0" bIns="0" numCol="1" spcCol="0" rtlCol="0" fromWordArt="0" anchor="ctr" anchorCtr="0" forceAA="0" compatLnSpc="1">
                            <a:noAutofit/>
                          </wps:bodyPr>
                        </wps:wsp>
                        <wps:wsp>
                          <wps:cNvPr id="205" name="文本框 205"/>
                          <wps:cNvSpPr txBox="1"/>
                          <wps:spPr>
                            <a:xfrm>
                              <a:off x="689810" y="2311856"/>
                              <a:ext cx="385482" cy="214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C8710">
                                <w:pPr>
                                  <w:jc w:val="center"/>
                                  <w:rPr>
                                    <w:rFonts w:ascii="Times New Roman" w:hAnsi="Times New Roman" w:eastAsia="宋体" w:cs="Times New Roman"/>
                                    <w:i/>
                                    <w:color w:val="auto"/>
                                    <w:sz w:val="10"/>
                                    <w:szCs w:val="10"/>
                                  </w:rPr>
                                </w:pPr>
                                <w:r>
                                  <w:rPr>
                                    <w:rFonts w:ascii="Times New Roman" w:hAnsi="Times New Roman" w:eastAsia="宋体" w:cs="宋体"/>
                                    <w:sz w:val="10"/>
                                  </w:rPr>
                                  <w:t>组织数据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206" name="文本框 206"/>
                          <wps:cNvSpPr txBox="1"/>
                          <wps:spPr>
                            <a:xfrm>
                              <a:off x="1416019" y="231233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94B5B">
                                <w:pPr>
                                  <w:jc w:val="center"/>
                                  <w:rPr>
                                    <w:rFonts w:ascii="Times New Roman" w:hAnsi="Times New Roman" w:eastAsia="宋体" w:cs="Times New Roman"/>
                                    <w:i/>
                                    <w:color w:val="auto"/>
                                    <w:sz w:val="10"/>
                                    <w:szCs w:val="10"/>
                                  </w:rPr>
                                </w:pPr>
                                <w:r>
                                  <w:rPr>
                                    <w:rFonts w:ascii="Times New Roman" w:hAnsi="Times New Roman" w:eastAsia="宋体" w:cs="宋体"/>
                                    <w:sz w:val="10"/>
                                  </w:rPr>
                                  <w:t>告知：非严重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07" name="文本框 207"/>
                          <wps:cNvSpPr txBox="1"/>
                          <wps:spPr>
                            <a:xfrm>
                              <a:off x="1998727" y="2312894"/>
                              <a:ext cx="483870"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96C03">
                                <w:pPr>
                                  <w:jc w:val="center"/>
                                  <w:rPr>
                                    <w:rFonts w:ascii="Times New Roman" w:hAnsi="Times New Roman" w:eastAsia="宋体" w:cs="Times New Roman"/>
                                    <w:i/>
                                    <w:color w:val="auto"/>
                                    <w:sz w:val="10"/>
                                    <w:szCs w:val="10"/>
                                  </w:rPr>
                                </w:pPr>
                                <w:r>
                                  <w:rPr>
                                    <w:rFonts w:ascii="Times New Roman" w:hAnsi="Times New Roman" w:eastAsia="宋体" w:cs="宋体"/>
                                    <w:sz w:val="10"/>
                                  </w:rPr>
                                  <w:t>推动：非严重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08" name="文本框 208"/>
                          <wps:cNvSpPr txBox="1"/>
                          <wps:spPr>
                            <a:xfrm>
                              <a:off x="3575766" y="2311938"/>
                              <a:ext cx="376832" cy="2150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EA811">
                                <w:pPr>
                                  <w:jc w:val="center"/>
                                  <w:rPr>
                                    <w:rFonts w:ascii="Times New Roman" w:hAnsi="Times New Roman" w:eastAsia="宋体" w:cs="Times New Roman"/>
                                    <w:i/>
                                    <w:color w:val="auto"/>
                                    <w:sz w:val="10"/>
                                    <w:szCs w:val="10"/>
                                  </w:rPr>
                                </w:pPr>
                                <w:r>
                                  <w:rPr>
                                    <w:rFonts w:ascii="Times New Roman" w:hAnsi="Times New Roman" w:eastAsia="宋体" w:cs="宋体"/>
                                    <w:sz w:val="10"/>
                                  </w:rPr>
                                  <w:t>推动：危急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209" name="文本框 209"/>
                          <wps:cNvSpPr txBox="1"/>
                          <wps:spPr>
                            <a:xfrm>
                              <a:off x="2787621" y="2286000"/>
                              <a:ext cx="483870" cy="24204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8D467">
                                <w:pPr>
                                  <w:ind w:left="120" w:leftChars="50" w:right="120" w:rightChars="50"/>
                                  <w:jc w:val="center"/>
                                  <w:rPr>
                                    <w:rFonts w:ascii="Times New Roman" w:hAnsi="Times New Roman" w:eastAsia="宋体" w:cs="Times New Roman"/>
                                    <w:i/>
                                    <w:color w:val="auto"/>
                                    <w:sz w:val="10"/>
                                    <w:szCs w:val="10"/>
                                  </w:rPr>
                                </w:pPr>
                                <w:r>
                                  <w:rPr>
                                    <w:rFonts w:ascii="Times New Roman" w:hAnsi="Times New Roman" w:eastAsia="宋体" w:cs="宋体"/>
                                    <w:sz w:val="10"/>
                                  </w:rPr>
                                  <w:t>治疗/诊断：非严重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10" name="文本框 210"/>
                          <wps:cNvSpPr txBox="1"/>
                          <wps:spPr>
                            <a:xfrm>
                              <a:off x="4257835" y="2286000"/>
                              <a:ext cx="448235" cy="2146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60BD2">
                                <w:pPr>
                                  <w:ind w:left="120" w:leftChars="50" w:right="120" w:rightChars="50"/>
                                  <w:jc w:val="center"/>
                                  <w:rPr>
                                    <w:rFonts w:ascii="Times New Roman" w:hAnsi="Times New Roman" w:eastAsia="宋体" w:cs="Times New Roman"/>
                                    <w:i/>
                                    <w:color w:val="auto"/>
                                    <w:sz w:val="10"/>
                                    <w:szCs w:val="10"/>
                                  </w:rPr>
                                </w:pPr>
                                <w:r>
                                  <w:rPr>
                                    <w:rFonts w:ascii="Times New Roman" w:hAnsi="Times New Roman" w:eastAsia="宋体" w:cs="宋体"/>
                                    <w:sz w:val="10"/>
                                  </w:rPr>
                                  <w:t>治疗/诊断：危急</w:t>
                                </w:r>
                              </w:p>
                            </w:txbxContent>
                          </wps:txbx>
                          <wps:bodyPr rot="0" spcFirstLastPara="0" vertOverflow="overflow" horzOverflow="overflow" vert="horz" wrap="square" lIns="0" tIns="0" rIns="0" bIns="0" numCol="1" spcCol="0" rtlCol="0" fromWordArt="0" anchor="ctr" anchorCtr="0" forceAA="0" compatLnSpc="1">
                            <a:noAutofit/>
                          </wps:bodyPr>
                        </wps:wsp>
                        <wps:wsp>
                          <wps:cNvPr id="211" name="文本框 211"/>
                          <wps:cNvSpPr txBox="1"/>
                          <wps:spPr>
                            <a:xfrm rot="16200000">
                              <a:off x="-220035" y="1026459"/>
                              <a:ext cx="600878"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FFDDA">
                                <w:pPr>
                                  <w:jc w:val="center"/>
                                  <w:rPr>
                                    <w:rFonts w:ascii="Times New Roman" w:hAnsi="Times New Roman" w:eastAsia="宋体" w:cs="Times New Roman"/>
                                    <w:i/>
                                    <w:color w:val="auto"/>
                                    <w:sz w:val="13"/>
                                    <w:szCs w:val="13"/>
                                  </w:rPr>
                                </w:pPr>
                                <w:r>
                                  <w:rPr>
                                    <w:rFonts w:ascii="Times New Roman" w:hAnsi="Times New Roman" w:eastAsia="宋体" w:cs="宋体"/>
                                    <w:b/>
                                    <w:sz w:val="12"/>
                                  </w:rPr>
                                  <w:t>影响</w:t>
                                </w:r>
                              </w:p>
                            </w:txbxContent>
                          </wps:txbx>
                          <wps:bodyPr rot="0" spcFirstLastPara="0" vertOverflow="overflow" horzOverflow="overflow" vert="horz" wrap="square" lIns="0" tIns="0" rIns="0" bIns="0" numCol="1" spcCol="0" rtlCol="0" fromWordArt="0" anchor="ctr" anchorCtr="0" forceAA="0" compatLnSpc="1">
                            <a:noAutofit/>
                          </wps:bodyPr>
                        </wps:wsp>
                        <wps:wsp>
                          <wps:cNvPr id="212" name="文本框 212"/>
                          <wps:cNvSpPr txBox="1"/>
                          <wps:spPr>
                            <a:xfrm rot="16200000">
                              <a:off x="143035" y="1891553"/>
                              <a:ext cx="215470" cy="14287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BA490">
                                <w:pPr>
                                  <w:jc w:val="center"/>
                                  <w:rPr>
                                    <w:rFonts w:ascii="Times New Roman" w:hAnsi="Times New Roman" w:eastAsia="宋体" w:cs="Times New Roman"/>
                                    <w:i/>
                                    <w:color w:val="auto"/>
                                    <w:sz w:val="11"/>
                                    <w:szCs w:val="11"/>
                                  </w:rPr>
                                </w:pPr>
                                <w:r>
                                  <w:rPr>
                                    <w:rFonts w:ascii="Times New Roman" w:hAnsi="Times New Roman" w:eastAsia="宋体" w:cs="宋体"/>
                                    <w:sz w:val="10"/>
                                  </w:rPr>
                                  <w:t>无</w:t>
                                </w:r>
                              </w:p>
                            </w:txbxContent>
                          </wps:txbx>
                          <wps:bodyPr rot="0" spcFirstLastPara="0" vertOverflow="overflow" horzOverflow="overflow" vert="horz" wrap="square" lIns="0" tIns="0" rIns="0" bIns="0" numCol="1" spcCol="0" rtlCol="0" fromWordArt="0" anchor="ctr" anchorCtr="0" forceAA="0" compatLnSpc="1">
                            <a:noAutofit/>
                          </wps:bodyPr>
                        </wps:wsp>
                        <wps:wsp>
                          <wps:cNvPr id="213" name="文本框 213"/>
                          <wps:cNvSpPr txBox="1"/>
                          <wps:spPr>
                            <a:xfrm rot="16200000">
                              <a:off x="143035" y="1497106"/>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AA41A">
                                <w:pPr>
                                  <w:jc w:val="center"/>
                                  <w:rPr>
                                    <w:rFonts w:ascii="Times New Roman" w:hAnsi="Times New Roman" w:eastAsia="宋体" w:cs="Times New Roman"/>
                                    <w:i/>
                                    <w:color w:val="auto"/>
                                    <w:sz w:val="11"/>
                                    <w:szCs w:val="11"/>
                                  </w:rPr>
                                </w:pPr>
                                <w:r>
                                  <w:rPr>
                                    <w:rFonts w:ascii="Times New Roman" w:hAnsi="Times New Roman" w:eastAsia="宋体" w:cs="宋体"/>
                                    <w:sz w:val="10"/>
                                  </w:rPr>
                                  <w:t>低</w:t>
                                </w:r>
                              </w:p>
                            </w:txbxContent>
                          </wps:txbx>
                          <wps:bodyPr rot="0" spcFirstLastPara="0" vertOverflow="overflow" horzOverflow="overflow" vert="horz" wrap="square" lIns="0" tIns="0" rIns="0" bIns="0" numCol="1" spcCol="0" rtlCol="0" fromWordArt="0" anchor="ctr" anchorCtr="0" forceAA="0" compatLnSpc="1">
                            <a:noAutofit/>
                          </wps:bodyPr>
                        </wps:wsp>
                        <wps:wsp>
                          <wps:cNvPr id="214" name="文本框 214"/>
                          <wps:cNvSpPr txBox="1"/>
                          <wps:spPr>
                            <a:xfrm rot="16200000">
                              <a:off x="71317" y="1156447"/>
                              <a:ext cx="35892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11DF5">
                                <w:pPr>
                                  <w:jc w:val="center"/>
                                  <w:rPr>
                                    <w:rFonts w:ascii="Times New Roman" w:hAnsi="Times New Roman" w:eastAsia="宋体" w:cs="Times New Roman"/>
                                    <w:i/>
                                    <w:color w:val="auto"/>
                                    <w:sz w:val="11"/>
                                    <w:szCs w:val="11"/>
                                  </w:rPr>
                                </w:pPr>
                                <w:r>
                                  <w:rPr>
                                    <w:rFonts w:ascii="Times New Roman" w:hAnsi="Times New Roman" w:eastAsia="宋体" w:cs="宋体"/>
                                    <w:sz w:val="10"/>
                                  </w:rPr>
                                  <w:t>中度</w:t>
                                </w:r>
                              </w:p>
                            </w:txbxContent>
                          </wps:txbx>
                          <wps:bodyPr rot="0" spcFirstLastPara="0" vertOverflow="overflow" horzOverflow="overflow" vert="horz" wrap="square" lIns="0" tIns="0" rIns="0" bIns="0" numCol="1" spcCol="0" rtlCol="0" fromWordArt="0" anchor="ctr" anchorCtr="0" forceAA="0" compatLnSpc="1">
                            <a:noAutofit/>
                          </wps:bodyPr>
                        </wps:wsp>
                        <wps:wsp>
                          <wps:cNvPr id="215" name="文本框 215"/>
                          <wps:cNvSpPr txBox="1"/>
                          <wps:spPr>
                            <a:xfrm rot="16200000">
                              <a:off x="143035" y="744074"/>
                              <a:ext cx="215265"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9114D">
                                <w:pPr>
                                  <w:jc w:val="center"/>
                                  <w:rPr>
                                    <w:rFonts w:ascii="Times New Roman" w:hAnsi="Times New Roman" w:eastAsia="宋体" w:cs="Times New Roman"/>
                                    <w:i/>
                                    <w:color w:val="auto"/>
                                    <w:sz w:val="11"/>
                                    <w:szCs w:val="11"/>
                                  </w:rPr>
                                </w:pPr>
                                <w:r>
                                  <w:rPr>
                                    <w:rFonts w:ascii="Times New Roman" w:hAnsi="Times New Roman" w:eastAsia="宋体" w:cs="宋体"/>
                                    <w:sz w:val="10"/>
                                  </w:rPr>
                                  <w:t>严重</w:t>
                                </w:r>
                              </w:p>
                            </w:txbxContent>
                          </wps:txbx>
                          <wps:bodyPr rot="0" spcFirstLastPara="0" vertOverflow="overflow" horzOverflow="overflow" vert="horz" wrap="square" lIns="0" tIns="0" rIns="0" bIns="0" numCol="1" spcCol="0" rtlCol="0" fromWordArt="0" anchor="ctr" anchorCtr="0" forceAA="0" compatLnSpc="1">
                            <a:noAutofit/>
                          </wps:bodyPr>
                        </wps:wsp>
                        <wps:wsp>
                          <wps:cNvPr id="216" name="文本框 216"/>
                          <wps:cNvSpPr txBox="1"/>
                          <wps:spPr>
                            <a:xfrm rot="16200000">
                              <a:off x="-13847" y="309286"/>
                              <a:ext cx="52869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409C3">
                                <w:pPr>
                                  <w:jc w:val="center"/>
                                  <w:rPr>
                                    <w:rFonts w:ascii="Times New Roman" w:hAnsi="Times New Roman" w:eastAsia="宋体" w:cs="Times New Roman"/>
                                    <w:i/>
                                    <w:color w:val="auto"/>
                                    <w:sz w:val="11"/>
                                    <w:szCs w:val="11"/>
                                  </w:rPr>
                                </w:pPr>
                                <w:r>
                                  <w:rPr>
                                    <w:rFonts w:ascii="Times New Roman" w:hAnsi="Times New Roman" w:eastAsia="宋体" w:cs="宋体"/>
                                    <w:sz w:val="10"/>
                                  </w:rPr>
                                  <w:t>灾难的</w:t>
                                </w:r>
                              </w:p>
                            </w:txbxContent>
                          </wps:txbx>
                          <wps:bodyPr rot="0" spcFirstLastPara="0" vertOverflow="overflow" horzOverflow="overflow" vert="horz" wrap="square" lIns="0" tIns="0" rIns="0" bIns="0" numCol="1" spcCol="0" rtlCol="0" fromWordArt="0" anchor="ctr" anchorCtr="0" forceAA="0" compatLnSpc="1">
                            <a:noAutofit/>
                          </wps:bodyPr>
                        </wps:wsp>
                        <wps:wsp>
                          <wps:cNvPr id="217" name="文本框 217"/>
                          <wps:cNvSpPr txBox="1"/>
                          <wps:spPr>
                            <a:xfrm>
                              <a:off x="1953906" y="2563906"/>
                              <a:ext cx="1873624" cy="142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CF0C4">
                                <w:pPr>
                                  <w:jc w:val="center"/>
                                  <w:rPr>
                                    <w:rFonts w:ascii="Times New Roman" w:hAnsi="Times New Roman" w:eastAsia="宋体" w:cs="Times New Roman"/>
                                    <w:i/>
                                    <w:color w:val="auto"/>
                                    <w:sz w:val="13"/>
                                    <w:szCs w:val="13"/>
                                  </w:rPr>
                                </w:pPr>
                                <w:r>
                                  <w:rPr>
                                    <w:rFonts w:ascii="Times New Roman" w:hAnsi="Times New Roman" w:eastAsia="宋体" w:cs="宋体"/>
                                    <w:b/>
                                    <w:sz w:val="12"/>
                                  </w:rPr>
                                  <w:t>定义表述</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219" name="文本框 219"/>
                        <wps:cNvSpPr txBox="1"/>
                        <wps:spPr>
                          <a:xfrm>
                            <a:off x="1676400" y="331694"/>
                            <a:ext cx="1289768" cy="313251"/>
                          </a:xfrm>
                          <a:prstGeom prst="rect">
                            <a:avLst/>
                          </a:prstGeom>
                          <a:solidFill>
                            <a:srgbClr val="4F81B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755B">
                              <w:pPr>
                                <w:jc w:val="center"/>
                                <w:rPr>
                                  <w:rFonts w:ascii="Times New Roman" w:hAnsi="Times New Roman" w:eastAsia="宋体" w:cs="Times New Roman"/>
                                  <w:i/>
                                  <w:color w:val="FFFFFF" w:themeColor="background1"/>
                                  <w:sz w:val="13"/>
                                  <w:szCs w:val="13"/>
                                  <w:lang w:eastAsia="zh-CN"/>
                                  <w14:textFill>
                                    <w14:solidFill>
                                      <w14:schemeClr w14:val="bg1"/>
                                    </w14:solidFill>
                                  </w14:textFill>
                                </w:rPr>
                              </w:pPr>
                              <w:r>
                                <w:rPr>
                                  <w:rFonts w:ascii="Times New Roman" w:hAnsi="Times New Roman" w:eastAsia="宋体" w:cs="宋体"/>
                                  <w:color w:val="FFFFFF"/>
                                  <w:sz w:val="12"/>
                                  <w:lang w:eastAsia="zh-CN"/>
                                </w:rPr>
                                <w:t>箭头所示为SaMD定义声明的可能更改</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11.6pt;margin-top:8.85pt;height:212.4pt;width:420.65pt;z-index:251666432;mso-width-relative:page;mso-height-relative:page;" coordorigin="0,8965" coordsize="5342181,2697405" o:gfxdata="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">
                <o:lock v:ext="edit" aspectratio="f"/>
                <v:group id="_x0000_s1026" o:spid="_x0000_s1026" o:spt="203" style="position:absolute;left:0;top:8965;height:2697405;width:5342181;" coordorigin="8965,8966" coordsize="5342564,2697815" o:gfxdata="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oAb/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465765;top:53788;height:143435;width:815788;v-text-anchor:middle;" fillcolor="#D3DFEE" filled="t" stroked="f" coordsize="21600,21600" o:gfxdata="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QOT+/&#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7B61F184">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v:textbox>
                  </v:shape>
                  <v:shape id="_x0000_s1026" o:spid="_x0000_s1026" o:spt="202" type="#_x0000_t202" style="position:absolute;left:4688141;top:44823;height:142875;width:663388;v-text-anchor:middle;" fillcolor="#D3DFEE" filled="t" stroked="f" coordsize="21600,21600" o:gfxdata="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cnKS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11735EF">
                          <w:pPr>
                            <w:jc w:val="center"/>
                            <w:rPr>
                              <w:rFonts w:ascii="Times New Roman" w:hAnsi="Times New Roman" w:eastAsia="宋体" w:cs="Times New Roman"/>
                              <w:i/>
                              <w:sz w:val="13"/>
                              <w:szCs w:val="13"/>
                            </w:rPr>
                          </w:pPr>
                          <w:r>
                            <w:rPr>
                              <w:rFonts w:ascii="Times New Roman" w:hAnsi="Times New Roman" w:eastAsia="宋体" w:cs="宋体"/>
                              <w:b/>
                              <w:sz w:val="12"/>
                            </w:rPr>
                            <w:t>非SaMD</w:t>
                          </w:r>
                        </w:p>
                      </w:txbxContent>
                    </v:textbox>
                  </v:shape>
                  <v:shape id="_x0000_s1026" o:spid="_x0000_s1026" o:spt="202" type="#_x0000_t202" style="position:absolute;left:2446965;top:8966;height:142875;width:1631576;v-text-anchor:middle;" fillcolor="#FFFFFF [3212]" filled="t" stroked="f" coordsize="21600,21600" o:gfxdata="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D1f2/&#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DA327D9">
                          <w:pPr>
                            <w:jc w:val="center"/>
                            <w:rPr>
                              <w:rFonts w:ascii="Times New Roman" w:hAnsi="Times New Roman" w:eastAsia="宋体" w:cs="Times New Roman"/>
                              <w:i/>
                              <w:color w:val="C00000"/>
                              <w:sz w:val="13"/>
                              <w:szCs w:val="13"/>
                            </w:rPr>
                          </w:pPr>
                          <w:r>
                            <w:rPr>
                              <w:rFonts w:ascii="Times New Roman" w:hAnsi="Times New Roman" w:eastAsia="宋体" w:cs="宋体"/>
                              <w:b/>
                              <w:color w:val="C00000"/>
                              <w:sz w:val="12"/>
                            </w:rPr>
                            <w:t>独立审查</w:t>
                          </w:r>
                        </w:p>
                      </w:txbxContent>
                    </v:textbox>
                  </v:shape>
                  <v:shape id="_x0000_s1026" o:spid="_x0000_s1026" o:spt="202" type="#_x0000_t202" style="position:absolute;left:1424987;top:1407459;height:142875;width:484094;v-text-anchor:middle;" fillcolor="#FFFFFF [3212]" filled="t" stroked="f" coordsize="21600,21600" o:gfxdata="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FLi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71CF00FA">
                          <w:pPr>
                            <w:rPr>
                              <w:rFonts w:ascii="Times New Roman" w:hAnsi="Times New Roman" w:eastAsia="宋体" w:cs="Times New Roman"/>
                              <w:i/>
                              <w:color w:val="auto"/>
                              <w:sz w:val="13"/>
                              <w:szCs w:val="13"/>
                            </w:rPr>
                          </w:pPr>
                          <w:r>
                            <w:rPr>
                              <w:rFonts w:ascii="Times New Roman" w:hAnsi="Times New Roman" w:eastAsia="宋体" w:cs="宋体"/>
                              <w:sz w:val="12"/>
                            </w:rPr>
                            <w:t xml:space="preserve"> I类</w:t>
                          </w:r>
                        </w:p>
                      </w:txbxContent>
                    </v:textbox>
                  </v:shape>
                  <v:shape id="_x0000_s1026" o:spid="_x0000_s1026" o:spt="202" type="#_x0000_t202" style="position:absolute;left:2491788;top:860614;height:142875;width:483870;v-text-anchor:middle;" fillcolor="#FFFFFF [3212]" filled="t" stroked="f" coordsize="21600,21600" o:gfxdata="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40/6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260D301A">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II类</w:t>
                          </w:r>
                        </w:p>
                      </w:txbxContent>
                    </v:textbox>
                  </v:shape>
                  <v:shape id="_x0000_s1026" o:spid="_x0000_s1026" o:spt="202" type="#_x0000_t202" style="position:absolute;left:3576516;top:475131;height:142875;width:483870;v-text-anchor:middle;" fillcolor="#FFFFFF [3212]" filled="t" stroked="f" coordsize="21600,21600" o:gfxdata="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R2Z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69194E0">
                          <w:pPr>
                            <w:rPr>
                              <w:rFonts w:ascii="Times New Roman" w:hAnsi="Times New Roman" w:eastAsia="宋体" w:cs="Times New Roman"/>
                              <w:i/>
                              <w:color w:val="auto"/>
                              <w:sz w:val="13"/>
                              <w:szCs w:val="13"/>
                              <w:lang w:eastAsia="zh-CN"/>
                            </w:rPr>
                          </w:pPr>
                          <w:r>
                            <w:rPr>
                              <w:rFonts w:ascii="Times New Roman" w:hAnsi="Times New Roman" w:eastAsia="宋体" w:cs="宋体"/>
                              <w:sz w:val="12"/>
                            </w:rPr>
                            <w:t xml:space="preserve"> III类</w:t>
                          </w:r>
                        </w:p>
                      </w:txbxContent>
                    </v:textbox>
                  </v:shape>
                  <v:shape id="_x0000_s1026" o:spid="_x0000_s1026" o:spt="202" type="#_x0000_t202" style="position:absolute;left:4096468;top:295839;height:142875;width:540000;v-text-anchor:middle;" fillcolor="#FFFFFF [3212]" filled="t" stroked="f" coordsize="21600,21600" o:gfxdata="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qboE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F286E59">
                          <w:pPr>
                            <w:rPr>
                              <w:rFonts w:ascii="Times New Roman" w:hAnsi="Times New Roman" w:eastAsia="宋体" w:cs="Times New Roman"/>
                              <w:i/>
                              <w:color w:val="auto"/>
                              <w:sz w:val="13"/>
                              <w:szCs w:val="13"/>
                              <w:lang w:eastAsia="zh-CN"/>
                            </w:rPr>
                          </w:pPr>
                          <w:r>
                            <w:rPr>
                              <w:rFonts w:ascii="Times New Roman" w:hAnsi="Times New Roman" w:eastAsia="宋体" w:cs="宋体"/>
                              <w:sz w:val="12"/>
                            </w:rPr>
                            <w:t>IV类</w:t>
                          </w:r>
                        </w:p>
                      </w:txbxContent>
                    </v:textbox>
                  </v:shape>
                  <v:shape id="_x0000_s1026" o:spid="_x0000_s1026" o:spt="202" type="#_x0000_t202" style="position:absolute;left:4759360;top:617879;height:932135;width:539750;v-text-anchor:middle;" fillcolor="#D3DFEE" filled="t" stroked="f" coordsize="21600,21600" o:gfxdata="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O5C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59604F82">
                          <w:pPr>
                            <w:jc w:val="center"/>
                            <w:rPr>
                              <w:rFonts w:ascii="Times New Roman" w:hAnsi="Times New Roman" w:eastAsia="宋体" w:cs="Times New Roman"/>
                              <w:i/>
                              <w:color w:val="auto"/>
                              <w:sz w:val="13"/>
                              <w:szCs w:val="13"/>
                              <w:lang w:eastAsia="zh-CN"/>
                            </w:rPr>
                          </w:pPr>
                          <w:r>
                            <w:rPr>
                              <w:rFonts w:ascii="Times New Roman" w:hAnsi="Times New Roman" w:eastAsia="宋体" w:cs="宋体"/>
                              <w:sz w:val="12"/>
                              <w:lang w:eastAsia="zh-CN"/>
                            </w:rPr>
                            <w:t>（医疗器械的一部分/嵌入医疗器械）</w:t>
                          </w:r>
                        </w:p>
                      </w:txbxContent>
                    </v:textbox>
                  </v:shape>
                  <v:shape id="_x0000_s1026" o:spid="_x0000_s1026" o:spt="202" type="#_x0000_t202" style="position:absolute;left:376118;top:2142565;height:142875;width:483870;v-text-anchor:middle;" fillcolor="#FFFFFF [3212]" filled="t" stroked="f" coordsize="21600,21600" o:gfxdata="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12fu/&#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7BA2173B">
                          <w:pPr>
                            <w:jc w:val="center"/>
                            <w:rPr>
                              <w:rFonts w:ascii="Times New Roman" w:hAnsi="Times New Roman" w:eastAsia="宋体" w:cs="Times New Roman"/>
                              <w:i/>
                              <w:color w:val="auto"/>
                              <w:sz w:val="10"/>
                              <w:szCs w:val="10"/>
                            </w:rPr>
                          </w:pPr>
                          <w:r>
                            <w:rPr>
                              <w:rFonts w:ascii="Times New Roman" w:hAnsi="Times New Roman" w:eastAsia="宋体" w:cs="宋体"/>
                              <w:sz w:val="10"/>
                            </w:rPr>
                            <w:t>检索信息</w:t>
                          </w:r>
                        </w:p>
                      </w:txbxContent>
                    </v:textbox>
                  </v:shape>
                  <v:shape id="_x0000_s1026" o:spid="_x0000_s1026" o:spt="202" type="#_x0000_t202" style="position:absolute;left:3872350;top:2142565;height:215152;width:394447;v-text-anchor:middle;" fillcolor="#FFFFFF [3212]" filled="t" stroked="f" coordsize="21600,21600" o:gfxdata="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5fGC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156012FF">
                          <w:pPr>
                            <w:jc w:val="center"/>
                            <w:rPr>
                              <w:rFonts w:ascii="Times New Roman" w:hAnsi="Times New Roman" w:eastAsia="宋体" w:cs="Times New Roman"/>
                              <w:i/>
                              <w:color w:val="auto"/>
                              <w:sz w:val="10"/>
                              <w:szCs w:val="10"/>
                            </w:rPr>
                          </w:pPr>
                          <w:r>
                            <w:rPr>
                              <w:rFonts w:ascii="Times New Roman" w:hAnsi="Times New Roman" w:eastAsia="宋体" w:cs="宋体"/>
                              <w:sz w:val="10"/>
                            </w:rPr>
                            <w:t>治疗/诊断：严重</w:t>
                          </w:r>
                        </w:p>
                      </w:txbxContent>
                    </v:textbox>
                  </v:shape>
                  <v:shape id="_x0000_s1026" o:spid="_x0000_s1026" o:spt="202" type="#_x0000_t202" style="position:absolute;left:3235859;top:2142565;height:142875;width:349623;v-text-anchor:middle;" fillcolor="#FFFFFF [3212]" filled="t" stroked="f" coordsize="21600,21600" o:gfxdata="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LCEG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329944F4">
                          <w:pPr>
                            <w:jc w:val="center"/>
                            <w:rPr>
                              <w:rFonts w:ascii="Times New Roman" w:hAnsi="Times New Roman" w:eastAsia="宋体" w:cs="Times New Roman"/>
                              <w:i/>
                              <w:color w:val="auto"/>
                              <w:sz w:val="10"/>
                              <w:szCs w:val="10"/>
                            </w:rPr>
                          </w:pPr>
                          <w:r>
                            <w:rPr>
                              <w:rFonts w:ascii="Times New Roman" w:hAnsi="Times New Roman" w:eastAsia="宋体" w:cs="宋体"/>
                              <w:sz w:val="10"/>
                            </w:rPr>
                            <w:t>推动：严重</w:t>
                          </w:r>
                        </w:p>
                      </w:txbxContent>
                    </v:textbox>
                  </v:shape>
                  <v:shape id="_x0000_s1026" o:spid="_x0000_s1026" o:spt="202" type="#_x0000_t202" style="position:absolute;left:2500753;top:2142565;height:161365;width:358514;v-text-anchor:middle;" fillcolor="#FFFFFF [3212]" filled="t" stroked="f" coordsize="21600,21600" o:gfxdata="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YISd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6DBE18D9">
                          <w:pPr>
                            <w:jc w:val="center"/>
                            <w:rPr>
                              <w:rFonts w:ascii="Times New Roman" w:hAnsi="Times New Roman" w:eastAsia="宋体" w:cs="Times New Roman"/>
                              <w:i/>
                              <w:color w:val="auto"/>
                              <w:sz w:val="10"/>
                              <w:szCs w:val="10"/>
                            </w:rPr>
                          </w:pPr>
                          <w:r>
                            <w:rPr>
                              <w:rFonts w:ascii="Times New Roman" w:hAnsi="Times New Roman" w:eastAsia="宋体" w:cs="宋体"/>
                              <w:sz w:val="10"/>
                            </w:rPr>
                            <w:t>告知：危急</w:t>
                          </w:r>
                        </w:p>
                      </w:txbxContent>
                    </v:textbox>
                  </v:shape>
                  <v:shape id="_x0000_s1026" o:spid="_x0000_s1026" o:spt="202" type="#_x0000_t202" style="position:absolute;left:1801314;top:2142122;height:152400;width:350929;v-text-anchor:middle;" fillcolor="#FFFFFF [3212]" filled="t" stroked="f" coordsize="21600,21600" o:gfxdata="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hrq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22911F29">
                          <w:pPr>
                            <w:jc w:val="center"/>
                            <w:rPr>
                              <w:rFonts w:ascii="Times New Roman" w:hAnsi="Times New Roman" w:eastAsia="宋体" w:cs="Times New Roman"/>
                              <w:i/>
                              <w:color w:val="auto"/>
                              <w:sz w:val="10"/>
                              <w:szCs w:val="10"/>
                            </w:rPr>
                          </w:pPr>
                          <w:r>
                            <w:rPr>
                              <w:rFonts w:ascii="Times New Roman" w:hAnsi="Times New Roman" w:eastAsia="宋体" w:cs="宋体"/>
                              <w:sz w:val="10"/>
                            </w:rPr>
                            <w:t>告知：严重</w:t>
                          </w:r>
                        </w:p>
                      </w:txbxContent>
                    </v:textbox>
                  </v:shape>
                  <v:shape id="_x0000_s1026" o:spid="_x0000_s1026" o:spt="202" type="#_x0000_t202" style="position:absolute;left:1003647;top:2142565;height:142875;width:483870;v-text-anchor:middle;" fillcolor="#FFFFFF [3212]" filled="t" stroked="f" coordsize="21600,21600" o:gfxdata="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r9x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268CF50A">
                          <w:pPr>
                            <w:jc w:val="center"/>
                            <w:rPr>
                              <w:rFonts w:ascii="Times New Roman" w:hAnsi="Times New Roman" w:eastAsia="宋体" w:cs="Times New Roman"/>
                              <w:i/>
                              <w:color w:val="auto"/>
                              <w:sz w:val="10"/>
                              <w:szCs w:val="10"/>
                            </w:rPr>
                          </w:pPr>
                          <w:r>
                            <w:rPr>
                              <w:rFonts w:ascii="Times New Roman" w:hAnsi="Times New Roman" w:eastAsia="宋体" w:cs="宋体"/>
                              <w:sz w:val="10"/>
                            </w:rPr>
                            <w:t>优化过程</w:t>
                          </w:r>
                        </w:p>
                      </w:txbxContent>
                    </v:textbox>
                  </v:shape>
                  <v:shape id="_x0000_s1026" o:spid="_x0000_s1026" o:spt="202" type="#_x0000_t202" style="position:absolute;left:4768824;top:2142565;height:295835;width:530785;v-text-anchor:middle;" fillcolor="#FFFFFF [3212]" filled="t" stroked="f" coordsize="21600,21600" o:gfxdata="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cnBb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2C9DB93B">
                          <w:pPr>
                            <w:jc w:val="center"/>
                            <w:rPr>
                              <w:rFonts w:ascii="Times New Roman" w:hAnsi="Times New Roman" w:eastAsia="宋体" w:cs="Times New Roman"/>
                              <w:i/>
                              <w:color w:val="auto"/>
                              <w:sz w:val="10"/>
                              <w:szCs w:val="10"/>
                            </w:rPr>
                          </w:pPr>
                          <w:r>
                            <w:rPr>
                              <w:rFonts w:ascii="Times New Roman" w:hAnsi="Times New Roman" w:eastAsia="宋体" w:cs="宋体"/>
                              <w:sz w:val="10"/>
                            </w:rPr>
                            <w:t>闭环干预非临床的媒介</w:t>
                          </w:r>
                        </w:p>
                      </w:txbxContent>
                    </v:textbox>
                  </v:shape>
                  <v:shape id="_x0000_s1026" o:spid="_x0000_s1026" o:spt="202" type="#_x0000_t202" style="position:absolute;left:689810;top:2311856;height:214600;width:385482;v-text-anchor:middle;" fillcolor="#FFFFFF [3212]" filled="t" stroked="f" coordsize="21600,21600" o:gfxdata="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W4Ke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29CC8710">
                          <w:pPr>
                            <w:jc w:val="center"/>
                            <w:rPr>
                              <w:rFonts w:ascii="Times New Roman" w:hAnsi="Times New Roman" w:eastAsia="宋体" w:cs="Times New Roman"/>
                              <w:i/>
                              <w:color w:val="auto"/>
                              <w:sz w:val="10"/>
                              <w:szCs w:val="10"/>
                            </w:rPr>
                          </w:pPr>
                          <w:r>
                            <w:rPr>
                              <w:rFonts w:ascii="Times New Roman" w:hAnsi="Times New Roman" w:eastAsia="宋体" w:cs="宋体"/>
                              <w:sz w:val="10"/>
                            </w:rPr>
                            <w:t>组织数据</w:t>
                          </w:r>
                        </w:p>
                      </w:txbxContent>
                    </v:textbox>
                  </v:shape>
                  <v:shape id="_x0000_s1026" o:spid="_x0000_s1026" o:spt="202" type="#_x0000_t202" style="position:absolute;left:1416019;top:2312334;height:142875;width:483870;v-text-anchor:middle;" fillcolor="#FFFFFF [3212]" filled="t" stroked="f" coordsize="21600,21600" o:gfxdata="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kc6b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39094B5B">
                          <w:pPr>
                            <w:jc w:val="center"/>
                            <w:rPr>
                              <w:rFonts w:ascii="Times New Roman" w:hAnsi="Times New Roman" w:eastAsia="宋体" w:cs="Times New Roman"/>
                              <w:i/>
                              <w:color w:val="auto"/>
                              <w:sz w:val="10"/>
                              <w:szCs w:val="10"/>
                            </w:rPr>
                          </w:pPr>
                          <w:r>
                            <w:rPr>
                              <w:rFonts w:ascii="Times New Roman" w:hAnsi="Times New Roman" w:eastAsia="宋体" w:cs="宋体"/>
                              <w:sz w:val="10"/>
                            </w:rPr>
                            <w:t>告知：非严重</w:t>
                          </w:r>
                        </w:p>
                      </w:txbxContent>
                    </v:textbox>
                  </v:shape>
                  <v:shape id="_x0000_s1026" o:spid="_x0000_s1026" o:spt="202" type="#_x0000_t202" style="position:absolute;left:1998727;top:2312894;height:142875;width:483870;v-text-anchor:middle;" fillcolor="#FFFFFF [3212]" filled="t" stroked="f" coordsize="21600,21600" o:gfxdata="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W5c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7A296C03">
                          <w:pPr>
                            <w:jc w:val="center"/>
                            <w:rPr>
                              <w:rFonts w:ascii="Times New Roman" w:hAnsi="Times New Roman" w:eastAsia="宋体" w:cs="Times New Roman"/>
                              <w:i/>
                              <w:color w:val="auto"/>
                              <w:sz w:val="10"/>
                              <w:szCs w:val="10"/>
                            </w:rPr>
                          </w:pPr>
                          <w:r>
                            <w:rPr>
                              <w:rFonts w:ascii="Times New Roman" w:hAnsi="Times New Roman" w:eastAsia="宋体" w:cs="宋体"/>
                              <w:sz w:val="10"/>
                            </w:rPr>
                            <w:t>推动：非严重</w:t>
                          </w:r>
                        </w:p>
                      </w:txbxContent>
                    </v:textbox>
                  </v:shape>
                  <v:shape id="_x0000_s1026" o:spid="_x0000_s1026" o:spt="202" type="#_x0000_t202" style="position:absolute;left:3575766;top:2311938;height:215041;width:376832;v-text-anchor:middle;" fillcolor="#FFFFFF [3212]" filled="t" stroked="f" coordsize="21600,21600" o:gfxdata="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1otA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7DFEA811">
                          <w:pPr>
                            <w:jc w:val="center"/>
                            <w:rPr>
                              <w:rFonts w:ascii="Times New Roman" w:hAnsi="Times New Roman" w:eastAsia="宋体" w:cs="Times New Roman"/>
                              <w:i/>
                              <w:color w:val="auto"/>
                              <w:sz w:val="10"/>
                              <w:szCs w:val="10"/>
                            </w:rPr>
                          </w:pPr>
                          <w:r>
                            <w:rPr>
                              <w:rFonts w:ascii="Times New Roman" w:hAnsi="Times New Roman" w:eastAsia="宋体" w:cs="宋体"/>
                              <w:sz w:val="10"/>
                            </w:rPr>
                            <w:t>推动：危急</w:t>
                          </w:r>
                        </w:p>
                      </w:txbxContent>
                    </v:textbox>
                  </v:shape>
                  <v:shape id="_x0000_s1026" o:spid="_x0000_s1026" o:spt="202" type="#_x0000_t202" style="position:absolute;left:2787621;top:2286000;height:242047;width:483870;v-text-anchor:middle;" fillcolor="#FFFFFF [3212]" filled="t" stroked="f" coordsize="21600,21600" o:gfxdata="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oib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03A8D467">
                          <w:pPr>
                            <w:ind w:left="120" w:leftChars="50" w:right="120" w:rightChars="50"/>
                            <w:jc w:val="center"/>
                            <w:rPr>
                              <w:rFonts w:ascii="Times New Roman" w:hAnsi="Times New Roman" w:eastAsia="宋体" w:cs="Times New Roman"/>
                              <w:i/>
                              <w:color w:val="auto"/>
                              <w:sz w:val="10"/>
                              <w:szCs w:val="10"/>
                            </w:rPr>
                          </w:pPr>
                          <w:r>
                            <w:rPr>
                              <w:rFonts w:ascii="Times New Roman" w:hAnsi="Times New Roman" w:eastAsia="宋体" w:cs="宋体"/>
                              <w:sz w:val="10"/>
                            </w:rPr>
                            <w:t>治疗/诊断：非严重</w:t>
                          </w:r>
                        </w:p>
                      </w:txbxContent>
                    </v:textbox>
                  </v:shape>
                  <v:shape id="_x0000_s1026" o:spid="_x0000_s1026" o:spt="202" type="#_x0000_t202" style="position:absolute;left:4257835;top:2286000;height:214630;width:448235;v-text-anchor:middle;" fillcolor="#FFFFFF [3212]" filled="t" stroked="f" coordsize="21600,21600" o:gfxdata="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W327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1F60BD2">
                          <w:pPr>
                            <w:ind w:left="120" w:leftChars="50" w:right="120" w:rightChars="50"/>
                            <w:jc w:val="center"/>
                            <w:rPr>
                              <w:rFonts w:ascii="Times New Roman" w:hAnsi="Times New Roman" w:eastAsia="宋体" w:cs="Times New Roman"/>
                              <w:i/>
                              <w:color w:val="auto"/>
                              <w:sz w:val="10"/>
                              <w:szCs w:val="10"/>
                            </w:rPr>
                          </w:pPr>
                          <w:r>
                            <w:rPr>
                              <w:rFonts w:ascii="Times New Roman" w:hAnsi="Times New Roman" w:eastAsia="宋体" w:cs="宋体"/>
                              <w:sz w:val="10"/>
                            </w:rPr>
                            <w:t>治疗/诊断：危急</w:t>
                          </w:r>
                        </w:p>
                      </w:txbxContent>
                    </v:textbox>
                  </v:shape>
                  <v:shape id="_x0000_s1026" o:spid="_x0000_s1026" o:spt="202" type="#_x0000_t202" style="position:absolute;left:-220035;top:1026459;height:142877;width:600878;rotation:-5898240f;v-text-anchor:middle;" fillcolor="#FFFFFF [3212]" filled="t" stroked="f" coordsize="21600,21600" o:gfxdata="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KIJW/&#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427FFDDA">
                          <w:pPr>
                            <w:jc w:val="center"/>
                            <w:rPr>
                              <w:rFonts w:ascii="Times New Roman" w:hAnsi="Times New Roman" w:eastAsia="宋体" w:cs="Times New Roman"/>
                              <w:i/>
                              <w:color w:val="auto"/>
                              <w:sz w:val="13"/>
                              <w:szCs w:val="13"/>
                            </w:rPr>
                          </w:pPr>
                          <w:r>
                            <w:rPr>
                              <w:rFonts w:ascii="Times New Roman" w:hAnsi="Times New Roman" w:eastAsia="宋体" w:cs="宋体"/>
                              <w:b/>
                              <w:sz w:val="12"/>
                            </w:rPr>
                            <w:t>影响</w:t>
                          </w:r>
                        </w:p>
                      </w:txbxContent>
                    </v:textbox>
                  </v:shape>
                  <v:shape id="_x0000_s1026" o:spid="_x0000_s1026" o:spt="202" type="#_x0000_t202" style="position:absolute;left:143035;top:1891553;height:142877;width:215470;rotation:-5898240f;v-text-anchor:middle;" fillcolor="#FFFFFF [3212]" filled="t" stroked="f" coordsize="21600,21600" o:gfxdata="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0YvuK/&#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334BA490">
                          <w:pPr>
                            <w:jc w:val="center"/>
                            <w:rPr>
                              <w:rFonts w:ascii="Times New Roman" w:hAnsi="Times New Roman" w:eastAsia="宋体" w:cs="Times New Roman"/>
                              <w:i/>
                              <w:color w:val="auto"/>
                              <w:sz w:val="11"/>
                              <w:szCs w:val="11"/>
                            </w:rPr>
                          </w:pPr>
                          <w:r>
                            <w:rPr>
                              <w:rFonts w:ascii="Times New Roman" w:hAnsi="Times New Roman" w:eastAsia="宋体" w:cs="宋体"/>
                              <w:sz w:val="10"/>
                            </w:rPr>
                            <w:t>无</w:t>
                          </w:r>
                        </w:p>
                      </w:txbxContent>
                    </v:textbox>
                  </v:shape>
                  <v:shape id="_x0000_s1026" o:spid="_x0000_s1026" o:spt="202" type="#_x0000_t202" style="position:absolute;left:143035;top:1497106;height:142875;width:215265;rotation:-5898240f;v-text-anchor:middle;" fillcolor="#FFFFFF [3212]" filled="t" stroked="f" coordsize="21600,21600" o:gfxdata="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UG3m/&#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D5AA41A">
                          <w:pPr>
                            <w:jc w:val="center"/>
                            <w:rPr>
                              <w:rFonts w:ascii="Times New Roman" w:hAnsi="Times New Roman" w:eastAsia="宋体" w:cs="Times New Roman"/>
                              <w:i/>
                              <w:color w:val="auto"/>
                              <w:sz w:val="11"/>
                              <w:szCs w:val="11"/>
                            </w:rPr>
                          </w:pPr>
                          <w:r>
                            <w:rPr>
                              <w:rFonts w:ascii="Times New Roman" w:hAnsi="Times New Roman" w:eastAsia="宋体" w:cs="宋体"/>
                              <w:sz w:val="10"/>
                            </w:rPr>
                            <w:t>低</w:t>
                          </w:r>
                        </w:p>
                      </w:txbxContent>
                    </v:textbox>
                  </v:shape>
                  <v:shape id="_x0000_s1026" o:spid="_x0000_s1026" o:spt="202" type="#_x0000_t202" style="position:absolute;left:71317;top:1156447;height:142875;width:358925;rotation:-5898240f;v-text-anchor:middle;" fillcolor="#FFFFFF [3212]" filled="t" stroked="f" coordsize="21600,21600" o:gfxdata="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9gw2/&#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2B311DF5">
                          <w:pPr>
                            <w:jc w:val="center"/>
                            <w:rPr>
                              <w:rFonts w:ascii="Times New Roman" w:hAnsi="Times New Roman" w:eastAsia="宋体" w:cs="Times New Roman"/>
                              <w:i/>
                              <w:color w:val="auto"/>
                              <w:sz w:val="11"/>
                              <w:szCs w:val="11"/>
                            </w:rPr>
                          </w:pPr>
                          <w:r>
                            <w:rPr>
                              <w:rFonts w:ascii="Times New Roman" w:hAnsi="Times New Roman" w:eastAsia="宋体" w:cs="宋体"/>
                              <w:sz w:val="10"/>
                            </w:rPr>
                            <w:t>中度</w:t>
                          </w:r>
                        </w:p>
                      </w:txbxContent>
                    </v:textbox>
                  </v:shape>
                  <v:shape id="_x0000_s1026" o:spid="_x0000_s1026" o:spt="202" type="#_x0000_t202" style="position:absolute;left:143035;top:744074;height:142875;width:215265;rotation:-5898240f;v-text-anchor:middle;" fillcolor="#FFFFFF [3212]" filled="t" stroked="f" coordsize="21600,21600" o:gfxdata="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xJpa/&#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2579114D">
                          <w:pPr>
                            <w:jc w:val="center"/>
                            <w:rPr>
                              <w:rFonts w:ascii="Times New Roman" w:hAnsi="Times New Roman" w:eastAsia="宋体" w:cs="Times New Roman"/>
                              <w:i/>
                              <w:color w:val="auto"/>
                              <w:sz w:val="11"/>
                              <w:szCs w:val="11"/>
                            </w:rPr>
                          </w:pPr>
                          <w:r>
                            <w:rPr>
                              <w:rFonts w:ascii="Times New Roman" w:hAnsi="Times New Roman" w:eastAsia="宋体" w:cs="宋体"/>
                              <w:sz w:val="10"/>
                            </w:rPr>
                            <w:t>严重</w:t>
                          </w:r>
                        </w:p>
                      </w:txbxContent>
                    </v:textbox>
                  </v:shape>
                  <v:shape id="_x0000_s1026" o:spid="_x0000_s1026" o:spt="202" type="#_x0000_t202" style="position:absolute;left:-13847;top:309286;height:142875;width:528694;rotation:-5898240f;v-text-anchor:middle;" fillcolor="#FFFFFF [3212]" filled="t" stroked="f" coordsize="21600,21600" o:gfxdata="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juOG/&#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91409C3">
                          <w:pPr>
                            <w:jc w:val="center"/>
                            <w:rPr>
                              <w:rFonts w:ascii="Times New Roman" w:hAnsi="Times New Roman" w:eastAsia="宋体" w:cs="Times New Roman"/>
                              <w:i/>
                              <w:color w:val="auto"/>
                              <w:sz w:val="11"/>
                              <w:szCs w:val="11"/>
                            </w:rPr>
                          </w:pPr>
                          <w:r>
                            <w:rPr>
                              <w:rFonts w:ascii="Times New Roman" w:hAnsi="Times New Roman" w:eastAsia="宋体" w:cs="宋体"/>
                              <w:sz w:val="10"/>
                            </w:rPr>
                            <w:t>灾难的</w:t>
                          </w:r>
                        </w:p>
                      </w:txbxContent>
                    </v:textbox>
                  </v:shape>
                  <v:shape id="_x0000_s1026" o:spid="_x0000_s1026" o:spt="202" type="#_x0000_t202" style="position:absolute;left:1953906;top:2563906;height:142875;width:1873624;v-text-anchor:middle;" fillcolor="#FFFFFF [3212]" filled="t" stroked="f" coordsize="21600,21600" o:gfxdata="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wvr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563CF0C4">
                          <w:pPr>
                            <w:jc w:val="center"/>
                            <w:rPr>
                              <w:rFonts w:ascii="Times New Roman" w:hAnsi="Times New Roman" w:eastAsia="宋体" w:cs="Times New Roman"/>
                              <w:i/>
                              <w:color w:val="auto"/>
                              <w:sz w:val="13"/>
                              <w:szCs w:val="13"/>
                            </w:rPr>
                          </w:pPr>
                          <w:r>
                            <w:rPr>
                              <w:rFonts w:ascii="Times New Roman" w:hAnsi="Times New Roman" w:eastAsia="宋体" w:cs="宋体"/>
                              <w:b/>
                              <w:sz w:val="12"/>
                            </w:rPr>
                            <w:t>定义表述</w:t>
                          </w:r>
                        </w:p>
                      </w:txbxContent>
                    </v:textbox>
                  </v:shape>
                </v:group>
                <v:shape id="_x0000_s1026" o:spid="_x0000_s1026" o:spt="202" type="#_x0000_t202" style="position:absolute;left:1676400;top:331694;height:313251;width:1289768;v-text-anchor:middle;" fillcolor="#4F81BD" filled="t" stroked="f" coordsize="21600,21600" o:gfxdata="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viCO/&#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044D755B">
                        <w:pPr>
                          <w:jc w:val="center"/>
                          <w:rPr>
                            <w:rFonts w:ascii="Times New Roman" w:hAnsi="Times New Roman" w:eastAsia="宋体" w:cs="Times New Roman"/>
                            <w:i/>
                            <w:color w:val="FFFFFF" w:themeColor="background1"/>
                            <w:sz w:val="13"/>
                            <w:szCs w:val="13"/>
                            <w:lang w:eastAsia="zh-CN"/>
                            <w14:textFill>
                              <w14:solidFill>
                                <w14:schemeClr w14:val="bg1"/>
                              </w14:solidFill>
                            </w14:textFill>
                          </w:rPr>
                        </w:pPr>
                        <w:r>
                          <w:rPr>
                            <w:rFonts w:ascii="Times New Roman" w:hAnsi="Times New Roman" w:eastAsia="宋体" w:cs="宋体"/>
                            <w:color w:val="FFFFFF"/>
                            <w:sz w:val="12"/>
                            <w:lang w:eastAsia="zh-CN"/>
                          </w:rPr>
                          <w:t>箭头所示为SaMD定义声明的可能更改</w:t>
                        </w:r>
                      </w:p>
                    </w:txbxContent>
                  </v:textbox>
                </v:shape>
              </v:group>
            </w:pict>
          </mc:Fallback>
        </mc:AlternateContent>
      </w:r>
      <w:r>
        <w:rPr>
          <w:rFonts w:ascii="宋体" w:hAnsi="宋体" w:eastAsia="宋体" w:cs="宋体"/>
          <w:lang w:eastAsia="zh-CN" w:bidi="ar-SA"/>
        </w:rPr>
        <w:drawing>
          <wp:inline distT="0" distB="0" distL="0" distR="0">
            <wp:extent cx="5473700" cy="2733040"/>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spect="1"/>
                    </pic:cNvPicPr>
                  </pic:nvPicPr>
                  <pic:blipFill>
                    <a:blip r:embed="rId19"/>
                    <a:stretch>
                      <a:fillRect/>
                    </a:stretch>
                  </pic:blipFill>
                  <pic:spPr>
                    <a:xfrm>
                      <a:off x="0" y="0"/>
                      <a:ext cx="5474131" cy="2733264"/>
                    </a:xfrm>
                    <a:prstGeom prst="rect">
                      <a:avLst/>
                    </a:prstGeom>
                  </pic:spPr>
                </pic:pic>
              </a:graphicData>
            </a:graphic>
          </wp:inline>
        </w:drawing>
      </w:r>
    </w:p>
    <w:p w14:paraId="0097832A">
      <w:pPr>
        <w:pStyle w:val="32"/>
        <w:adjustRightInd w:val="0"/>
        <w:snapToGrid w:val="0"/>
        <w:spacing w:before="120" w:beforeLines="50" w:line="300" w:lineRule="auto"/>
        <w:jc w:val="center"/>
        <w:rPr>
          <w:rFonts w:eastAsia="宋体"/>
          <w:snapToGrid w:val="0"/>
          <w:sz w:val="24"/>
          <w:szCs w:val="24"/>
          <w:lang w:eastAsia="zh-CN"/>
        </w:rPr>
      </w:pPr>
      <w:r>
        <w:rPr>
          <w:rFonts w:eastAsia="宋体" w:cs="宋体"/>
          <w:sz w:val="24"/>
          <w:lang w:eastAsia="zh-CN"/>
        </w:rPr>
        <w:t>图15 - 根据持续学习更改SaMD类别</w:t>
      </w:r>
    </w:p>
    <w:p w14:paraId="4F8F8D91">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包括上市后信息在内的真实世界性能数据可能不足以生成更改SaMD定义声明所需的完整临床证据；因此，SaMD制造商应视情况对支持更改SaMD定义声明所需的其他临床评价步骤纳入考虑因素。</w:t>
      </w:r>
    </w:p>
    <w:p w14:paraId="5136CD11">
      <w:pPr>
        <w:pStyle w:val="37"/>
        <w:numPr>
          <w:ilvl w:val="0"/>
          <w:numId w:val="15"/>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在整个生命周期的持续学习过程中，依据新信息更改SaMD类别时（如图15所示），SaMD制造商应考虑上一节中关于独立审查的建议。</w:t>
      </w:r>
    </w:p>
    <w:p w14:paraId="3E65DEDE">
      <w:pPr>
        <w:pStyle w:val="21"/>
        <w:adjustRightInd w:val="0"/>
        <w:snapToGrid w:val="0"/>
        <w:spacing w:before="120" w:beforeLines="50" w:line="300" w:lineRule="auto"/>
        <w:jc w:val="both"/>
        <w:rPr>
          <w:rFonts w:eastAsia="宋体"/>
          <w:snapToGrid w:val="0"/>
          <w:sz w:val="24"/>
          <w:szCs w:val="24"/>
          <w:lang w:eastAsia="zh-CN"/>
        </w:rPr>
      </w:pPr>
    </w:p>
    <w:p w14:paraId="6523AE62">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24E5C73C">
      <w:pPr>
        <w:pStyle w:val="37"/>
        <w:numPr>
          <w:ilvl w:val="0"/>
          <w:numId w:val="1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这里提到的“持续学习”不是“机器学习软件”，即在其发布上市后自动保持学习的软件器械；而指的是收集上市后信息。</w:t>
      </w:r>
    </w:p>
    <w:p w14:paraId="1E191646">
      <w:pPr>
        <w:pStyle w:val="37"/>
        <w:numPr>
          <w:ilvl w:val="0"/>
          <w:numId w:val="16"/>
        </w:numPr>
        <w:adjustRightInd w:val="0"/>
        <w:snapToGrid w:val="0"/>
        <w:spacing w:before="120" w:beforeLines="50" w:line="300" w:lineRule="auto"/>
        <w:ind w:left="851" w:firstLineChars="0"/>
        <w:jc w:val="both"/>
        <w:rPr>
          <w:rFonts w:ascii="Times New Roman" w:hAnsi="Times New Roman" w:eastAsia="宋体" w:cs="Times New Roman"/>
          <w:snapToGrid w:val="0"/>
          <w:lang w:eastAsia="zh-CN"/>
        </w:rPr>
      </w:pPr>
      <w:r>
        <w:rPr>
          <w:rFonts w:ascii="Times New Roman" w:hAnsi="Times New Roman" w:eastAsia="宋体" w:cs="宋体"/>
          <w:lang w:eastAsia="zh-CN"/>
        </w:rPr>
        <w:t>制造商应适当评审这些收集的上市后信息，以确定安全性、有效性或性能，或对SaMD受益和风险的可能影响是否存在任何变化，这些变化将表明在禁忌症、警告、注意事项或使用说明书方面需要设计变更或标示变更。标签应以最终用户能够理解的方式标识SaMD对其临床性能的局限性以及对其输出的解释。对上市后信息的评估也可能导致预期用途的改变（例如扩展、修改或限制）。</w:t>
      </w:r>
    </w:p>
    <w:p w14:paraId="43784E3A">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lang w:eastAsia="zh-CN"/>
        </w:rPr>
        <w:t>注：对SaMD定义声明的更改可能受各个管辖区监管要求的约束，SaMD制造商应咨询其管辖区的监管机构。</w:t>
      </w:r>
    </w:p>
    <w:p w14:paraId="795DD5E4">
      <w:pPr>
        <w:pStyle w:val="21"/>
        <w:adjustRightInd w:val="0"/>
        <w:snapToGrid w:val="0"/>
        <w:spacing w:before="120" w:beforeLines="50" w:line="300" w:lineRule="auto"/>
        <w:jc w:val="both"/>
        <w:rPr>
          <w:rFonts w:eastAsia="宋体"/>
          <w:snapToGrid w:val="0"/>
          <w:sz w:val="24"/>
          <w:szCs w:val="24"/>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FFFFFF" w:themeColor="background1" w:sz="18" w:space="0"/>
        </w:tblBorders>
        <w:tblLayout w:type="autofit"/>
        <w:tblCellMar>
          <w:top w:w="0" w:type="dxa"/>
          <w:left w:w="108" w:type="dxa"/>
          <w:bottom w:w="0" w:type="dxa"/>
          <w:right w:w="108" w:type="dxa"/>
        </w:tblCellMar>
      </w:tblPr>
      <w:tblGrid>
        <w:gridCol w:w="958"/>
        <w:gridCol w:w="8329"/>
      </w:tblGrid>
      <w:tr w14:paraId="080E8352">
        <w:tblPrEx>
          <w:tblBorders>
            <w:top w:val="single" w:color="auto" w:sz="4" w:space="0"/>
            <w:left w:val="single" w:color="auto" w:sz="4" w:space="0"/>
            <w:bottom w:val="single" w:color="auto" w:sz="4" w:space="0"/>
            <w:right w:val="single" w:color="auto" w:sz="4" w:space="0"/>
            <w:insideH w:val="single" w:color="auto" w:sz="4" w:space="0"/>
            <w:insideV w:val="single" w:color="FFFFFF" w:themeColor="background1" w:sz="18" w:space="0"/>
          </w:tblBorders>
          <w:tblCellMar>
            <w:top w:w="0" w:type="dxa"/>
            <w:left w:w="108" w:type="dxa"/>
            <w:bottom w:w="0" w:type="dxa"/>
            <w:right w:w="108" w:type="dxa"/>
          </w:tblCellMar>
        </w:tblPrEx>
        <w:tc>
          <w:tcPr>
            <w:tcW w:w="516" w:type="pct"/>
            <w:shd w:val="clear" w:color="auto" w:fill="FFFFFF"/>
            <w:vAlign w:val="center"/>
          </w:tcPr>
          <w:p w14:paraId="1FE38F54">
            <w:pPr>
              <w:pStyle w:val="17"/>
              <w:adjustRightInd w:val="0"/>
              <w:snapToGrid w:val="0"/>
              <w:spacing w:before="36" w:beforeLines="15" w:after="0" w:line="276" w:lineRule="auto"/>
              <w:jc w:val="center"/>
              <w:rPr>
                <w:snapToGrid w:val="0"/>
                <w:sz w:val="21"/>
                <w:szCs w:val="21"/>
              </w:rPr>
            </w:pPr>
            <w:r>
              <w:rPr>
                <w:rFonts w:ascii="宋体" w:hAnsi="宋体" w:eastAsia="宋体" w:cs="宋体"/>
                <w:sz w:val="21"/>
                <w:szCs w:val="21"/>
                <w:lang w:eastAsia="zh-CN" w:bidi="ar-SA"/>
              </w:rPr>
              <w:drawing>
                <wp:inline distT="0" distB="0" distL="0" distR="0">
                  <wp:extent cx="361315" cy="380365"/>
                  <wp:effectExtent l="0" t="0" r="635" b="63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0"/>
                          <a:stretch>
                            <a:fillRect/>
                          </a:stretch>
                        </pic:blipFill>
                        <pic:spPr>
                          <a:xfrm>
                            <a:off x="0" y="0"/>
                            <a:ext cx="361905" cy="380952"/>
                          </a:xfrm>
                          <a:prstGeom prst="rect">
                            <a:avLst/>
                          </a:prstGeom>
                        </pic:spPr>
                      </pic:pic>
                    </a:graphicData>
                  </a:graphic>
                </wp:inline>
              </w:drawing>
            </w:r>
          </w:p>
        </w:tc>
        <w:tc>
          <w:tcPr>
            <w:tcW w:w="4484" w:type="pct"/>
            <w:shd w:val="clear" w:color="auto" w:fill="FFFFFF"/>
            <w:vAlign w:val="center"/>
          </w:tcPr>
          <w:p w14:paraId="77FE5AF6">
            <w:pPr>
              <w:pStyle w:val="17"/>
              <w:adjustRightInd w:val="0"/>
              <w:snapToGrid w:val="0"/>
              <w:spacing w:before="36" w:beforeLines="15" w:after="0" w:line="276" w:lineRule="auto"/>
              <w:jc w:val="both"/>
              <w:rPr>
                <w:rFonts w:eastAsia="宋体"/>
                <w:snapToGrid w:val="0"/>
                <w:sz w:val="21"/>
                <w:szCs w:val="21"/>
                <w:lang w:eastAsia="zh-CN"/>
              </w:rPr>
            </w:pPr>
            <w:r>
              <w:rPr>
                <w:rFonts w:eastAsia="宋体" w:cs="宋体"/>
                <w:b/>
                <w:i/>
                <w:sz w:val="21"/>
                <w:szCs w:val="21"/>
                <w:lang w:eastAsia="zh-CN"/>
              </w:rPr>
              <w:t>SaMD软件变更</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[3]</w:t>
            </w:r>
            <w:r>
              <w:rPr>
                <w:rFonts w:eastAsia="宋体" w:cs="宋体"/>
                <w:i/>
                <w:sz w:val="21"/>
                <w:szCs w:val="21"/>
                <w:lang w:eastAsia="zh-CN"/>
              </w:rPr>
              <w:t>第7.5节</w:t>
            </w:r>
          </w:p>
          <w:p w14:paraId="73F47A36">
            <w:pPr>
              <w:pStyle w:val="17"/>
              <w:adjustRightInd w:val="0"/>
              <w:snapToGrid w:val="0"/>
              <w:spacing w:before="36" w:beforeLines="15" w:after="0" w:line="276" w:lineRule="auto"/>
              <w:jc w:val="both"/>
              <w:rPr>
                <w:rFonts w:eastAsia="宋体"/>
                <w:b/>
                <w:bCs/>
                <w:i/>
                <w:iCs/>
                <w:snapToGrid w:val="0"/>
                <w:sz w:val="21"/>
                <w:szCs w:val="21"/>
                <w:lang w:eastAsia="zh-CN"/>
              </w:rPr>
            </w:pPr>
            <w:r>
              <w:rPr>
                <w:rFonts w:eastAsia="宋体" w:cs="宋体"/>
                <w:b/>
                <w:i/>
                <w:sz w:val="21"/>
                <w:szCs w:val="21"/>
                <w:lang w:eastAsia="zh-CN"/>
              </w:rPr>
              <w:t>SaMD持续改进</w:t>
            </w:r>
            <w:r>
              <w:rPr>
                <w:rFonts w:eastAsia="宋体" w:cs="宋体"/>
                <w:i/>
                <w:sz w:val="21"/>
                <w:szCs w:val="21"/>
                <w:lang w:eastAsia="zh-CN"/>
              </w:rPr>
              <w:t>参见</w:t>
            </w:r>
            <w:r>
              <w:fldChar w:fldCharType="begin"/>
            </w:r>
            <w:r>
              <w:instrText xml:space="preserve"> HYPERLINK "http://www.imdrf.org/docs/imdrf/final/technical/imdrf-tech-151002-samd-qms.pdf" </w:instrText>
            </w:r>
            <w:r>
              <w:fldChar w:fldCharType="separate"/>
            </w:r>
            <w:r>
              <w:rPr>
                <w:rFonts w:eastAsia="宋体" w:cs="宋体"/>
                <w:i/>
                <w:iCs/>
                <w:snapToGrid w:val="0"/>
                <w:color w:val="0000FF"/>
                <w:sz w:val="21"/>
                <w:szCs w:val="21"/>
                <w:u w:val="single"/>
                <w:lang w:eastAsia="zh-CN"/>
              </w:rPr>
              <w:t>SaMD N23</w:t>
            </w:r>
            <w:r>
              <w:rPr>
                <w:rFonts w:eastAsia="宋体" w:cs="宋体"/>
                <w:i/>
                <w:iCs/>
                <w:snapToGrid w:val="0"/>
                <w:color w:val="0000FF"/>
                <w:sz w:val="21"/>
                <w:szCs w:val="21"/>
                <w:u w:val="single"/>
                <w:lang w:eastAsia="zh-CN"/>
              </w:rPr>
              <w:fldChar w:fldCharType="end"/>
            </w:r>
            <w:r>
              <w:rPr>
                <w:rFonts w:eastAsia="宋体" w:cs="宋体"/>
                <w:i/>
                <w:sz w:val="21"/>
                <w:szCs w:val="21"/>
                <w:vertAlign w:val="superscript"/>
                <w:lang w:eastAsia="zh-CN"/>
              </w:rPr>
              <w:t>[3]</w:t>
            </w:r>
            <w:r>
              <w:rPr>
                <w:rFonts w:eastAsia="宋体" w:cs="宋体"/>
                <w:i/>
                <w:sz w:val="21"/>
                <w:szCs w:val="21"/>
                <w:lang w:eastAsia="zh-CN"/>
              </w:rPr>
              <w:t>第7.5节</w:t>
            </w:r>
          </w:p>
          <w:p w14:paraId="05016AB9">
            <w:pPr>
              <w:pStyle w:val="17"/>
              <w:adjustRightInd w:val="0"/>
              <w:snapToGrid w:val="0"/>
              <w:spacing w:before="36" w:beforeLines="15" w:after="0" w:line="276" w:lineRule="auto"/>
              <w:jc w:val="both"/>
              <w:rPr>
                <w:rFonts w:eastAsia="宋体"/>
                <w:snapToGrid w:val="0"/>
                <w:sz w:val="21"/>
                <w:szCs w:val="21"/>
                <w:lang w:eastAsia="zh-CN"/>
              </w:rPr>
            </w:pPr>
            <w:r>
              <w:rPr>
                <w:rFonts w:eastAsia="宋体" w:cs="宋体"/>
                <w:b/>
                <w:i/>
                <w:sz w:val="21"/>
                <w:szCs w:val="21"/>
                <w:lang w:eastAsia="zh-CN"/>
              </w:rPr>
              <w:t>上市后医疗器械</w:t>
            </w:r>
            <w:r>
              <w:rPr>
                <w:rFonts w:eastAsia="宋体" w:cs="宋体"/>
                <w:i/>
                <w:sz w:val="21"/>
                <w:szCs w:val="21"/>
                <w:lang w:eastAsia="zh-CN"/>
              </w:rPr>
              <w:t>参见</w:t>
            </w:r>
            <w:r>
              <w:fldChar w:fldCharType="begin"/>
            </w:r>
            <w:r>
              <w:instrText xml:space="preserve"> HYPERLINK "http://www.imdrf.org/docs/ghtf/final/sg2/technical-docs/ghtf-sg2-n79r11-medical-devices-post-market-surveillance-090217.pdf" </w:instrText>
            </w:r>
            <w:r>
              <w:fldChar w:fldCharType="separate"/>
            </w:r>
            <w:r>
              <w:rPr>
                <w:rFonts w:eastAsia="宋体" w:cs="宋体"/>
                <w:i/>
                <w:iCs/>
                <w:snapToGrid w:val="0"/>
                <w:color w:val="0000FF"/>
                <w:sz w:val="21"/>
                <w:szCs w:val="21"/>
                <w:u w:val="single"/>
                <w:lang w:eastAsia="zh-CN"/>
              </w:rPr>
              <w:t>GHTF SG3 N79R11:2009</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[15]</w:t>
            </w:r>
          </w:p>
          <w:p w14:paraId="2267ED7C">
            <w:pPr>
              <w:pStyle w:val="17"/>
              <w:adjustRightInd w:val="0"/>
              <w:snapToGrid w:val="0"/>
              <w:spacing w:before="36" w:beforeLines="15" w:after="0" w:line="276" w:lineRule="auto"/>
              <w:jc w:val="both"/>
              <w:rPr>
                <w:rFonts w:eastAsiaTheme="minorEastAsia"/>
                <w:snapToGrid w:val="0"/>
                <w:sz w:val="21"/>
                <w:szCs w:val="21"/>
                <w:lang w:eastAsia="zh-CN"/>
              </w:rPr>
            </w:pPr>
            <w:r>
              <w:rPr>
                <w:rFonts w:eastAsia="宋体" w:cs="宋体"/>
                <w:b/>
                <w:i/>
                <w:sz w:val="21"/>
                <w:szCs w:val="21"/>
                <w:lang w:eastAsia="zh-CN"/>
              </w:rPr>
              <w:t>医疗器械观察研究</w:t>
            </w:r>
            <w:r>
              <w:rPr>
                <w:rFonts w:eastAsia="宋体" w:cs="宋体"/>
                <w:i/>
                <w:sz w:val="21"/>
                <w:szCs w:val="21"/>
                <w:lang w:eastAsia="zh-CN"/>
              </w:rPr>
              <w:t>参见</w:t>
            </w:r>
            <w:r>
              <w:fldChar w:fldCharType="begin"/>
            </w:r>
            <w:r>
              <w:instrText xml:space="preserve"> HYPERLINK "http://www.imdrf.org/docs/ghtf/final/sg5/technical-docs/ghtf-sg5-n8-2012-clinical-performance-studies-ivd-medical-devices-121102.pdf" </w:instrText>
            </w:r>
            <w:r>
              <w:fldChar w:fldCharType="separate"/>
            </w:r>
            <w:r>
              <w:rPr>
                <w:rFonts w:eastAsia="宋体" w:cs="宋体"/>
                <w:i/>
                <w:iCs/>
                <w:snapToGrid w:val="0"/>
                <w:color w:val="0000FF"/>
                <w:sz w:val="21"/>
                <w:szCs w:val="21"/>
                <w:u w:val="single"/>
                <w:lang w:eastAsia="zh-CN"/>
              </w:rPr>
              <w:t>GHTF SG5 N8:2012</w:t>
            </w:r>
            <w:r>
              <w:rPr>
                <w:rFonts w:eastAsia="宋体" w:cs="宋体"/>
                <w:i/>
                <w:iCs/>
                <w:snapToGrid w:val="0"/>
                <w:color w:val="0000FF"/>
                <w:sz w:val="21"/>
                <w:szCs w:val="21"/>
                <w:u w:val="single"/>
                <w:lang w:eastAsia="zh-CN"/>
              </w:rPr>
              <w:fldChar w:fldCharType="end"/>
            </w:r>
            <w:r>
              <w:rPr>
                <w:rFonts w:eastAsia="宋体" w:cs="宋体"/>
                <w:i/>
                <w:color w:val="0000FF"/>
                <w:sz w:val="21"/>
                <w:szCs w:val="21"/>
                <w:u w:val="single"/>
                <w:vertAlign w:val="superscript"/>
                <w:lang w:eastAsia="zh-CN"/>
              </w:rPr>
              <w:t>[16]</w:t>
            </w:r>
            <w:r>
              <w:rPr>
                <w:rFonts w:eastAsia="宋体" w:cs="宋体"/>
                <w:i/>
                <w:sz w:val="21"/>
                <w:szCs w:val="21"/>
                <w:lang w:eastAsia="zh-CN"/>
              </w:rPr>
              <w:t>第6.1节</w:t>
            </w:r>
          </w:p>
        </w:tc>
      </w:tr>
    </w:tbl>
    <w:p w14:paraId="2FD08907">
      <w:pPr>
        <w:adjustRightInd w:val="0"/>
        <w:snapToGrid w:val="0"/>
        <w:spacing w:before="120" w:beforeLines="50" w:line="300" w:lineRule="auto"/>
        <w:jc w:val="both"/>
        <w:rPr>
          <w:rFonts w:ascii="Times New Roman" w:hAnsi="Times New Roman" w:eastAsia="宋体" w:cs="Times New Roman"/>
          <w:snapToGrid w:val="0"/>
          <w:lang w:eastAsia="zh-CN"/>
        </w:rPr>
      </w:pPr>
    </w:p>
    <w:p w14:paraId="6E2599C5">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3891EAB">
      <w:pPr>
        <w:pStyle w:val="36"/>
        <w:rPr>
          <w:rFonts w:eastAsia="宋体"/>
          <w:lang w:eastAsia="zh-CN"/>
        </w:rPr>
      </w:pPr>
      <w:bookmarkStart w:id="19" w:name="_Toc92183898"/>
      <w:r>
        <w:rPr>
          <w:rFonts w:eastAsia="宋体" w:cs="宋体"/>
          <w:lang w:eastAsia="zh-CN"/>
        </w:rPr>
        <w:t>附录-</w:t>
      </w:r>
      <w:r>
        <w:fldChar w:fldCharType="begin"/>
      </w:r>
      <w:r>
        <w:instrText xml:space="preserve"> HYPERLINK "http://www.imdrf.org/docs/ghtf/final/sg5/technical-docs/ghtf-sg5-n7-2012-scientific-validity-determination-evaluation-121102.pdf" </w:instrText>
      </w:r>
      <w:r>
        <w:fldChar w:fldCharType="separate"/>
      </w:r>
      <w:r>
        <w:rPr>
          <w:rFonts w:eastAsia="宋体"/>
          <w:lang w:eastAsia="zh-CN"/>
        </w:rPr>
        <w:t xml:space="preserve"> </w:t>
      </w:r>
      <w:r>
        <w:rPr>
          <w:rFonts w:eastAsia="宋体" w:cs="宋体"/>
          <w:lang w:eastAsia="zh-CN"/>
        </w:rPr>
        <w:t>GHTF/SG5N7:2012</w:t>
      </w:r>
      <w:r>
        <w:rPr>
          <w:rFonts w:eastAsia="宋体" w:cs="宋体"/>
          <w:lang w:eastAsia="zh-CN"/>
        </w:rPr>
        <w:fldChar w:fldCharType="end"/>
      </w:r>
      <w:r>
        <w:rPr>
          <w:rFonts w:eastAsia="宋体" w:cs="宋体"/>
          <w:i/>
          <w:vertAlign w:val="superscript"/>
          <w:lang w:eastAsia="zh-CN"/>
        </w:rPr>
        <w:t>[13]</w:t>
      </w:r>
      <w:r>
        <w:rPr>
          <w:rFonts w:eastAsia="宋体" w:cs="宋体"/>
          <w:lang w:eastAsia="zh-CN"/>
        </w:rPr>
        <w:t>中SaMD临床评价过程与体外诊断医疗器械临床证据生成过程的比较</w:t>
      </w:r>
      <w:bookmarkEnd w:id="19"/>
    </w:p>
    <w:p w14:paraId="2E6A4297">
      <w:pPr>
        <w:jc w:val="center"/>
        <w:rPr>
          <w:rFonts w:ascii="Times New Roman" w:hAnsi="Times New Roman" w:eastAsia="宋体" w:cs="Times New Roman"/>
          <w:snapToGrid w:val="0"/>
          <w:lang w:eastAsia="zh-CN"/>
        </w:rPr>
      </w:pPr>
      <w:r>
        <w:rPr>
          <w:rFonts w:ascii="Times New Roman" w:hAnsi="Times New Roman" w:cs="Times New Roman"/>
          <w:lang w:eastAsia="zh-CN" w:bidi="ar-SA"/>
        </w:rPr>
        <mc:AlternateContent>
          <mc:Choice Requires="wpg">
            <w:drawing>
              <wp:anchor distT="0" distB="0" distL="114300" distR="114300" simplePos="0" relativeHeight="251667456" behindDoc="0" locked="0" layoutInCell="1" allowOverlap="1">
                <wp:simplePos x="0" y="0"/>
                <wp:positionH relativeFrom="column">
                  <wp:posOffset>-5080</wp:posOffset>
                </wp:positionH>
                <wp:positionV relativeFrom="paragraph">
                  <wp:posOffset>31750</wp:posOffset>
                </wp:positionV>
                <wp:extent cx="5665470" cy="6209030"/>
                <wp:effectExtent l="0" t="0" r="0" b="1270"/>
                <wp:wrapNone/>
                <wp:docPr id="243" name="组合 243"/>
                <wp:cNvGraphicFramePr/>
                <a:graphic xmlns:a="http://schemas.openxmlformats.org/drawingml/2006/main">
                  <a:graphicData uri="http://schemas.microsoft.com/office/word/2010/wordprocessingGroup">
                    <wpg:wgp>
                      <wpg:cNvGrpSpPr/>
                      <wpg:grpSpPr>
                        <a:xfrm>
                          <a:off x="0" y="0"/>
                          <a:ext cx="5665470" cy="6209045"/>
                          <a:chOff x="0" y="0"/>
                          <a:chExt cx="5665694" cy="6209989"/>
                        </a:xfrm>
                      </wpg:grpSpPr>
                      <wps:wsp>
                        <wps:cNvPr id="223" name="文本框 223"/>
                        <wps:cNvSpPr txBox="1"/>
                        <wps:spPr>
                          <a:xfrm>
                            <a:off x="44823" y="0"/>
                            <a:ext cx="860612" cy="25997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6DE33">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科学有效性确定</w:t>
                              </w:r>
                            </w:p>
                          </w:txbxContent>
                        </wps:txbx>
                        <wps:bodyPr rot="0" spcFirstLastPara="0" vertOverflow="overflow" horzOverflow="overflow" vert="horz" wrap="square" lIns="0" tIns="0" rIns="0" bIns="0" numCol="1" spcCol="0" rtlCol="0" fromWordArt="0" anchor="ctr" anchorCtr="0" forceAA="0" compatLnSpc="1">
                          <a:noAutofit/>
                        </wps:bodyPr>
                      </wps:wsp>
                      <wps:wsp>
                        <wps:cNvPr id="225" name="文本框 225"/>
                        <wps:cNvSpPr txBox="1"/>
                        <wps:spPr>
                          <a:xfrm>
                            <a:off x="2041251" y="360273"/>
                            <a:ext cx="441410" cy="46399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ADF55">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第2阶段 </w:t>
                              </w:r>
                            </w:p>
                            <w:p w14:paraId="2EBE0EBF">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科学有效性信息的确定</w:t>
                              </w:r>
                            </w:p>
                          </w:txbxContent>
                        </wps:txbx>
                        <wps:bodyPr rot="0" spcFirstLastPara="0" vertOverflow="overflow" horzOverflow="overflow" vert="horz" wrap="square" lIns="0" tIns="0" rIns="0" bIns="0" numCol="1" spcCol="0" rtlCol="0" fromWordArt="0" anchor="ctr" anchorCtr="0" forceAA="0" compatLnSpc="1">
                          <a:noAutofit/>
                        </wps:bodyPr>
                      </wps:wsp>
                      <wps:wsp>
                        <wps:cNvPr id="226" name="文本框 226"/>
                        <wps:cNvSpPr txBox="1"/>
                        <wps:spPr>
                          <a:xfrm>
                            <a:off x="1091864" y="1972797"/>
                            <a:ext cx="675590" cy="47967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D9E38">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第4阶段 </w:t>
                              </w:r>
                            </w:p>
                            <w:p w14:paraId="1444516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分析性能数据的生成、评价及分析</w:t>
                              </w:r>
                            </w:p>
                          </w:txbxContent>
                        </wps:txbx>
                        <wps:bodyPr rot="0" spcFirstLastPara="0" vertOverflow="overflow" horzOverflow="overflow" vert="horz" wrap="square" lIns="0" tIns="0" rIns="0" bIns="0" numCol="1" spcCol="0" rtlCol="0" fromWordArt="0" anchor="ctr" anchorCtr="0" forceAA="0" compatLnSpc="1">
                          <a:noAutofit/>
                        </wps:bodyPr>
                      </wps:wsp>
                      <wps:wsp>
                        <wps:cNvPr id="227" name="文本框 227"/>
                        <wps:cNvSpPr txBox="1"/>
                        <wps:spPr>
                          <a:xfrm>
                            <a:off x="2725345" y="331694"/>
                            <a:ext cx="671756" cy="49399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3D2E7">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第3阶段 </w:t>
                              </w:r>
                            </w:p>
                            <w:p w14:paraId="06804C58">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科学有效性信息的评价和分析</w:t>
                              </w:r>
                            </w:p>
                          </w:txbxContent>
                        </wps:txbx>
                        <wps:bodyPr rot="0" spcFirstLastPara="0" vertOverflow="overflow" horzOverflow="overflow" vert="horz" wrap="square" lIns="0" tIns="0" rIns="0" bIns="0" numCol="1" spcCol="0" rtlCol="0" fromWordArt="0" anchor="ctr" anchorCtr="0" forceAA="0" compatLnSpc="1">
                          <a:noAutofit/>
                        </wps:bodyPr>
                      </wps:wsp>
                      <wps:wsp>
                        <wps:cNvPr id="228" name="文本框 228"/>
                        <wps:cNvSpPr txBox="1"/>
                        <wps:spPr>
                          <a:xfrm>
                            <a:off x="2791078" y="2913529"/>
                            <a:ext cx="675590" cy="49841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3BF4D">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第6阶段 </w:t>
                              </w:r>
                            </w:p>
                            <w:p w14:paraId="53A737B9">
                              <w:pPr>
                                <w:jc w:val="center"/>
                                <w:rPr>
                                  <w:rFonts w:ascii="Times New Roman" w:hAnsi="Times New Roman" w:eastAsia="宋体" w:cs="宋体"/>
                                  <w:b/>
                                  <w:sz w:val="10"/>
                                  <w:lang w:eastAsia="zh-CN"/>
                                </w:rPr>
                              </w:pPr>
                              <w:r>
                                <w:rPr>
                                  <w:rFonts w:hint="eastAsia" w:ascii="Times New Roman" w:hAnsi="Times New Roman" w:eastAsia="宋体" w:cs="宋体"/>
                                  <w:sz w:val="10"/>
                                  <w:lang w:eastAsia="zh-CN"/>
                                </w:rPr>
                                <w:t>临床性能数据的评价和分析</w:t>
                              </w:r>
                            </w:p>
                          </w:txbxContent>
                        </wps:txbx>
                        <wps:bodyPr rot="0" spcFirstLastPara="0" vertOverflow="overflow" horzOverflow="overflow" vert="horz" wrap="square" lIns="0" tIns="0" rIns="0" bIns="0" numCol="1" spcCol="0" rtlCol="0" fromWordArt="0" anchor="ctr" anchorCtr="0" forceAA="0" compatLnSpc="1">
                          <a:noAutofit/>
                        </wps:bodyPr>
                      </wps:wsp>
                      <wps:wsp>
                        <wps:cNvPr id="229" name="文本框 229"/>
                        <wps:cNvSpPr txBox="1"/>
                        <wps:spPr>
                          <a:xfrm>
                            <a:off x="2081366" y="2904564"/>
                            <a:ext cx="566404" cy="50737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9E6A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第5阶段 </w:t>
                              </w:r>
                            </w:p>
                            <w:p w14:paraId="27FC5CA0">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临床性能数据的确定和/或生成</w:t>
                              </w:r>
                            </w:p>
                          </w:txbxContent>
                        </wps:txbx>
                        <wps:bodyPr rot="0" spcFirstLastPara="0" vertOverflow="overflow" horzOverflow="overflow" vert="horz" wrap="square" lIns="0" tIns="0" rIns="0" bIns="0" numCol="1" spcCol="0" rtlCol="0" fromWordArt="0" anchor="ctr" anchorCtr="0" forceAA="0" compatLnSpc="1">
                          <a:noAutofit/>
                        </wps:bodyPr>
                      </wps:wsp>
                      <wps:wsp>
                        <wps:cNvPr id="230" name="文本框 230"/>
                        <wps:cNvSpPr txBox="1"/>
                        <wps:spPr>
                          <a:xfrm>
                            <a:off x="0" y="1945341"/>
                            <a:ext cx="860425" cy="25971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8C2B1">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性能评价</w:t>
                              </w:r>
                            </w:p>
                          </w:txbxContent>
                        </wps:txbx>
                        <wps:bodyPr rot="0" spcFirstLastPara="0" vertOverflow="overflow" horzOverflow="overflow" vert="horz" wrap="square" lIns="0" tIns="0" rIns="0" bIns="0" numCol="1" spcCol="0" rtlCol="0" fromWordArt="0" anchor="ctr" anchorCtr="0" forceAA="0" compatLnSpc="1">
                          <a:noAutofit/>
                        </wps:bodyPr>
                      </wps:wsp>
                      <wps:wsp>
                        <wps:cNvPr id="231" name="文本框 231"/>
                        <wps:cNvSpPr txBox="1"/>
                        <wps:spPr>
                          <a:xfrm>
                            <a:off x="35858" y="5047129"/>
                            <a:ext cx="600635" cy="439271"/>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4011E">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临床证据汇编</w:t>
                              </w:r>
                            </w:p>
                          </w:txbxContent>
                        </wps:txbx>
                        <wps:bodyPr rot="0" spcFirstLastPara="0" vertOverflow="overflow" horzOverflow="overflow" vert="horz" wrap="square" lIns="0" tIns="0" rIns="0" bIns="0" numCol="1" spcCol="0" rtlCol="0" fromWordArt="0" anchor="ctr" anchorCtr="0" forceAA="0" compatLnSpc="1">
                          <a:noAutofit/>
                        </wps:bodyPr>
                      </wps:wsp>
                      <wps:wsp>
                        <wps:cNvPr id="232" name="文本框 232"/>
                        <wps:cNvSpPr txBox="1"/>
                        <wps:spPr>
                          <a:xfrm>
                            <a:off x="4634753" y="206188"/>
                            <a:ext cx="914400" cy="753035"/>
                          </a:xfrm>
                          <a:prstGeom prst="rect">
                            <a:avLst/>
                          </a:prstGeom>
                          <a:solidFill>
                            <a:srgbClr val="1F487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51A45">
                              <w:pPr>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类似于SaMD有效临床关联</w:t>
                              </w:r>
                            </w:p>
                          </w:txbxContent>
                        </wps:txbx>
                        <wps:bodyPr rot="0" spcFirstLastPara="0" vertOverflow="overflow" horzOverflow="overflow" vert="horz" wrap="square" lIns="0" tIns="0" rIns="0" bIns="0" numCol="1" spcCol="0" rtlCol="0" fromWordArt="0" anchor="ctr" anchorCtr="0" forceAA="0" compatLnSpc="1">
                          <a:noAutofit/>
                        </wps:bodyPr>
                      </wps:wsp>
                      <wps:wsp>
                        <wps:cNvPr id="233" name="文本框 233"/>
                        <wps:cNvSpPr txBox="1"/>
                        <wps:spPr>
                          <a:xfrm>
                            <a:off x="4527176" y="1954305"/>
                            <a:ext cx="1138518" cy="600635"/>
                          </a:xfrm>
                          <a:prstGeom prst="rect">
                            <a:avLst/>
                          </a:prstGeom>
                          <a:solidFill>
                            <a:srgbClr val="33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EC3D0">
                              <w:pPr>
                                <w:ind w:left="120" w:leftChars="50" w:right="120" w:rightChars="50"/>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类似于SaMD分析确认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234" name="文本框 234"/>
                        <wps:cNvSpPr txBox="1"/>
                        <wps:spPr>
                          <a:xfrm>
                            <a:off x="4527176" y="3836894"/>
                            <a:ext cx="1137920" cy="600075"/>
                          </a:xfrm>
                          <a:prstGeom prst="rect">
                            <a:avLst/>
                          </a:prstGeom>
                          <a:solidFill>
                            <a:srgbClr val="9A65F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508D3">
                              <w:pPr>
                                <w:ind w:left="120" w:leftChars="50" w:right="120" w:rightChars="50"/>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类似于SaMD临床确认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235" name="文本框 235"/>
                        <wps:cNvSpPr txBox="1"/>
                        <wps:spPr>
                          <a:xfrm>
                            <a:off x="1461247" y="1021976"/>
                            <a:ext cx="215153"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584E">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wps:txbx>
                        <wps:bodyPr rot="0" spcFirstLastPara="0" vertOverflow="overflow" horzOverflow="overflow" vert="horz" wrap="square" lIns="0" tIns="0" rIns="0" bIns="0" numCol="1" spcCol="0" rtlCol="0" fromWordArt="0" anchor="ctr" anchorCtr="0" forceAA="0" compatLnSpc="1">
                          <a:noAutofit/>
                        </wps:bodyPr>
                      </wps:wsp>
                      <wps:wsp>
                        <wps:cNvPr id="236" name="文本框 236"/>
                        <wps:cNvSpPr txBox="1"/>
                        <wps:spPr>
                          <a:xfrm>
                            <a:off x="2492188" y="1290917"/>
                            <a:ext cx="214630"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64FC6">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wps:txbx>
                        <wps:bodyPr rot="0" spcFirstLastPara="0" vertOverflow="overflow" horzOverflow="overflow" vert="horz" wrap="square" lIns="0" tIns="0" rIns="0" bIns="0" numCol="1" spcCol="0" rtlCol="0" fromWordArt="0" anchor="ctr" anchorCtr="0" forceAA="0" compatLnSpc="1">
                          <a:noAutofit/>
                        </wps:bodyPr>
                      </wps:wsp>
                      <wps:wsp>
                        <wps:cNvPr id="237" name="文本框 237"/>
                        <wps:cNvSpPr txBox="1"/>
                        <wps:spPr>
                          <a:xfrm>
                            <a:off x="726141" y="3021105"/>
                            <a:ext cx="214630" cy="984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7439E">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wps:txbx>
                        <wps:bodyPr rot="0" spcFirstLastPara="0" vertOverflow="overflow" horzOverflow="overflow" vert="horz" wrap="square" lIns="0" tIns="0" rIns="0" bIns="0" numCol="1" spcCol="0" rtlCol="0" fromWordArt="0" anchor="ctr" anchorCtr="0" forceAA="0" compatLnSpc="1">
                          <a:noAutofit/>
                        </wps:bodyPr>
                      </wps:wsp>
                      <wps:wsp>
                        <wps:cNvPr id="238" name="文本框 238"/>
                        <wps:cNvSpPr txBox="1"/>
                        <wps:spPr>
                          <a:xfrm>
                            <a:off x="3182470" y="4634753"/>
                            <a:ext cx="214630" cy="984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F95D4">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wps:txbx>
                        <wps:bodyPr rot="0" spcFirstLastPara="0" vertOverflow="overflow" horzOverflow="overflow" vert="horz" wrap="square" lIns="0" tIns="0" rIns="0" bIns="0" numCol="1" spcCol="0" rtlCol="0" fromWordArt="0" anchor="ctr" anchorCtr="0" forceAA="0" compatLnSpc="1">
                          <a:noAutofit/>
                        </wps:bodyPr>
                      </wps:wsp>
                      <wps:wsp>
                        <wps:cNvPr id="239" name="文本框 239"/>
                        <wps:cNvSpPr txBox="1"/>
                        <wps:spPr>
                          <a:xfrm>
                            <a:off x="1938249" y="3012141"/>
                            <a:ext cx="106268" cy="10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27A8A">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wps:txbx>
                        <wps:bodyPr rot="0" spcFirstLastPara="0" vertOverflow="overflow" horzOverflow="overflow" vert="horz" wrap="square" lIns="0" tIns="0" rIns="0" bIns="0" numCol="1" spcCol="0" rtlCol="0" fromWordArt="0" anchor="ctr" anchorCtr="0" forceAA="0" compatLnSpc="1">
                          <a:noAutofit/>
                        </wps:bodyPr>
                      </wps:wsp>
                      <wps:wsp>
                        <wps:cNvPr id="240" name="文本框 240"/>
                        <wps:cNvSpPr txBox="1"/>
                        <wps:spPr>
                          <a:xfrm>
                            <a:off x="2581835" y="4016188"/>
                            <a:ext cx="143510" cy="1079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F1B66">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wps:txbx>
                        <wps:bodyPr rot="0" spcFirstLastPara="0" vertOverflow="overflow" horzOverflow="overflow" vert="horz" wrap="square" lIns="0" tIns="0" rIns="0" bIns="0" numCol="1" spcCol="0" rtlCol="0" fromWordArt="0" anchor="ctr" anchorCtr="0" forceAA="0" compatLnSpc="1">
                          <a:noAutofit/>
                        </wps:bodyPr>
                      </wps:wsp>
                      <wps:wsp>
                        <wps:cNvPr id="241" name="文本框 241"/>
                        <wps:cNvSpPr txBox="1"/>
                        <wps:spPr>
                          <a:xfrm>
                            <a:off x="3397623" y="1290917"/>
                            <a:ext cx="214630" cy="984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9FAEC7">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wps:txbx>
                        <wps:bodyPr rot="0" spcFirstLastPara="0" vertOverflow="overflow" horzOverflow="overflow" vert="horz" wrap="square" lIns="0" tIns="0" rIns="0" bIns="0" numCol="1" spcCol="0" rtlCol="0" fromWordArt="0" anchor="ctr" anchorCtr="0" forceAA="0" compatLnSpc="1">
                          <a:noAutofit/>
                        </wps:bodyPr>
                      </wps:wsp>
                      <wps:wsp>
                        <wps:cNvPr id="242" name="文本框 242"/>
                        <wps:cNvSpPr txBox="1"/>
                        <wps:spPr>
                          <a:xfrm>
                            <a:off x="1891553" y="430305"/>
                            <a:ext cx="108000" cy="107576"/>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EFC9D">
                              <w:pPr>
                                <w:jc w:val="center"/>
                                <w:rPr>
                                  <w:rFonts w:ascii="Times New Roman" w:hAnsi="Times New Roman" w:eastAsia="宋体" w:cs="Times New Roman"/>
                                  <w:b/>
                                  <w:i/>
                                  <w:color w:val="auto"/>
                                  <w:sz w:val="10"/>
                                  <w:szCs w:val="10"/>
                                  <w:lang w:eastAsia="zh-CN"/>
                                </w:rPr>
                              </w:pPr>
                              <w:r>
                                <w:rPr>
                                  <w:rFonts w:ascii="Times New Roman" w:hAnsi="Times New Roman" w:eastAsia="宋体" w:cs="宋体"/>
                                  <w:b/>
                                  <w:sz w:val="10"/>
                                </w:rPr>
                                <w:t>否</w:t>
                              </w:r>
                            </w:p>
                          </w:txbxContent>
                        </wps:txbx>
                        <wps:bodyPr rot="0" spcFirstLastPara="0" vertOverflow="overflow" horzOverflow="overflow" vert="horz" wrap="square" lIns="0" tIns="0" rIns="0" bIns="0" numCol="1" spcCol="0" rtlCol="0" fromWordArt="0" anchor="ctr" anchorCtr="0" forceAA="0" compatLnSpc="1">
                          <a:noAutofit/>
                        </wps:bodyPr>
                      </wps:wsp>
                      <wps:wsp>
                        <wps:cNvPr id="191" name="文本框 191"/>
                        <wps:cNvSpPr txBox="1"/>
                        <wps:spPr>
                          <a:xfrm>
                            <a:off x="379432" y="430119"/>
                            <a:ext cx="296134" cy="37509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2170E">
                              <w:pPr>
                                <w:jc w:val="center"/>
                                <w:rPr>
                                  <w:rFonts w:ascii="Times New Roman" w:hAnsi="Times New Roman" w:eastAsia="宋体" w:cs="宋体"/>
                                  <w:sz w:val="10"/>
                                </w:rPr>
                              </w:pPr>
                              <w:r>
                                <w:rPr>
                                  <w:rFonts w:hint="eastAsia" w:ascii="Times New Roman" w:hAnsi="Times New Roman" w:eastAsia="宋体" w:cs="宋体"/>
                                  <w:sz w:val="10"/>
                                </w:rPr>
                                <w:t>IVD</w:t>
                              </w:r>
                            </w:p>
                            <w:p w14:paraId="1DC326E4">
                              <w:pPr>
                                <w:jc w:val="center"/>
                                <w:rPr>
                                  <w:rFonts w:ascii="Times New Roman" w:hAnsi="Times New Roman" w:eastAsia="宋体" w:cs="宋体"/>
                                  <w:sz w:val="10"/>
                                </w:rPr>
                              </w:pPr>
                              <w:r>
                                <w:rPr>
                                  <w:rFonts w:hint="eastAsia" w:ascii="Times New Roman" w:hAnsi="Times New Roman" w:eastAsia="宋体" w:cs="宋体"/>
                                  <w:sz w:val="10"/>
                                </w:rPr>
                                <w:t>医疗器械</w:t>
                              </w:r>
                            </w:p>
                          </w:txbxContent>
                        </wps:txbx>
                        <wps:bodyPr rot="0" spcFirstLastPara="0" vertOverflow="overflow" horzOverflow="overflow" vert="horz" wrap="square" lIns="0" tIns="0" rIns="0" bIns="0" numCol="1" spcCol="0" rtlCol="0" fromWordArt="0" anchor="ctr" anchorCtr="0" forceAA="0" compatLnSpc="1">
                          <a:noAutofit/>
                        </wps:bodyPr>
                      </wps:wsp>
                      <wps:wsp>
                        <wps:cNvPr id="192" name="文本框 192"/>
                        <wps:cNvSpPr txBox="1"/>
                        <wps:spPr>
                          <a:xfrm>
                            <a:off x="3687551" y="1198327"/>
                            <a:ext cx="536599" cy="49399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F3DDB">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收集更多信息以支持科学有效性</w:t>
                              </w:r>
                            </w:p>
                          </w:txbxContent>
                        </wps:txbx>
                        <wps:bodyPr rot="0" spcFirstLastPara="0" vertOverflow="overflow" horzOverflow="overflow" vert="horz" wrap="square" lIns="0" tIns="0" rIns="0" bIns="0" numCol="1" spcCol="0" rtlCol="0" fromWordArt="0" anchor="ctr" anchorCtr="0" forceAA="0" compatLnSpc="1">
                          <a:noAutofit/>
                        </wps:bodyPr>
                      </wps:wsp>
                      <wps:wsp>
                        <wps:cNvPr id="218" name="文本框 218"/>
                        <wps:cNvSpPr txBox="1"/>
                        <wps:spPr>
                          <a:xfrm>
                            <a:off x="3612254" y="2883824"/>
                            <a:ext cx="675590" cy="58270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BEAD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临床性能数据可能会被重新分析，作为科学有效性的附加输入信息</w:t>
                              </w:r>
                            </w:p>
                          </w:txbxContent>
                        </wps:txbx>
                        <wps:bodyPr rot="0" spcFirstLastPara="0" vertOverflow="overflow" horzOverflow="overflow" vert="horz" wrap="square" lIns="0" tIns="0" rIns="0" bIns="0" numCol="1" spcCol="0" rtlCol="0" fromWordArt="0" anchor="ctr" anchorCtr="0" forceAA="0" compatLnSpc="1">
                          <a:noAutofit/>
                        </wps:bodyPr>
                      </wps:wsp>
                      <wps:wsp>
                        <wps:cNvPr id="221" name="文本框 221"/>
                        <wps:cNvSpPr txBox="1"/>
                        <wps:spPr>
                          <a:xfrm>
                            <a:off x="2183729" y="3873555"/>
                            <a:ext cx="358267" cy="56341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DBEB2">
                              <w:pPr>
                                <w:jc w:val="center"/>
                                <w:rPr>
                                  <w:rFonts w:ascii="Times New Roman" w:hAnsi="Times New Roman" w:eastAsia="宋体" w:cs="宋体"/>
                                  <w:sz w:val="10"/>
                                </w:rPr>
                              </w:pPr>
                              <w:r>
                                <w:rPr>
                                  <w:rFonts w:hint="eastAsia" w:ascii="Times New Roman" w:hAnsi="Times New Roman" w:eastAsia="宋体" w:cs="宋体"/>
                                  <w:sz w:val="10"/>
                                </w:rPr>
                                <w:t>收集更多临床性能数据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244" name="文本框 244"/>
                        <wps:cNvSpPr txBox="1"/>
                        <wps:spPr>
                          <a:xfrm>
                            <a:off x="2756957" y="5097171"/>
                            <a:ext cx="716326" cy="5672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EEAF5">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准备临床证据报告（临床有效性、分析性能、临床性能）</w:t>
                              </w:r>
                            </w:p>
                          </w:txbxContent>
                        </wps:txbx>
                        <wps:bodyPr rot="0" spcFirstLastPara="0" vertOverflow="overflow" horzOverflow="overflow" vert="horz" wrap="square" lIns="0" tIns="0" rIns="0" bIns="0" numCol="1" spcCol="0" rtlCol="0" fromWordArt="0" anchor="ctr" anchorCtr="0" forceAA="0" compatLnSpc="1">
                          <a:noAutofit/>
                        </wps:bodyPr>
                      </wps:wsp>
                      <wps:wsp>
                        <wps:cNvPr id="245" name="文本框 245"/>
                        <wps:cNvSpPr txBox="1"/>
                        <wps:spPr>
                          <a:xfrm>
                            <a:off x="2709187" y="5910081"/>
                            <a:ext cx="818898" cy="2999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7CB9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将临床证据添加至技术文档</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id="_x0000_s1026" o:spid="_x0000_s1026" o:spt="203" style="position:absolute;left:0pt;margin-left:-0.4pt;margin-top:2.5pt;height:488.9pt;width:446.1pt;z-index:251667456;mso-width-relative:page;mso-height-relative:page;" coordsize="5665694,6209989" o:gfxdata="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BWC&#10;1dDYAAAABwEAAA8AAAAAAAAAAQAgAAAAIgAAAGRycy9kb3ducmV2LnhtbFBLAQIUABQAAAAIAIdO&#10;4kCl6PJxCQcAAIVIAAAOAAAAAAAAAAEAIAAAACcBAABkcnMvZTJvRG9jLnhtbFBLBQYAAAAABgAG&#10;AFkBAACiCgAAAAA=&#10;">
                <o:lock v:ext="edit" aspectratio="f"/>
                <v:shape id="_x0000_s1026" o:spid="_x0000_s1026" o:spt="202" type="#_x0000_t202" style="position:absolute;left:44823;top:0;height:259976;width:860612;v-text-anchor:middle;" fillcolor="#BFBFBF [2412]" filled="t" stroked="f" coordsize="21600,21600" o:gfxdata="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5cDO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3996DE33">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科学有效性确定</w:t>
                        </w:r>
                      </w:p>
                    </w:txbxContent>
                  </v:textbox>
                </v:shape>
                <v:shape id="_x0000_s1026" o:spid="_x0000_s1026" o:spt="202" type="#_x0000_t202" style="position:absolute;left:2041251;top:360273;height:463997;width:441410;v-text-anchor:middle;" fillcolor="#FFFFFF [3212]" filled="t" stroked="f" coordsize="21600,21600" o:gfxdata="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7e/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434ADF55">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第2阶段 </w:t>
                        </w:r>
                      </w:p>
                      <w:p w14:paraId="2EBE0EBF">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科学有效性信息的确定</w:t>
                        </w:r>
                      </w:p>
                    </w:txbxContent>
                  </v:textbox>
                </v:shape>
                <v:shape id="_x0000_s1026" o:spid="_x0000_s1026" o:spt="202" type="#_x0000_t202" style="position:absolute;left:1091864;top:1972797;height:479679;width:675590;v-text-anchor:middle;" fillcolor="#FFFFFF [3212]" filled="t" stroked="f" coordsize="21600,21600" o:gfxdata="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PECJ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52DD9E38">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第4阶段 </w:t>
                        </w:r>
                      </w:p>
                      <w:p w14:paraId="1444516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分析性能数据的生成、评价及分析</w:t>
                        </w:r>
                      </w:p>
                    </w:txbxContent>
                  </v:textbox>
                </v:shape>
                <v:shape id="_x0000_s1026" o:spid="_x0000_s1026" o:spt="202" type="#_x0000_t202" style="position:absolute;left:2725345;top:331694;height:493996;width:671756;v-text-anchor:middle;" fillcolor="#FFFFFF [3212]" filled="t" stroked="f" coordsize="21600,21600" o:gfxdata="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XDlE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7563D2E7">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第3阶段 </w:t>
                        </w:r>
                      </w:p>
                      <w:p w14:paraId="06804C58">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科学有效性信息的评价和分析</w:t>
                        </w:r>
                      </w:p>
                    </w:txbxContent>
                  </v:textbox>
                </v:shape>
                <v:shape id="_x0000_s1026" o:spid="_x0000_s1026" o:spt="202" type="#_x0000_t202" style="position:absolute;left:2791078;top:2913529;height:498411;width:675590;v-text-anchor:middle;" fillcolor="#FFFFFF [3212]" filled="t" stroked="f" coordsize="21600,21600" o:gfxdata="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O9xYL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E43BF4D">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第6阶段 </w:t>
                        </w:r>
                      </w:p>
                      <w:p w14:paraId="53A737B9">
                        <w:pPr>
                          <w:jc w:val="center"/>
                          <w:rPr>
                            <w:rFonts w:ascii="Times New Roman" w:hAnsi="Times New Roman" w:eastAsia="宋体" w:cs="宋体"/>
                            <w:b/>
                            <w:sz w:val="10"/>
                            <w:lang w:eastAsia="zh-CN"/>
                          </w:rPr>
                        </w:pPr>
                        <w:r>
                          <w:rPr>
                            <w:rFonts w:hint="eastAsia" w:ascii="Times New Roman" w:hAnsi="Times New Roman" w:eastAsia="宋体" w:cs="宋体"/>
                            <w:sz w:val="10"/>
                            <w:lang w:eastAsia="zh-CN"/>
                          </w:rPr>
                          <w:t>临床性能数据的评价和分析</w:t>
                        </w:r>
                      </w:p>
                    </w:txbxContent>
                  </v:textbox>
                </v:shape>
                <v:shape id="_x0000_s1026" o:spid="_x0000_s1026" o:spt="202" type="#_x0000_t202" style="position:absolute;left:2081366;top:2904564;height:507376;width:566404;v-text-anchor:middle;" fillcolor="#FFFFFF [3212]" filled="t" stroked="f" coordsize="21600,21600" o:gfxdata="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PU+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0809E6A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 xml:space="preserve">第5阶段 </w:t>
                        </w:r>
                      </w:p>
                      <w:p w14:paraId="27FC5CA0">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临床性能数据的确定和/或生成</w:t>
                        </w:r>
                      </w:p>
                    </w:txbxContent>
                  </v:textbox>
                </v:shape>
                <v:shape id="_x0000_s1026" o:spid="_x0000_s1026" o:spt="202" type="#_x0000_t202" style="position:absolute;left:0;top:1945341;height:259715;width:860425;v-text-anchor:middle;" fillcolor="#FFFFFF [3212]" filled="t" stroked="f" coordsize="21600,21600" o:gfxdata="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QOu7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4448C2B1">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性能评价</w:t>
                        </w:r>
                      </w:p>
                    </w:txbxContent>
                  </v:textbox>
                </v:shape>
                <v:shape id="_x0000_s1026" o:spid="_x0000_s1026" o:spt="202" type="#_x0000_t202" style="position:absolute;left:35858;top:5047129;height:439271;width:600635;v-text-anchor:middle;" fillcolor="#BFBFBF [2412]" filled="t" stroked="f" coordsize="21600,21600" o:gfxdata="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7dA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63A4011E">
                        <w:pPr>
                          <w:rPr>
                            <w:rFonts w:ascii="Times New Roman" w:hAnsi="Times New Roman" w:eastAsia="宋体" w:cs="Times New Roman"/>
                            <w:b/>
                            <w:i/>
                            <w:color w:val="auto"/>
                            <w:sz w:val="11"/>
                            <w:szCs w:val="11"/>
                            <w:lang w:eastAsia="zh-CN"/>
                          </w:rPr>
                        </w:pPr>
                        <w:r>
                          <w:rPr>
                            <w:rFonts w:ascii="Times New Roman" w:hAnsi="Times New Roman" w:eastAsia="宋体" w:cs="宋体"/>
                            <w:b/>
                            <w:sz w:val="10"/>
                          </w:rPr>
                          <w:t>临床证据汇编</w:t>
                        </w:r>
                      </w:p>
                    </w:txbxContent>
                  </v:textbox>
                </v:shape>
                <v:shape id="_x0000_s1026" o:spid="_x0000_s1026" o:spt="202" type="#_x0000_t202" style="position:absolute;left:4634753;top:206188;height:753035;width:914400;v-text-anchor:middle;" fillcolor="#1F487C" filled="t" stroked="f" coordsize="21600,21600" o:gfxdata="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27k2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16C51A45">
                        <w:pPr>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类似于SaMD有效临床关联</w:t>
                        </w:r>
                      </w:p>
                    </w:txbxContent>
                  </v:textbox>
                </v:shape>
                <v:shape id="_x0000_s1026" o:spid="_x0000_s1026" o:spt="202" type="#_x0000_t202" style="position:absolute;left:4527176;top:1954305;height:600635;width:1138518;v-text-anchor:middle;" fillcolor="#3366FF" filled="t" stroked="f" coordsize="21600,21600" o:gfxdata="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zRlu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2A2EC3D0">
                        <w:pPr>
                          <w:ind w:left="120" w:leftChars="50" w:right="120" w:rightChars="50"/>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类似于SaMD分析确认</w:t>
                        </w:r>
                      </w:p>
                    </w:txbxContent>
                  </v:textbox>
                </v:shape>
                <v:shape id="_x0000_s1026" o:spid="_x0000_s1026" o:spt="202" type="#_x0000_t202" style="position:absolute;left:4527176;top:3836894;height:600075;width:1137920;v-text-anchor:middle;" fillcolor="#9A65FD" filled="t" stroked="f" coordsize="21600,21600" o:gfxdata="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Z6ea/&#10;AAAA3AAAAA8AAAAAAAAAAQAgAAAAIgAAAGRycy9kb3ducmV2LnhtbFBLAQIUABQAAAAIAIdO4kAz&#10;LwWeOwAAADkAAAAQAAAAAAAAAAEAIAAAAA4BAABkcnMvc2hhcGV4bWwueG1sUEsFBgAAAAAGAAYA&#10;WwEAALgDAAAAAA==&#10;">
                  <v:fill on="t" focussize="0,0"/>
                  <v:stroke on="f" weight="0.5pt"/>
                  <v:imagedata o:title=""/>
                  <o:lock v:ext="edit" aspectratio="f"/>
                  <v:textbox inset="0mm,0mm,0mm,0mm">
                    <w:txbxContent>
                      <w:p w14:paraId="24E508D3">
                        <w:pPr>
                          <w:ind w:left="120" w:leftChars="50" w:right="120" w:rightChars="50"/>
                          <w:jc w:val="center"/>
                          <w:rPr>
                            <w:rFonts w:ascii="Times New Roman" w:hAnsi="Times New Roman" w:eastAsia="宋体" w:cs="Times New Roman"/>
                            <w:b/>
                            <w:i/>
                            <w:color w:val="FFFFFF" w:themeColor="background1"/>
                            <w:sz w:val="18"/>
                            <w:szCs w:val="18"/>
                            <w:lang w:eastAsia="zh-CN"/>
                            <w14:textFill>
                              <w14:solidFill>
                                <w14:schemeClr w14:val="bg1"/>
                              </w14:solidFill>
                            </w14:textFill>
                          </w:rPr>
                        </w:pPr>
                        <w:r>
                          <w:rPr>
                            <w:rFonts w:ascii="Times New Roman" w:hAnsi="Times New Roman" w:eastAsia="宋体" w:cs="宋体"/>
                            <w:b/>
                            <w:color w:val="FFFFFF"/>
                            <w:sz w:val="18"/>
                            <w:lang w:eastAsia="zh-CN"/>
                          </w:rPr>
                          <w:t>类似于SaMD临床确认</w:t>
                        </w:r>
                      </w:p>
                    </w:txbxContent>
                  </v:textbox>
                </v:shape>
                <v:shape id="_x0000_s1026" o:spid="_x0000_s1026" o:spt="202" type="#_x0000_t202" style="position:absolute;left:1461247;top:1021976;height:98425;width:215153;v-text-anchor:middle;" fillcolor="#BFBFBF [2412]" filled="t" stroked="f" coordsize="21600,21600" o:gfxdata="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F2wG8AAAA&#10;3A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w:txbxContent>
                      <w:p w14:paraId="179F584E">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v:textbox>
                </v:shape>
                <v:shape id="_x0000_s1026" o:spid="_x0000_s1026" o:spt="202" type="#_x0000_t202" style="position:absolute;left:2492188;top:1290917;height:98425;width:214630;v-text-anchor:middle;" fillcolor="#BFBFBF [2412]" filled="t" stroked="f" coordsize="21600,21600" o:gfxdata="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10V2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6D464FC6">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v:textbox>
                </v:shape>
                <v:shape id="_x0000_s1026" o:spid="_x0000_s1026" o:spt="202" type="#_x0000_t202" style="position:absolute;left:726141;top:3021105;height:98425;width:214630;v-text-anchor:middle;" fillcolor="#FFFFFF [3212]" filled="t" stroked="f" coordsize="21600,21600" o:gfxdata="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lzz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6FE7439E">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v:textbox>
                </v:shape>
                <v:shape id="_x0000_s1026" o:spid="_x0000_s1026" o:spt="202" type="#_x0000_t202" style="position:absolute;left:3182470;top:4634753;height:98425;width:214630;v-text-anchor:middle;" fillcolor="#FFFFFF [3212]" filled="t" stroked="f" coordsize="21600,21600" o:gfxdata="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Nue9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7CBF95D4">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是</w:t>
                        </w:r>
                      </w:p>
                    </w:txbxContent>
                  </v:textbox>
                </v:shape>
                <v:shape id="_x0000_s1026" o:spid="_x0000_s1026" o:spt="202" type="#_x0000_t202" style="position:absolute;left:1938249;top:3012141;height:108000;width:106268;v-text-anchor:middle;" fillcolor="#FFFFFF [3212]" filled="t" stroked="f" coordsize="21600,21600" o:gfxdata="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pCJr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2C127A8A">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v:textbox>
                </v:shape>
                <v:shape id="_x0000_s1026" o:spid="_x0000_s1026" o:spt="202" type="#_x0000_t202" style="position:absolute;left:2581835;top:4016188;height:107950;width:143510;v-text-anchor:middle;" fillcolor="#FFFFFF [3212]" filled="t" stroked="f" coordsize="21600,21600" o:gfxdata="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RpjG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349F1B66">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v:textbox>
                </v:shape>
                <v:shape id="_x0000_s1026" o:spid="_x0000_s1026" o:spt="202" type="#_x0000_t202" style="position:absolute;left:3397623;top:1290917;height:98425;width:214630;v-text-anchor:middle;" fillcolor="#BFBFBF [2412]" filled="t" stroked="f" coordsize="21600,21600" o:gfxdata="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OK5/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0B9FAEC7">
                        <w:pPr>
                          <w:jc w:val="center"/>
                          <w:rPr>
                            <w:rFonts w:ascii="Times New Roman" w:hAnsi="Times New Roman" w:eastAsia="宋体" w:cs="Times New Roman"/>
                            <w:b/>
                            <w:i/>
                            <w:color w:val="auto"/>
                            <w:sz w:val="11"/>
                            <w:szCs w:val="11"/>
                            <w:lang w:eastAsia="zh-CN"/>
                          </w:rPr>
                        </w:pPr>
                        <w:r>
                          <w:rPr>
                            <w:rFonts w:ascii="Times New Roman" w:hAnsi="Times New Roman" w:eastAsia="宋体" w:cs="宋体"/>
                            <w:b/>
                            <w:sz w:val="10"/>
                          </w:rPr>
                          <w:t>否</w:t>
                        </w:r>
                      </w:p>
                    </w:txbxContent>
                  </v:textbox>
                </v:shape>
                <v:shape id="_x0000_s1026" o:spid="_x0000_s1026" o:spt="202" type="#_x0000_t202" style="position:absolute;left:1891553;top:430305;height:107576;width:108000;v-text-anchor:middle;" fillcolor="#BFBFBF [2412]" filled="t" stroked="f" coordsize="21600,21600" o:gfxdata="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6jAIugAAANwA&#10;AAAPAAAAAAAAAAEAIAAAACIAAABkcnMvZG93bnJldi54bWxQSwECFAAUAAAACACHTuJAMy8FnjsA&#10;AAA5AAAAEAAAAAAAAAABACAAAAAJAQAAZHJzL3NoYXBleG1sLnhtbFBLBQYAAAAABgAGAFsBAACz&#10;AwAAAAA=&#10;">
                  <v:fill on="t" focussize="0,0"/>
                  <v:stroke on="f" weight="0.5pt"/>
                  <v:imagedata o:title=""/>
                  <o:lock v:ext="edit" aspectratio="f"/>
                  <v:textbox inset="0mm,0mm,0mm,0mm">
                    <w:txbxContent>
                      <w:p w14:paraId="1D3EFC9D">
                        <w:pPr>
                          <w:jc w:val="center"/>
                          <w:rPr>
                            <w:rFonts w:ascii="Times New Roman" w:hAnsi="Times New Roman" w:eastAsia="宋体" w:cs="Times New Roman"/>
                            <w:b/>
                            <w:i/>
                            <w:color w:val="auto"/>
                            <w:sz w:val="10"/>
                            <w:szCs w:val="10"/>
                            <w:lang w:eastAsia="zh-CN"/>
                          </w:rPr>
                        </w:pPr>
                        <w:r>
                          <w:rPr>
                            <w:rFonts w:ascii="Times New Roman" w:hAnsi="Times New Roman" w:eastAsia="宋体" w:cs="宋体"/>
                            <w:b/>
                            <w:sz w:val="10"/>
                          </w:rPr>
                          <w:t>否</w:t>
                        </w:r>
                      </w:p>
                    </w:txbxContent>
                  </v:textbox>
                </v:shape>
                <v:shape id="_x0000_s1026" o:spid="_x0000_s1026" o:spt="202" type="#_x0000_t202" style="position:absolute;left:379432;top:430119;height:375099;width:296134;v-text-anchor:middle;" fillcolor="#FFFFFF [3212]" filled="t" stroked="f" coordsize="21600,21600" o:gfxdata="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9wZr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1122170E">
                        <w:pPr>
                          <w:jc w:val="center"/>
                          <w:rPr>
                            <w:rFonts w:ascii="Times New Roman" w:hAnsi="Times New Roman" w:eastAsia="宋体" w:cs="宋体"/>
                            <w:sz w:val="10"/>
                          </w:rPr>
                        </w:pPr>
                        <w:r>
                          <w:rPr>
                            <w:rFonts w:hint="eastAsia" w:ascii="Times New Roman" w:hAnsi="Times New Roman" w:eastAsia="宋体" w:cs="宋体"/>
                            <w:sz w:val="10"/>
                          </w:rPr>
                          <w:t>IVD</w:t>
                        </w:r>
                      </w:p>
                      <w:p w14:paraId="1DC326E4">
                        <w:pPr>
                          <w:jc w:val="center"/>
                          <w:rPr>
                            <w:rFonts w:ascii="Times New Roman" w:hAnsi="Times New Roman" w:eastAsia="宋体" w:cs="宋体"/>
                            <w:sz w:val="10"/>
                          </w:rPr>
                        </w:pPr>
                        <w:r>
                          <w:rPr>
                            <w:rFonts w:hint="eastAsia" w:ascii="Times New Roman" w:hAnsi="Times New Roman" w:eastAsia="宋体" w:cs="宋体"/>
                            <w:sz w:val="10"/>
                          </w:rPr>
                          <w:t>医疗器械</w:t>
                        </w:r>
                      </w:p>
                    </w:txbxContent>
                  </v:textbox>
                </v:shape>
                <v:shape id="_x0000_s1026" o:spid="_x0000_s1026" o:spt="202" type="#_x0000_t202" style="position:absolute;left:3687551;top:1198327;height:493996;width:536599;v-text-anchor:middle;" fillcolor="#FFFFFF [3212]" filled="t" stroked="f" coordsize="21600,21600" o:gfxdata="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3uE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3F7F3DDB">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收集更多信息以支持科学有效性</w:t>
                        </w:r>
                      </w:p>
                    </w:txbxContent>
                  </v:textbox>
                </v:shape>
                <v:shape id="_x0000_s1026" o:spid="_x0000_s1026" o:spt="202" type="#_x0000_t202" style="position:absolute;left:3612254;top:2883824;height:582707;width:675590;v-text-anchor:middle;" fillcolor="#FFFFFF [3212]" filled="t" stroked="f" coordsize="21600,21600" o:gfxdata="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O73bsAAADc&#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46EBEAD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临床性能数据可能会被重新分析，作为科学有效性的附加输入信息</w:t>
                        </w:r>
                      </w:p>
                    </w:txbxContent>
                  </v:textbox>
                </v:shape>
                <v:shape id="_x0000_s1026" o:spid="_x0000_s1026" o:spt="202" type="#_x0000_t202" style="position:absolute;left:2183729;top:3873555;height:563414;width:358267;v-text-anchor:middle;" fillcolor="#FFFFFF [3212]" filled="t" stroked="f" coordsize="21600,21600" o:gfxdata="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1dj9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69EDBEB2">
                        <w:pPr>
                          <w:jc w:val="center"/>
                          <w:rPr>
                            <w:rFonts w:ascii="Times New Roman" w:hAnsi="Times New Roman" w:eastAsia="宋体" w:cs="宋体"/>
                            <w:sz w:val="10"/>
                          </w:rPr>
                        </w:pPr>
                        <w:r>
                          <w:rPr>
                            <w:rFonts w:hint="eastAsia" w:ascii="Times New Roman" w:hAnsi="Times New Roman" w:eastAsia="宋体" w:cs="宋体"/>
                            <w:sz w:val="10"/>
                          </w:rPr>
                          <w:t>收集更多临床性能数据</w:t>
                        </w:r>
                      </w:p>
                    </w:txbxContent>
                  </v:textbox>
                </v:shape>
                <v:shape id="_x0000_s1026" o:spid="_x0000_s1026" o:spt="202" type="#_x0000_t202" style="position:absolute;left:2756957;top:5097171;height:567255;width:716326;v-text-anchor:middle;" fillcolor="#FFFFFF [3212]" filled="t" stroked="f" coordsize="21600,21600" o:gfxdata="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2exb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6FAEEAF5">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准备临床证据报告（临床有效性、分析性能、临床性能）</w:t>
                        </w:r>
                      </w:p>
                    </w:txbxContent>
                  </v:textbox>
                </v:shape>
                <v:shape id="_x0000_s1026" o:spid="_x0000_s1026" o:spt="202" type="#_x0000_t202" style="position:absolute;left:2709187;top:5910081;height:299908;width:818898;v-text-anchor:middle;" fillcolor="#FFFFFF [3212]" filled="t" stroked="f" coordsize="21600,21600" o:gfxdata="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MTtevQAA&#10;ANw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w:txbxContent>
                      <w:p w14:paraId="61D7CB9C">
                        <w:pPr>
                          <w:jc w:val="center"/>
                          <w:rPr>
                            <w:rFonts w:ascii="Times New Roman" w:hAnsi="Times New Roman" w:eastAsia="宋体" w:cs="宋体"/>
                            <w:sz w:val="10"/>
                            <w:lang w:eastAsia="zh-CN"/>
                          </w:rPr>
                        </w:pPr>
                        <w:r>
                          <w:rPr>
                            <w:rFonts w:hint="eastAsia" w:ascii="Times New Roman" w:hAnsi="Times New Roman" w:eastAsia="宋体" w:cs="宋体"/>
                            <w:sz w:val="10"/>
                            <w:lang w:eastAsia="zh-CN"/>
                          </w:rPr>
                          <w:t>将临床证据添加至技术文档</w:t>
                        </w:r>
                      </w:p>
                    </w:txbxContent>
                  </v:textbox>
                </v:shape>
              </v:group>
            </w:pict>
          </mc:Fallback>
        </mc:AlternateContent>
      </w:r>
      <w:r>
        <w:rPr>
          <w:rFonts w:ascii="Times New Roman" w:hAnsi="Times New Roman" w:cs="Times New Roman"/>
          <w:lang w:eastAsia="zh-CN" w:bidi="ar-SA"/>
        </w:rPr>
        <mc:AlternateContent>
          <mc:Choice Requires="wps">
            <w:drawing>
              <wp:anchor distT="0" distB="0" distL="114300" distR="114300" simplePos="0" relativeHeight="251671552" behindDoc="0" locked="0" layoutInCell="1" allowOverlap="1">
                <wp:simplePos x="0" y="0"/>
                <wp:positionH relativeFrom="column">
                  <wp:posOffset>2729230</wp:posOffset>
                </wp:positionH>
                <wp:positionV relativeFrom="paragraph">
                  <wp:posOffset>3790315</wp:posOffset>
                </wp:positionV>
                <wp:extent cx="770890" cy="786130"/>
                <wp:effectExtent l="0" t="0" r="0" b="0"/>
                <wp:wrapNone/>
                <wp:docPr id="6" name="菱形 6"/>
                <wp:cNvGraphicFramePr/>
                <a:graphic xmlns:a="http://schemas.openxmlformats.org/drawingml/2006/main">
                  <a:graphicData uri="http://schemas.microsoft.com/office/word/2010/wordprocessingShape">
                    <wps:wsp>
                      <wps:cNvSpPr/>
                      <wps:spPr>
                        <a:xfrm>
                          <a:off x="0" y="0"/>
                          <a:ext cx="771098" cy="785949"/>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39B42">
                            <w:pPr>
                              <w:jc w:val="center"/>
                              <w:rPr>
                                <w:rFonts w:ascii="Times New Roman" w:hAnsi="Times New Roman" w:eastAsia="宋体" w:cs="宋体"/>
                                <w:sz w:val="8"/>
                                <w:lang w:eastAsia="zh-CN"/>
                              </w:rPr>
                            </w:pPr>
                            <w:r>
                              <w:rPr>
                                <w:rFonts w:hint="eastAsia" w:ascii="Times New Roman" w:hAnsi="Times New Roman" w:eastAsia="宋体" w:cs="宋体"/>
                                <w:sz w:val="8"/>
                                <w:lang w:eastAsia="zh-CN"/>
                              </w:rPr>
                              <w:t>临床性能数据是否足以证明符合相关《欧洲药典》标准？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4" type="#_x0000_t4" style="position:absolute;left:0pt;margin-left:214.9pt;margin-top:298.45pt;height:61.9pt;width:60.7pt;z-index:251671552;v-text-anchor:middle;mso-width-relative:page;mso-height-relative:page;" fillcolor="#FFFFFF [3212]" filled="t" stroked="f" coordsize="21600,21600" o:gfxdata="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jglDd3AAAAAsBAAAPAAAAAAAAAAEAIAAAACIAAABkcnMvZG93bnJldi54bWxQSwECFAAU&#10;AAAACACHTuJA65wgLl8CAACxBAAADgAAAAAAAAABACAAAAArAQAAZHJzL2Uyb0RvYy54bWxQSwUG&#10;AAAAAAYABgBZAQAA/AUAAAAA&#10;">
                <v:fill on="t" focussize="0,0"/>
                <v:stroke on="f" weight="2pt"/>
                <v:imagedata o:title=""/>
                <o:lock v:ext="edit" aspectratio="f"/>
                <v:textbox inset="0mm,0mm,0mm,0mm">
                  <w:txbxContent>
                    <w:p w14:paraId="05A39B42">
                      <w:pPr>
                        <w:jc w:val="center"/>
                        <w:rPr>
                          <w:rFonts w:ascii="Times New Roman" w:hAnsi="Times New Roman" w:eastAsia="宋体" w:cs="宋体"/>
                          <w:sz w:val="8"/>
                          <w:lang w:eastAsia="zh-CN"/>
                        </w:rPr>
                      </w:pPr>
                      <w:r>
                        <w:rPr>
                          <w:rFonts w:hint="eastAsia" w:ascii="Times New Roman" w:hAnsi="Times New Roman" w:eastAsia="宋体" w:cs="宋体"/>
                          <w:sz w:val="8"/>
                          <w:lang w:eastAsia="zh-CN"/>
                        </w:rPr>
                        <w:t>临床性能数据是否足以证明符合相关《欧洲药典》标准？</w:t>
                      </w:r>
                    </w:p>
                  </w:txbxContent>
                </v:textbox>
              </v:shape>
            </w:pict>
          </mc:Fallback>
        </mc:AlternateContent>
      </w:r>
      <w:r>
        <w:rPr>
          <w:rFonts w:ascii="Times New Roman" w:hAnsi="Times New Roman" w:cs="Times New Roman"/>
          <w:lang w:eastAsia="zh-CN" w:bidi="ar-SA"/>
        </w:rPr>
        <mc:AlternateContent>
          <mc:Choice Requires="wps">
            <w:drawing>
              <wp:anchor distT="0" distB="0" distL="114300" distR="114300" simplePos="0" relativeHeight="251670528" behindDoc="0" locked="0" layoutInCell="1" allowOverlap="1">
                <wp:simplePos x="0" y="0"/>
                <wp:positionH relativeFrom="column">
                  <wp:posOffset>927100</wp:posOffset>
                </wp:positionH>
                <wp:positionV relativeFrom="paragraph">
                  <wp:posOffset>2691765</wp:posOffset>
                </wp:positionV>
                <wp:extent cx="1003300" cy="1003300"/>
                <wp:effectExtent l="0" t="0" r="6350" b="6985"/>
                <wp:wrapNone/>
                <wp:docPr id="5" name="菱形 5"/>
                <wp:cNvGraphicFramePr/>
                <a:graphic xmlns:a="http://schemas.openxmlformats.org/drawingml/2006/main">
                  <a:graphicData uri="http://schemas.microsoft.com/office/word/2010/wordprocessingShape">
                    <wps:wsp>
                      <wps:cNvSpPr/>
                      <wps:spPr>
                        <a:xfrm>
                          <a:off x="0" y="0"/>
                          <a:ext cx="1003589" cy="1003111"/>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8F510">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分析性能数据结合科学有效性是否足以证明符合相关《欧洲药典》标准？</w:t>
                            </w:r>
                          </w:p>
                          <w:p w14:paraId="1763315A">
                            <w:pPr>
                              <w:jc w:val="center"/>
                              <w:rPr>
                                <w:rFonts w:ascii="Times New Roman" w:hAnsi="Times New Roman" w:eastAsia="宋体" w:cs="宋体"/>
                                <w:sz w:val="11"/>
                                <w:lang w:eastAsia="zh-CN"/>
                              </w:rPr>
                            </w:pP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4" type="#_x0000_t4" style="position:absolute;left:0pt;margin-left:73pt;margin-top:211.95pt;height:79pt;width:79pt;z-index:251670528;v-text-anchor:middle;mso-width-relative:page;mso-height-relative:page;" fillcolor="#FFFFFF [3212]" filled="t" stroked="f" coordsize="21600,21600" o:gfxdata="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mpNI7cAAAACwEAAA8AAAAAAAAAAQAgAAAAIgAAAGRycy9kb3ducmV2LnhtbFBLAQIUABQA&#10;AAAIAIdO4kBg7PBsXgIAALMEAAAOAAAAAAAAAAEAIAAAACsBAABkcnMvZTJvRG9jLnhtbFBLBQYA&#10;AAAABgAGAFkBAAD7BQAAAAA=&#10;">
                <v:fill on="t" focussize="0,0"/>
                <v:stroke on="f" weight="2pt"/>
                <v:imagedata o:title=""/>
                <o:lock v:ext="edit" aspectratio="f"/>
                <v:textbox inset="0mm,0mm,0mm,0mm">
                  <w:txbxContent>
                    <w:p w14:paraId="3088F510">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分析性能数据结合科学有效性是否足以证明符合相关《欧洲药典》标准？</w:t>
                      </w:r>
                    </w:p>
                    <w:p w14:paraId="1763315A">
                      <w:pPr>
                        <w:jc w:val="center"/>
                        <w:rPr>
                          <w:rFonts w:ascii="Times New Roman" w:hAnsi="Times New Roman" w:eastAsia="宋体" w:cs="宋体"/>
                          <w:sz w:val="11"/>
                          <w:lang w:eastAsia="zh-CN"/>
                        </w:rPr>
                      </w:pPr>
                    </w:p>
                  </w:txbxContent>
                </v:textbox>
              </v:shape>
            </w:pict>
          </mc:Fallback>
        </mc:AlternateContent>
      </w:r>
      <w:r>
        <w:rPr>
          <w:rFonts w:ascii="Times New Roman" w:hAnsi="Times New Roman" w:cs="Times New Roman"/>
          <w:lang w:eastAsia="zh-CN" w:bidi="ar-SA"/>
        </w:rPr>
        <mc:AlternateContent>
          <mc:Choice Requires="wps">
            <w:drawing>
              <wp:anchor distT="0" distB="0" distL="114300" distR="114300" simplePos="0" relativeHeight="251669504" behindDoc="0" locked="0" layoutInCell="1" allowOverlap="1">
                <wp:simplePos x="0" y="0"/>
                <wp:positionH relativeFrom="column">
                  <wp:posOffset>2688590</wp:posOffset>
                </wp:positionH>
                <wp:positionV relativeFrom="paragraph">
                  <wp:posOffset>1067435</wp:posOffset>
                </wp:positionV>
                <wp:extent cx="737235" cy="795655"/>
                <wp:effectExtent l="0" t="0" r="6350" b="5080"/>
                <wp:wrapNone/>
                <wp:docPr id="4" name="菱形 4"/>
                <wp:cNvGraphicFramePr/>
                <a:graphic xmlns:a="http://schemas.openxmlformats.org/drawingml/2006/main">
                  <a:graphicData uri="http://schemas.microsoft.com/office/word/2010/wordprocessingShape">
                    <wps:wsp>
                      <wps:cNvSpPr/>
                      <wps:spPr>
                        <a:xfrm>
                          <a:off x="0" y="0"/>
                          <a:ext cx="736979" cy="795450"/>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9B62C">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该信息是否充分证明科学有效性？</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4" type="#_x0000_t4" style="position:absolute;left:0pt;margin-left:211.7pt;margin-top:84.05pt;height:62.65pt;width:58.05pt;z-index:251669504;v-text-anchor:middle;mso-width-relative:page;mso-height-relative:page;" fillcolor="#FFFFFF [3212]" filled="t" stroked="f" coordsize="21600,21600" o:gfxdata="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x/+v2wAAAAsBAAAPAAAAAAAAAAEAIAAAACIAAABkcnMvZG93bnJldi54bWxQSwECFAAU&#10;AAAACACHTuJA2kfIK2ACAACxBAAADgAAAAAAAAABACAAAAAqAQAAZHJzL2Uyb0RvYy54bWxQSwUG&#10;AAAAAAYABgBZAQAA/AUAAAAA&#10;">
                <v:fill on="t" focussize="0,0"/>
                <v:stroke on="f" weight="2pt"/>
                <v:imagedata o:title=""/>
                <o:lock v:ext="edit" aspectratio="f"/>
                <v:textbox inset="0mm,0mm,0mm,0mm">
                  <w:txbxContent>
                    <w:p w14:paraId="39F9B62C">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该信息是否充分证明科学有效性？</w:t>
                      </w:r>
                    </w:p>
                  </w:txbxContent>
                </v:textbox>
              </v:shape>
            </w:pict>
          </mc:Fallback>
        </mc:AlternateContent>
      </w:r>
      <w:r>
        <w:rPr>
          <w:rFonts w:ascii="Times New Roman" w:hAnsi="Times New Roman" w:cs="Times New Roman"/>
          <w:lang w:eastAsia="zh-CN" w:bidi="ar-SA"/>
        </w:rPr>
        <mc:AlternateContent>
          <mc:Choice Requires="wps">
            <w:drawing>
              <wp:anchor distT="0" distB="0" distL="114300" distR="114300" simplePos="0" relativeHeight="251668480" behindDoc="0" locked="0" layoutInCell="1" allowOverlap="1">
                <wp:simplePos x="0" y="0"/>
                <wp:positionH relativeFrom="column">
                  <wp:posOffset>1016000</wp:posOffset>
                </wp:positionH>
                <wp:positionV relativeFrom="paragraph">
                  <wp:posOffset>207010</wp:posOffset>
                </wp:positionV>
                <wp:extent cx="835660" cy="795655"/>
                <wp:effectExtent l="0" t="0" r="2540" b="5080"/>
                <wp:wrapNone/>
                <wp:docPr id="2" name="菱形 2"/>
                <wp:cNvGraphicFramePr/>
                <a:graphic xmlns:a="http://schemas.openxmlformats.org/drawingml/2006/main">
                  <a:graphicData uri="http://schemas.microsoft.com/office/word/2010/wordprocessingShape">
                    <wps:wsp>
                      <wps:cNvSpPr/>
                      <wps:spPr>
                        <a:xfrm>
                          <a:off x="0" y="0"/>
                          <a:ext cx="835916" cy="795450"/>
                        </a:xfrm>
                        <a:prstGeom prst="diamon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B1361">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第1阶段</w:t>
                            </w:r>
                          </w:p>
                          <w:p w14:paraId="476B6237">
                            <w:pPr>
                              <w:jc w:val="center"/>
                              <w:rPr>
                                <w:sz w:val="28"/>
                                <w:lang w:eastAsia="zh-CN"/>
                              </w:rPr>
                            </w:pPr>
                            <w:r>
                              <w:rPr>
                                <w:rFonts w:hint="eastAsia" w:ascii="Times New Roman" w:hAnsi="Times New Roman" w:eastAsia="宋体" w:cs="宋体"/>
                                <w:sz w:val="11"/>
                                <w:lang w:eastAsia="zh-CN"/>
                              </w:rPr>
                              <w:t>是否已确立科学有效性？</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_x0000_s1026" o:spid="_x0000_s1026" o:spt="4" type="#_x0000_t4" style="position:absolute;left:0pt;margin-left:80pt;margin-top:16.3pt;height:62.65pt;width:65.8pt;z-index:251668480;v-text-anchor:middle;mso-width-relative:page;mso-height-relative:page;" fillcolor="#FFFFFF [3212]" filled="t" stroked="f" coordsize="21600,21600" o:gfxdata="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ewCiTaAAAACgEAAA8AAAAAAAAAAQAgAAAAIgAAAGRycy9kb3ducmV2LnhtbFBLAQIUABQA&#10;AAAIAIdO4kCM7zLkYAIAALEEAAAOAAAAAAAAAAEAIAAAACkBAABkcnMvZTJvRG9jLnhtbFBLBQYA&#10;AAAABgAGAFkBAAD7BQAAAAA=&#10;">
                <v:fill on="t" focussize="0,0"/>
                <v:stroke on="f" weight="2pt"/>
                <v:imagedata o:title=""/>
                <o:lock v:ext="edit" aspectratio="f"/>
                <v:textbox inset="0mm,0mm,0mm,0mm">
                  <w:txbxContent>
                    <w:p w14:paraId="3C6B1361">
                      <w:pPr>
                        <w:jc w:val="center"/>
                        <w:rPr>
                          <w:rFonts w:ascii="Times New Roman" w:hAnsi="Times New Roman" w:eastAsia="宋体" w:cs="宋体"/>
                          <w:sz w:val="11"/>
                          <w:lang w:eastAsia="zh-CN"/>
                        </w:rPr>
                      </w:pPr>
                      <w:r>
                        <w:rPr>
                          <w:rFonts w:hint="eastAsia" w:ascii="Times New Roman" w:hAnsi="Times New Roman" w:eastAsia="宋体" w:cs="宋体"/>
                          <w:sz w:val="11"/>
                          <w:lang w:eastAsia="zh-CN"/>
                        </w:rPr>
                        <w:t>第1阶段</w:t>
                      </w:r>
                    </w:p>
                    <w:p w14:paraId="476B6237">
                      <w:pPr>
                        <w:jc w:val="center"/>
                        <w:rPr>
                          <w:sz w:val="28"/>
                          <w:lang w:eastAsia="zh-CN"/>
                        </w:rPr>
                      </w:pPr>
                      <w:r>
                        <w:rPr>
                          <w:rFonts w:hint="eastAsia" w:ascii="Times New Roman" w:hAnsi="Times New Roman" w:eastAsia="宋体" w:cs="宋体"/>
                          <w:sz w:val="11"/>
                          <w:lang w:eastAsia="zh-CN"/>
                        </w:rPr>
                        <w:t>是否已确立科学有效性？</w:t>
                      </w:r>
                    </w:p>
                  </w:txbxContent>
                </v:textbox>
              </v:shape>
            </w:pict>
          </mc:Fallback>
        </mc:AlternateContent>
      </w:r>
      <w:r>
        <w:rPr>
          <w:rFonts w:ascii="宋体" w:hAnsi="宋体" w:eastAsia="宋体" w:cs="宋体"/>
          <w:lang w:eastAsia="zh-CN" w:bidi="ar-SA"/>
        </w:rPr>
        <w:drawing>
          <wp:inline distT="0" distB="0" distL="0" distR="0">
            <wp:extent cx="5760085" cy="6345555"/>
            <wp:effectExtent l="0" t="0" r="0" b="0"/>
            <wp:docPr id="222" name="图片 222" descr="C:\Users\杨峰\Desktop\QQ截图2021111118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descr="C:\Users\杨峰\Desktop\QQ截图202111111853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0085" cy="6345957"/>
                    </a:xfrm>
                    <a:prstGeom prst="rect">
                      <a:avLst/>
                    </a:prstGeom>
                    <a:noFill/>
                    <a:ln>
                      <a:noFill/>
                    </a:ln>
                  </pic:spPr>
                </pic:pic>
              </a:graphicData>
            </a:graphic>
          </wp:inline>
        </w:drawing>
      </w:r>
    </w:p>
    <w:p w14:paraId="3D8964BC">
      <w:pPr>
        <w:rPr>
          <w:rFonts w:ascii="Times New Roman" w:hAnsi="Times New Roman" w:eastAsia="宋体" w:cs="Times New Roman"/>
          <w:snapToGrid w:val="0"/>
          <w:lang w:eastAsia="zh-CN"/>
        </w:rPr>
      </w:pPr>
    </w:p>
    <w:p w14:paraId="5AEA5DE2">
      <w:pPr>
        <w:rPr>
          <w:rFonts w:ascii="Times New Roman" w:hAnsi="Times New Roman" w:eastAsia="宋体" w:cs="Times New Roman"/>
          <w:snapToGrid w:val="0"/>
        </w:rPr>
      </w:pPr>
      <w:r>
        <w:rPr>
          <w:rFonts w:ascii="Times New Roman" w:hAnsi="Times New Roman" w:eastAsia="宋体" w:cs="宋体"/>
        </w:rPr>
        <w:br w:type="page"/>
      </w:r>
    </w:p>
    <w:p w14:paraId="6C207BEB">
      <w:pPr>
        <w:pStyle w:val="36"/>
        <w:rPr>
          <w:rFonts w:eastAsia="宋体"/>
          <w:lang w:eastAsia="zh-CN"/>
        </w:rPr>
      </w:pPr>
      <w:bookmarkStart w:id="20" w:name="_Toc92183899"/>
      <w:r>
        <w:rPr>
          <w:rFonts w:eastAsia="宋体" w:cs="宋体"/>
          <w:lang w:eastAsia="zh-CN"/>
        </w:rPr>
        <w:t>参考文献</w:t>
      </w:r>
      <w:bookmarkEnd w:id="20"/>
    </w:p>
    <w:p w14:paraId="353ED7E3">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IMDRF文件：</w:t>
      </w:r>
    </w:p>
    <w:p w14:paraId="46ED007F">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1.</w:t>
      </w:r>
      <w:r>
        <w:rPr>
          <w:rFonts w:ascii="Times New Roman" w:hAnsi="Times New Roman" w:eastAsia="宋体" w:cs="宋体"/>
          <w:lang w:eastAsia="zh-CN"/>
        </w:rPr>
        <w:tab/>
      </w:r>
      <w:r>
        <w:rPr>
          <w:rFonts w:ascii="Times New Roman" w:hAnsi="Times New Roman" w:eastAsia="宋体" w:cs="宋体"/>
          <w:lang w:eastAsia="zh-CN"/>
        </w:rPr>
        <w:t>SaMD N10：</w:t>
      </w:r>
      <w:r>
        <w:fldChar w:fldCharType="begin"/>
      </w:r>
      <w:r>
        <w:instrText xml:space="preserve"> HYPERLINK "http://www.imdrf.org/docs/imdrf/final/technical/imdrf-tech-131209-samd-key-definitions-140901.pdf" </w:instrText>
      </w:r>
      <w:r>
        <w:fldChar w:fldCharType="separate"/>
      </w:r>
      <w:r>
        <w:rPr>
          <w:rFonts w:ascii="Times New Roman" w:hAnsi="Times New Roman" w:eastAsia="宋体" w:cs="宋体"/>
          <w:i/>
          <w:snapToGrid w:val="0"/>
          <w:color w:val="0000FF"/>
          <w:u w:val="single"/>
          <w:lang w:eastAsia="zh-CN"/>
        </w:rPr>
        <w:t>医疗器械独立软件（SaMD）：关键定义</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http://www.imdrf.org/</w:t>
      </w:r>
      <w:r>
        <w:rPr>
          <w:rFonts w:hint="eastAsia" w:ascii="Times New Roman" w:hAnsi="Times New Roman" w:eastAsia="宋体" w:cs="宋体"/>
          <w:i/>
          <w:lang w:eastAsia="zh-CN"/>
        </w:rPr>
        <w:t xml:space="preserve"> </w:t>
      </w:r>
      <w:r>
        <w:rPr>
          <w:rFonts w:ascii="Times New Roman" w:hAnsi="Times New Roman" w:eastAsia="宋体" w:cs="宋体"/>
          <w:i/>
          <w:lang w:eastAsia="zh-CN"/>
        </w:rPr>
        <w:t>docs/imdrffinal/technical/imdrf-tech-131209-samd-key-definitions- 140901.pdf</w:t>
      </w:r>
    </w:p>
    <w:p w14:paraId="0D38EA99">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2.</w:t>
      </w:r>
      <w:r>
        <w:rPr>
          <w:rFonts w:ascii="Times New Roman" w:hAnsi="Times New Roman" w:eastAsia="宋体" w:cs="宋体"/>
        </w:rPr>
        <w:tab/>
      </w:r>
      <w:r>
        <w:rPr>
          <w:rFonts w:ascii="Times New Roman" w:hAnsi="Times New Roman" w:eastAsia="宋体" w:cs="宋体"/>
        </w:rPr>
        <w:t>SaMD N12：</w:t>
      </w:r>
      <w:r>
        <w:fldChar w:fldCharType="begin"/>
      </w:r>
      <w:r>
        <w:instrText xml:space="preserve"> HYPERLINK "http://www.imdrf.org/docs/imdrf/final/technical/imdrf-tech-140918-samd-framework-risk-categorization-141013.pdf"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rPr>
        <w:t>医疗器械独立软件（SaMD）：风险分类的可能框架和相应的考虑因素 --</w:t>
      </w:r>
      <w:r>
        <w:rPr>
          <w:rFonts w:ascii="Times New Roman" w:hAnsi="Times New Roman" w:eastAsia="宋体" w:cs="宋体"/>
          <w:i/>
          <w:snapToGrid w:val="0"/>
          <w:color w:val="0000FF"/>
          <w:u w:val="single"/>
        </w:rPr>
        <w:fldChar w:fldCharType="end"/>
      </w:r>
      <w:r>
        <w:rPr>
          <w:rFonts w:ascii="Times New Roman" w:hAnsi="Times New Roman" w:eastAsia="宋体" w:cs="宋体"/>
          <w:i/>
        </w:rPr>
        <w:t xml:space="preserve"> http://www.imdrf.org/docs/imdrffinal/technical/imdrf-tech-140918-samd-framework-risk- categorization- 141013.pdf</w:t>
      </w:r>
    </w:p>
    <w:p w14:paraId="5B8C969E">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3.</w:t>
      </w:r>
      <w:r>
        <w:rPr>
          <w:rFonts w:ascii="Times New Roman" w:hAnsi="Times New Roman" w:eastAsia="宋体" w:cs="宋体"/>
          <w:lang w:eastAsia="zh-CN"/>
        </w:rPr>
        <w:tab/>
      </w:r>
      <w:r>
        <w:rPr>
          <w:rFonts w:ascii="Times New Roman" w:hAnsi="Times New Roman" w:eastAsia="宋体" w:cs="宋体"/>
          <w:lang w:eastAsia="zh-CN"/>
        </w:rPr>
        <w:t>SaMD N23：</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snapToGrid w:val="0"/>
          <w:color w:val="0000FF"/>
          <w:u w:val="single"/>
          <w:lang w:eastAsia="zh-CN"/>
        </w:rPr>
        <w:t>医疗器械独立软件（SaMD）：质量管理体系的应用</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http://www.imdrf.org/docs/imdrf/final/technical/imdrf-tech-151002-samd-qms.pdf</w:t>
      </w:r>
    </w:p>
    <w:p w14:paraId="3B7B1D97">
      <w:pPr>
        <w:adjustRightInd w:val="0"/>
        <w:snapToGrid w:val="0"/>
        <w:spacing w:before="120" w:beforeLines="50" w:line="300" w:lineRule="auto"/>
        <w:jc w:val="both"/>
        <w:rPr>
          <w:rFonts w:ascii="Times New Roman" w:hAnsi="Times New Roman" w:eastAsia="宋体" w:cs="Times New Roman"/>
          <w:snapToGrid w:val="0"/>
        </w:rPr>
      </w:pPr>
      <w:r>
        <w:rPr>
          <w:rFonts w:ascii="Times New Roman" w:hAnsi="Times New Roman" w:eastAsia="宋体" w:cs="宋体"/>
          <w:b/>
        </w:rPr>
        <w:t>GHTF文件：</w:t>
      </w:r>
    </w:p>
    <w:p w14:paraId="7D2AFCCC">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4.</w:t>
      </w:r>
      <w:r>
        <w:rPr>
          <w:rFonts w:ascii="Times New Roman" w:hAnsi="Times New Roman" w:eastAsia="宋体" w:cs="宋体"/>
        </w:rPr>
        <w:tab/>
      </w:r>
      <w:r>
        <w:rPr>
          <w:rFonts w:ascii="Times New Roman" w:hAnsi="Times New Roman" w:eastAsia="宋体" w:cs="宋体"/>
        </w:rPr>
        <w:t>GHTF上市前：</w:t>
      </w:r>
      <w:r>
        <w:fldChar w:fldCharType="begin"/>
      </w:r>
      <w:r>
        <w:instrText xml:space="preserve"> HYPERLINK "http://www.imdrf.org/documents/doc-ghtf-sg1.asp" </w:instrText>
      </w:r>
      <w:r>
        <w:fldChar w:fldCharType="separate"/>
      </w:r>
      <w:r>
        <w:rPr>
          <w:rFonts w:ascii="Times New Roman" w:hAnsi="Times New Roman" w:eastAsia="宋体" w:cs="宋体"/>
          <w:i/>
          <w:snapToGrid w:val="0"/>
          <w:color w:val="0000FF"/>
          <w:u w:val="single"/>
        </w:rPr>
        <w:t>GHTF研究组1文件</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 xml:space="preserve"> http://www.imdrf.org/documents/doc- ghtf-sgLcisp</w:t>
      </w:r>
    </w:p>
    <w:p w14:paraId="7531213B">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5.</w:t>
      </w:r>
      <w:r>
        <w:rPr>
          <w:rFonts w:ascii="Times New Roman" w:hAnsi="Times New Roman" w:eastAsia="宋体" w:cs="宋体"/>
        </w:rPr>
        <w:tab/>
      </w:r>
      <w:r>
        <w:rPr>
          <w:rFonts w:ascii="Times New Roman" w:hAnsi="Times New Roman" w:eastAsia="宋体" w:cs="宋体"/>
        </w:rPr>
        <w:t>GHTF上市后：</w:t>
      </w:r>
      <w:r>
        <w:fldChar w:fldCharType="begin"/>
      </w:r>
      <w:r>
        <w:instrText xml:space="preserve"> HYPERLINK "http://www.imdrf.org/documents/doc-ghtf-sg2.asp" </w:instrText>
      </w:r>
      <w:r>
        <w:fldChar w:fldCharType="separate"/>
      </w:r>
      <w:r>
        <w:rPr>
          <w:rFonts w:ascii="Times New Roman" w:hAnsi="Times New Roman" w:eastAsia="宋体" w:cs="宋体"/>
          <w:i/>
          <w:snapToGrid w:val="0"/>
          <w:color w:val="0000FF"/>
          <w:u w:val="single"/>
        </w:rPr>
        <w:t>GHTF研究组2文件 --</w:t>
      </w:r>
      <w:r>
        <w:rPr>
          <w:rFonts w:ascii="Times New Roman" w:hAnsi="Times New Roman" w:eastAsia="宋体" w:cs="宋体"/>
          <w:i/>
          <w:snapToGrid w:val="0"/>
          <w:color w:val="0000FF"/>
          <w:u w:val="single"/>
        </w:rPr>
        <w:fldChar w:fldCharType="end"/>
      </w:r>
      <w:r>
        <w:rPr>
          <w:rFonts w:ascii="Times New Roman" w:hAnsi="Times New Roman" w:eastAsia="宋体" w:cs="宋体"/>
          <w:i/>
        </w:rPr>
        <w:t>http://www.imdrf.org/documents/doc- ghtf-sg2.asp</w:t>
      </w:r>
    </w:p>
    <w:p w14:paraId="78D4CFD6">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6.</w:t>
      </w:r>
      <w:r>
        <w:rPr>
          <w:rFonts w:ascii="Times New Roman" w:hAnsi="Times New Roman" w:eastAsia="宋体" w:cs="宋体"/>
        </w:rPr>
        <w:tab/>
      </w:r>
      <w:r>
        <w:rPr>
          <w:rFonts w:ascii="Times New Roman" w:hAnsi="Times New Roman" w:eastAsia="宋体" w:cs="宋体"/>
        </w:rPr>
        <w:t>GHTF SG3 N18:2010：</w:t>
      </w:r>
      <w:r>
        <w:fldChar w:fldCharType="begin"/>
      </w:r>
      <w:r>
        <w:instrText xml:space="preserve"> HYPERLINK "http://www.imdrf.org/docs/ghtf/final/sg3/technical-docs/ghtf-sg3-n18-2010-qms-guidance-on-corrective-preventative-action-101104.pdf" </w:instrText>
      </w:r>
      <w:r>
        <w:fldChar w:fldCharType="separate"/>
      </w:r>
      <w:r>
        <w:rPr>
          <w:rFonts w:ascii="Times New Roman" w:hAnsi="Times New Roman" w:eastAsia="宋体" w:cs="宋体"/>
          <w:i/>
          <w:snapToGrid w:val="0"/>
          <w:color w:val="0000FF"/>
          <w:u w:val="single"/>
        </w:rPr>
        <w:t>质量管理体系 - 医疗器械 - 关于纠正措施和预防措施及相关质量管理体系过程的指南</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w:t>
      </w:r>
      <w:r>
        <w:rPr>
          <w:rFonts w:ascii="Times New Roman" w:hAnsi="Times New Roman" w:eastAsia="宋体" w:cs="宋体"/>
          <w:i/>
        </w:rPr>
        <w:t xml:space="preserve"> http://www.imdrforg/</w:t>
      </w:r>
      <w:r>
        <w:rPr>
          <w:rFonts w:hint="eastAsia" w:ascii="Times New Roman" w:hAnsi="Times New Roman" w:eastAsia="宋体" w:cs="宋体"/>
          <w:i/>
          <w:lang w:eastAsia="zh-CN"/>
        </w:rPr>
        <w:t xml:space="preserve"> </w:t>
      </w:r>
      <w:r>
        <w:rPr>
          <w:rFonts w:ascii="Times New Roman" w:hAnsi="Times New Roman" w:eastAsia="宋体" w:cs="宋体"/>
          <w:i/>
        </w:rPr>
        <w:t>docs/ghtffmal/sg3/technical-docs/</w:t>
      </w:r>
      <w:r>
        <w:rPr>
          <w:rFonts w:hint="eastAsia" w:ascii="Times New Roman" w:hAnsi="Times New Roman" w:eastAsia="宋体" w:cs="宋体"/>
          <w:i/>
          <w:lang w:eastAsia="zh-CN"/>
        </w:rPr>
        <w:t xml:space="preserve"> </w:t>
      </w:r>
      <w:r>
        <w:rPr>
          <w:rFonts w:ascii="Times New Roman" w:hAnsi="Times New Roman" w:eastAsia="宋体" w:cs="宋体"/>
          <w:i/>
        </w:rPr>
        <w:t>ghtf-sg3-n18-2010-qms-guidance- on-corrective-preventative-action-101104.pdf</w:t>
      </w:r>
    </w:p>
    <w:p w14:paraId="17364B3E">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7.</w:t>
      </w:r>
      <w:r>
        <w:rPr>
          <w:rFonts w:ascii="Times New Roman" w:hAnsi="Times New Roman" w:eastAsia="宋体" w:cs="宋体"/>
        </w:rPr>
        <w:tab/>
      </w:r>
      <w:r>
        <w:rPr>
          <w:rFonts w:ascii="Times New Roman" w:hAnsi="Times New Roman" w:eastAsia="宋体" w:cs="宋体"/>
          <w:i/>
          <w:color w:val="0000FF"/>
          <w:u w:val="single"/>
        </w:rPr>
        <w:t>GHTF SG5 N1R8:2007：</w:t>
      </w:r>
      <w:r>
        <w:fldChar w:fldCharType="begin"/>
      </w:r>
      <w:r>
        <w:instrText xml:space="preserve"> HYPERLINK "file:///D:\\器审中心\\27%20褚老师交接的工作\\翻译校对\\FDA指导原则（第四批）2020.6.2\\顺达佳译\\顺达译文-器审中心106个文件\\临床证据-关键定义和概念-" </w:instrText>
      </w:r>
      <w:r>
        <w:fldChar w:fldCharType="separate"/>
      </w:r>
      <w:r>
        <w:rPr>
          <w:rStyle w:val="14"/>
          <w:rFonts w:ascii="Times New Roman" w:hAnsi="Times New Roman" w:eastAsia="宋体" w:cs="宋体"/>
          <w:i/>
          <w:snapToGrid w:val="0"/>
        </w:rPr>
        <w:t>临床证据-关键定义和概念</w:t>
      </w:r>
      <w:r>
        <w:rPr>
          <w:rFonts w:ascii="Times New Roman" w:hAnsi="Times New Roman" w:eastAsia="宋体" w:cs="宋体"/>
          <w:i/>
          <w:color w:val="0000FF"/>
          <w:u w:val="single"/>
        </w:rPr>
        <w:t>--</w:t>
      </w:r>
      <w:r>
        <w:rPr>
          <w:rFonts w:ascii="Times New Roman" w:hAnsi="Times New Roman" w:eastAsia="宋体" w:cs="宋体"/>
          <w:i/>
          <w:color w:val="0000FF"/>
          <w:u w:val="single"/>
        </w:rPr>
        <w:fldChar w:fldCharType="end"/>
      </w:r>
      <w:r>
        <w:rPr>
          <w:rFonts w:ascii="Times New Roman" w:hAnsi="Times New Roman" w:eastAsia="宋体" w:cs="宋体"/>
          <w:i/>
        </w:rPr>
        <w:t xml:space="preserve"> http://www.imdrf.org/docs/</w:t>
      </w:r>
      <w:r>
        <w:rPr>
          <w:rFonts w:hint="eastAsia" w:ascii="Times New Roman" w:hAnsi="Times New Roman" w:eastAsia="宋体" w:cs="宋体"/>
          <w:i/>
          <w:lang w:eastAsia="zh-CN"/>
        </w:rPr>
        <w:t xml:space="preserve"> </w:t>
      </w:r>
      <w:r>
        <w:rPr>
          <w:rFonts w:ascii="Times New Roman" w:hAnsi="Times New Roman" w:eastAsia="宋体" w:cs="宋体"/>
          <w:i/>
          <w:spacing w:val="-2"/>
        </w:rPr>
        <w:t>ghtffinal/sg5/technical-docs/ghtf-sg5-n1r8-clinical-evaluation-key-definitions-070501.pdf</w:t>
      </w:r>
    </w:p>
    <w:p w14:paraId="18F13ECD">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8.</w:t>
      </w:r>
      <w:r>
        <w:rPr>
          <w:rFonts w:ascii="Times New Roman" w:hAnsi="Times New Roman" w:eastAsia="宋体" w:cs="宋体"/>
        </w:rPr>
        <w:tab/>
      </w:r>
      <w:r>
        <w:rPr>
          <w:rFonts w:ascii="Times New Roman" w:hAnsi="Times New Roman" w:eastAsia="宋体" w:cs="宋体"/>
        </w:rPr>
        <w:t>GHTF SG5 N2R8:2007：</w:t>
      </w:r>
      <w:r>
        <w:fldChar w:fldCharType="begin"/>
      </w:r>
      <w:r>
        <w:instrText xml:space="preserve"> HYPERLINK "http://www.imdrf.org/docs/ghtf/final/sg5/technical-docs/ghtf-sg5-n2r8-2007-clinical-evaluation-070501.pdf" </w:instrText>
      </w:r>
      <w:r>
        <w:fldChar w:fldCharType="separate"/>
      </w:r>
      <w:r>
        <w:rPr>
          <w:rFonts w:ascii="Times New Roman" w:hAnsi="Times New Roman" w:eastAsia="宋体" w:cs="宋体"/>
          <w:i/>
          <w:snapToGrid w:val="0"/>
          <w:color w:val="0000FF"/>
          <w:u w:val="single"/>
        </w:rPr>
        <w:t>临床评价</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 </w:t>
      </w:r>
      <w:r>
        <w:rPr>
          <w:rFonts w:ascii="Times New Roman" w:hAnsi="Times New Roman" w:eastAsia="宋体" w:cs="宋体"/>
          <w:i/>
        </w:rPr>
        <w:t>http://www.imdrf.org/docs/ghtffinal/sg5</w:t>
      </w:r>
      <w:r>
        <w:rPr>
          <w:rFonts w:hint="eastAsia" w:ascii="Times New Roman" w:hAnsi="Times New Roman" w:eastAsia="宋体" w:cs="宋体"/>
          <w:i/>
          <w:lang w:eastAsia="zh-CN"/>
        </w:rPr>
        <w:t xml:space="preserve"> </w:t>
      </w:r>
      <w:r>
        <w:rPr>
          <w:rFonts w:ascii="Times New Roman" w:hAnsi="Times New Roman" w:eastAsia="宋体" w:cs="宋体"/>
          <w:i/>
        </w:rPr>
        <w:t>/technical-docs/ghtf-sg5-n2r8-200 7-clinical- evaluation-070501.pdf</w:t>
      </w:r>
    </w:p>
    <w:p w14:paraId="7A02F791">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9.</w:t>
      </w:r>
      <w:r>
        <w:rPr>
          <w:rFonts w:ascii="Times New Roman" w:hAnsi="Times New Roman" w:eastAsia="宋体" w:cs="宋体"/>
        </w:rPr>
        <w:tab/>
      </w:r>
      <w:r>
        <w:rPr>
          <w:rFonts w:ascii="Times New Roman" w:hAnsi="Times New Roman" w:eastAsia="宋体" w:cs="宋体"/>
        </w:rPr>
        <w:t>GHTF SG5 N3:2010：</w:t>
      </w:r>
      <w:r>
        <w:fldChar w:fldCharType="begin"/>
      </w:r>
      <w:r>
        <w:instrText xml:space="preserve"> HYPERLINK "http://www.imdrf.org/docs/ghtf/final/sg5/technical-docs/ghtf-sg5-n3-clinical-investigations-100212.pdf" </w:instrText>
      </w:r>
      <w:r>
        <w:fldChar w:fldCharType="separate"/>
      </w:r>
      <w:r>
        <w:rPr>
          <w:rFonts w:ascii="Times New Roman" w:hAnsi="Times New Roman" w:eastAsia="宋体" w:cs="宋体"/>
          <w:i/>
          <w:snapToGrid w:val="0"/>
          <w:color w:val="0000FF"/>
          <w:u w:val="single"/>
        </w:rPr>
        <w:t>临床研究</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http://www.imdrf.org/docs/ghtffinal/sg5/</w:t>
      </w:r>
      <w:r>
        <w:rPr>
          <w:rFonts w:hint="eastAsia" w:ascii="Times New Roman" w:hAnsi="Times New Roman" w:eastAsia="宋体" w:cs="宋体"/>
          <w:i/>
          <w:lang w:eastAsia="zh-CN"/>
        </w:rPr>
        <w:t xml:space="preserve"> </w:t>
      </w:r>
      <w:r>
        <w:rPr>
          <w:rFonts w:ascii="Times New Roman" w:hAnsi="Times New Roman" w:eastAsia="宋体" w:cs="宋体"/>
          <w:i/>
        </w:rPr>
        <w:t>technical-</w:t>
      </w:r>
      <w:r>
        <w:rPr>
          <w:rFonts w:hint="eastAsia" w:ascii="Times New Roman" w:hAnsi="Times New Roman" w:eastAsia="宋体" w:cs="宋体"/>
          <w:i/>
          <w:lang w:eastAsia="zh-CN"/>
        </w:rPr>
        <w:t xml:space="preserve"> </w:t>
      </w:r>
      <w:r>
        <w:rPr>
          <w:rFonts w:ascii="Times New Roman" w:hAnsi="Times New Roman" w:eastAsia="宋体" w:cs="宋体"/>
          <w:i/>
        </w:rPr>
        <w:t>docs/ghtf-sg5-n3-clinical-investigations- 100212.pdf</w:t>
      </w:r>
    </w:p>
    <w:p w14:paraId="5EE05F40">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10.</w:t>
      </w:r>
      <w:r>
        <w:rPr>
          <w:rFonts w:ascii="Times New Roman" w:hAnsi="Times New Roman" w:eastAsia="宋体" w:cs="宋体"/>
        </w:rPr>
        <w:tab/>
      </w:r>
      <w:r>
        <w:rPr>
          <w:rFonts w:ascii="Times New Roman" w:hAnsi="Times New Roman" w:eastAsia="宋体" w:cs="宋体"/>
        </w:rPr>
        <w:t>GHTF SG5 N4：</w:t>
      </w:r>
      <w:r>
        <w:fldChar w:fldCharType="begin"/>
      </w:r>
      <w:r>
        <w:instrText xml:space="preserve"> HYPERLINK "http://www.imdrf.org/docs/ghtf/final/sg5/technical-docs/ghtf-sg5-n4-post-market-clinical-studies-100218.pdf" </w:instrText>
      </w:r>
      <w:r>
        <w:fldChar w:fldCharType="separate"/>
      </w:r>
      <w:r>
        <w:rPr>
          <w:rFonts w:ascii="Times New Roman" w:hAnsi="Times New Roman" w:eastAsia="宋体" w:cs="宋体"/>
          <w:i/>
          <w:snapToGrid w:val="0"/>
          <w:color w:val="0000FF"/>
          <w:u w:val="single"/>
        </w:rPr>
        <w:t>上市后临床随访研究</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 xml:space="preserve"> http://www.imdrf.org/docs/ghtffinal/sg5/</w:t>
      </w:r>
      <w:r>
        <w:rPr>
          <w:rFonts w:hint="eastAsia" w:ascii="Times New Roman" w:hAnsi="Times New Roman" w:eastAsia="宋体" w:cs="宋体"/>
          <w:i/>
          <w:lang w:eastAsia="zh-CN"/>
        </w:rPr>
        <w:t xml:space="preserve"> </w:t>
      </w:r>
      <w:r>
        <w:rPr>
          <w:rFonts w:ascii="Times New Roman" w:hAnsi="Times New Roman" w:eastAsia="宋体" w:cs="宋体"/>
          <w:i/>
        </w:rPr>
        <w:t>technical-docs/ghtf-sg5-n4-post-market-clinical- studies-100218.pdf</w:t>
      </w:r>
    </w:p>
    <w:p w14:paraId="60B2F18A">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11.</w:t>
      </w:r>
      <w:r>
        <w:rPr>
          <w:rFonts w:ascii="Times New Roman" w:hAnsi="Times New Roman" w:eastAsia="宋体" w:cs="宋体"/>
        </w:rPr>
        <w:tab/>
      </w:r>
      <w:r>
        <w:rPr>
          <w:rFonts w:ascii="Times New Roman" w:hAnsi="Times New Roman" w:eastAsia="宋体" w:cs="宋体"/>
        </w:rPr>
        <w:t>GHTF SG5 N6:2012：</w:t>
      </w:r>
      <w:r>
        <w:fldChar w:fldCharType="begin"/>
      </w:r>
      <w:r>
        <w:instrText xml:space="preserve"> HYPERLINK "http://www.imdrf.org/docs/ghtf/final/sg5/technical-docs/ghtf-sg5-n6-2012-clinical-evidence-ivd-medical-devices-121102.pdf" </w:instrText>
      </w:r>
      <w:r>
        <w:fldChar w:fldCharType="separate"/>
      </w:r>
      <w:r>
        <w:rPr>
          <w:rFonts w:ascii="Times New Roman" w:hAnsi="Times New Roman" w:eastAsia="宋体" w:cs="宋体"/>
          <w:i/>
          <w:snapToGrid w:val="0"/>
          <w:color w:val="0000FF"/>
          <w:u w:val="single"/>
        </w:rPr>
        <w:t>体外诊断医疗器械的临床证据</w:t>
      </w:r>
      <w:r>
        <w:rPr>
          <w:rFonts w:ascii="Times New Roman" w:hAnsi="Times New Roman" w:eastAsia="宋体" w:cs="宋体"/>
          <w:i/>
          <w:snapToGrid w:val="0"/>
          <w:color w:val="0000FF"/>
          <w:u w:val="single"/>
        </w:rPr>
        <w:fldChar w:fldCharType="end"/>
      </w:r>
      <w:r>
        <w:fldChar w:fldCharType="begin"/>
      </w:r>
      <w:r>
        <w:instrText xml:space="preserve"> HYPERLINK "http://www.imdrf.org/docs/ghtf/final/sg5/technical-docs/ghtf-sg5-n6-2012-clinical-evidence-ivd-medical-devices-121102.pdf" </w:instrText>
      </w:r>
      <w:r>
        <w:fldChar w:fldCharType="separate"/>
      </w:r>
      <w:r>
        <w:rPr>
          <w:rFonts w:ascii="Times New Roman" w:hAnsi="Times New Roman" w:eastAsia="宋体" w:cs="宋体"/>
          <w:i/>
          <w:snapToGrid w:val="0"/>
          <w:color w:val="0000FF"/>
          <w:u w:val="single"/>
        </w:rPr>
        <w:t>-- 关键定义和概念 --</w:t>
      </w:r>
      <w:r>
        <w:rPr>
          <w:rFonts w:ascii="Times New Roman" w:hAnsi="Times New Roman" w:eastAsia="宋体" w:cs="宋体"/>
          <w:i/>
          <w:snapToGrid w:val="0"/>
          <w:color w:val="0000FF"/>
          <w:u w:val="single"/>
        </w:rPr>
        <w:fldChar w:fldCharType="end"/>
      </w:r>
      <w:r>
        <w:rPr>
          <w:rFonts w:ascii="Times New Roman" w:hAnsi="Times New Roman" w:eastAsia="宋体" w:cs="宋体"/>
          <w:color w:val="0000FF"/>
          <w:u w:val="single"/>
        </w:rPr>
        <w:t xml:space="preserve"> </w:t>
      </w:r>
      <w:r>
        <w:rPr>
          <w:rFonts w:ascii="Times New Roman" w:hAnsi="Times New Roman" w:eastAsia="宋体" w:cs="宋体"/>
          <w:i/>
        </w:rPr>
        <w:t>http://www.imdrforg/docs/ghtf/fmal/sg5/technical-docs/ghtf-sg5-n6-2012- clinical-evidence-ivd-medical-devices-121102.pdf</w:t>
      </w:r>
      <w:r>
        <w:rPr>
          <w:rFonts w:ascii="Times New Roman" w:hAnsi="Times New Roman" w:eastAsia="宋体" w:cs="宋体"/>
        </w:rPr>
        <w:br w:type="page"/>
      </w:r>
    </w:p>
    <w:p w14:paraId="4BE92C6D">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12.</w:t>
      </w:r>
      <w:r>
        <w:rPr>
          <w:rFonts w:ascii="Times New Roman" w:hAnsi="Times New Roman" w:eastAsia="宋体" w:cs="宋体"/>
          <w:lang w:eastAsia="zh-CN"/>
        </w:rPr>
        <w:tab/>
      </w:r>
      <w:r>
        <w:rPr>
          <w:rFonts w:ascii="Times New Roman" w:hAnsi="Times New Roman" w:eastAsia="宋体" w:cs="宋体"/>
          <w:lang w:eastAsia="zh-CN"/>
        </w:rPr>
        <w:t>GHTF SG1 N68:2012：</w:t>
      </w:r>
      <w:r>
        <w:fldChar w:fldCharType="begin"/>
      </w:r>
      <w:r>
        <w:instrText xml:space="preserve"> HYPERLINK "http://www.imdrf.org/docs/ghtf/final/sg1/technical-docs/ghtf-sg1-n68-2012-safety-performance-medical-devices-121102.pdf" </w:instrText>
      </w:r>
      <w:r>
        <w:fldChar w:fldCharType="separate"/>
      </w:r>
      <w:r>
        <w:rPr>
          <w:rFonts w:ascii="Times New Roman" w:hAnsi="Times New Roman" w:eastAsia="宋体" w:cs="宋体"/>
          <w:i/>
          <w:snapToGrid w:val="0"/>
          <w:color w:val="0000FF"/>
          <w:u w:val="single"/>
          <w:lang w:eastAsia="zh-CN"/>
        </w:rPr>
        <w:t>医疗器械安全性和性能的基本原则</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http://www.imdrf.org/docs/ghtffinal/sg1/technical-docs/ghtf-sg1-n68-2012-safety-performance-medical-devices-121102.pdf</w:t>
      </w:r>
    </w:p>
    <w:p w14:paraId="4B5A1DA6">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13.</w:t>
      </w:r>
      <w:r>
        <w:rPr>
          <w:rFonts w:ascii="Times New Roman" w:hAnsi="Times New Roman" w:eastAsia="宋体" w:cs="宋体"/>
        </w:rPr>
        <w:tab/>
      </w:r>
      <w:r>
        <w:rPr>
          <w:rFonts w:ascii="Times New Roman" w:hAnsi="Times New Roman" w:eastAsia="宋体" w:cs="宋体"/>
        </w:rPr>
        <w:t>GHTF SG5 N7:2012：</w:t>
      </w:r>
      <w:r>
        <w:fldChar w:fldCharType="begin"/>
      </w:r>
      <w:r>
        <w:instrText xml:space="preserve"> HYPERLINK "http://www.imdrf.org/docs/ghtf/final/sg5/technical-docs/ghtf-sg5-n7-2012-scientific-validity-determination-evaluation-121102.pdf" </w:instrText>
      </w:r>
      <w:r>
        <w:fldChar w:fldCharType="separate"/>
      </w:r>
      <w:r>
        <w:rPr>
          <w:rFonts w:ascii="Times New Roman" w:hAnsi="Times New Roman" w:eastAsia="宋体" w:cs="宋体"/>
          <w:i/>
          <w:snapToGrid w:val="0"/>
          <w:color w:val="0000FF"/>
          <w:u w:val="single"/>
        </w:rPr>
        <w:t>体外诊断医疗器械的临床证据 - 科学有效性判定和性能评价</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w:t>
      </w:r>
      <w:r>
        <w:rPr>
          <w:rFonts w:ascii="Times New Roman" w:hAnsi="Times New Roman" w:eastAsia="宋体" w:cs="宋体"/>
          <w:i/>
        </w:rPr>
        <w:t>http://www.imdrf.org/docs/ghtffinal/sg5/technical-docs/ghtf-sg5-n7-2012-scientific-validity- determination-evaluation-121102.pdf</w:t>
      </w:r>
    </w:p>
    <w:p w14:paraId="5B305127">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14.</w:t>
      </w:r>
      <w:r>
        <w:rPr>
          <w:rFonts w:ascii="Times New Roman" w:hAnsi="Times New Roman" w:eastAsia="宋体" w:cs="宋体"/>
        </w:rPr>
        <w:tab/>
      </w:r>
      <w:r>
        <w:rPr>
          <w:rFonts w:ascii="Times New Roman" w:hAnsi="Times New Roman" w:eastAsia="宋体" w:cs="宋体"/>
        </w:rPr>
        <w:t>GHTF SG1 N70:2011：</w:t>
      </w:r>
      <w:r>
        <w:fldChar w:fldCharType="begin"/>
      </w:r>
      <w:r>
        <w:instrText xml:space="preserve"> HYPERLINK "http://www.imdrf.org/docs/ghtf/final/sg1/technical-docs/ghtf-sg1-n70-2011-label-instruction-use-medical-devices-110916.pdf" </w:instrText>
      </w:r>
      <w:r>
        <w:fldChar w:fldCharType="separate"/>
      </w:r>
      <w:r>
        <w:rPr>
          <w:rFonts w:ascii="Times New Roman" w:hAnsi="Times New Roman" w:eastAsia="宋体" w:cs="宋体"/>
          <w:i/>
          <w:snapToGrid w:val="0"/>
          <w:color w:val="0000FF"/>
          <w:u w:val="single"/>
        </w:rPr>
        <w:t xml:space="preserve">医疗器械的标签和使用说明书 </w:t>
      </w:r>
      <w:r>
        <w:rPr>
          <w:rFonts w:ascii="Times New Roman" w:hAnsi="Times New Roman" w:eastAsia="宋体" w:cs="宋体"/>
          <w:i/>
          <w:color w:val="0000FF"/>
          <w:u w:val="single"/>
        </w:rPr>
        <w:t>--</w:t>
      </w:r>
      <w:r>
        <w:rPr>
          <w:rFonts w:ascii="Times New Roman" w:hAnsi="Times New Roman" w:eastAsia="宋体" w:cs="宋体"/>
          <w:i/>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http://www.imdrforg/docs/</w:t>
      </w:r>
      <w:r>
        <w:rPr>
          <w:rFonts w:hint="eastAsia" w:ascii="Times New Roman" w:hAnsi="Times New Roman" w:eastAsia="宋体" w:cs="宋体"/>
          <w:i/>
          <w:lang w:eastAsia="zh-CN"/>
        </w:rPr>
        <w:t xml:space="preserve"> </w:t>
      </w:r>
      <w:r>
        <w:rPr>
          <w:rFonts w:ascii="Times New Roman" w:hAnsi="Times New Roman" w:eastAsia="宋体" w:cs="宋体"/>
          <w:i/>
        </w:rPr>
        <w:t>ghtffmal/sg1/technical-docs/ghtf-sg1-n70-2011-label-instruction-use-medical-devices-110916.pdf</w:t>
      </w:r>
    </w:p>
    <w:p w14:paraId="67A63BED">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15.</w:t>
      </w:r>
      <w:r>
        <w:rPr>
          <w:rFonts w:ascii="Times New Roman" w:hAnsi="Times New Roman" w:eastAsia="宋体" w:cs="宋体"/>
        </w:rPr>
        <w:tab/>
      </w:r>
      <w:r>
        <w:rPr>
          <w:rFonts w:ascii="Times New Roman" w:hAnsi="Times New Roman" w:eastAsia="宋体" w:cs="宋体"/>
        </w:rPr>
        <w:t>GHTF SG2 N79R11:2009：</w:t>
      </w:r>
      <w:r>
        <w:fldChar w:fldCharType="begin"/>
      </w:r>
      <w:r>
        <w:instrText xml:space="preserve"> HYPERLINK "http://www.imdrf.org/docs/ghtf/final/sg2/technical-docs/ghtf-sg2-n79r11-medical-devices-post-market-surveillance-090217.pdf" </w:instrText>
      </w:r>
      <w:r>
        <w:fldChar w:fldCharType="separate"/>
      </w:r>
      <w:r>
        <w:rPr>
          <w:rFonts w:ascii="Times New Roman" w:hAnsi="Times New Roman" w:eastAsia="宋体" w:cs="宋体"/>
          <w:i/>
          <w:snapToGrid w:val="0"/>
          <w:color w:val="0000FF"/>
          <w:u w:val="single"/>
        </w:rPr>
        <w:t>医疗器械：上市后监督：国家主管部门报告交换标准和报告格式</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http://www.imdrf.org/docs/ghtffinal/sg2/technical-docs/ghtf-sg2-n79r11-</w:t>
      </w:r>
      <w:r>
        <w:rPr>
          <w:rFonts w:hint="eastAsia" w:ascii="Times New Roman" w:hAnsi="Times New Roman" w:eastAsia="宋体" w:cs="宋体"/>
          <w:i/>
          <w:lang w:eastAsia="zh-CN"/>
        </w:rPr>
        <w:t xml:space="preserve"> </w:t>
      </w:r>
      <w:r>
        <w:rPr>
          <w:rFonts w:ascii="Times New Roman" w:hAnsi="Times New Roman" w:eastAsia="宋体" w:cs="宋体"/>
          <w:i/>
        </w:rPr>
        <w:t>medical-devices- post-market-surveillance-090217.pdf</w:t>
      </w:r>
    </w:p>
    <w:p w14:paraId="6F55EF7A">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16.</w:t>
      </w:r>
      <w:r>
        <w:rPr>
          <w:rFonts w:ascii="Times New Roman" w:hAnsi="Times New Roman" w:eastAsia="宋体" w:cs="宋体"/>
        </w:rPr>
        <w:tab/>
      </w:r>
      <w:r>
        <w:rPr>
          <w:rFonts w:ascii="Times New Roman" w:hAnsi="Times New Roman" w:eastAsia="宋体" w:cs="宋体"/>
        </w:rPr>
        <w:t>GHTF SG5 N8:2012：</w:t>
      </w:r>
      <w:r>
        <w:fldChar w:fldCharType="begin"/>
      </w:r>
      <w:r>
        <w:instrText xml:space="preserve"> HYPERLINK "http://www.imdrf.org/docs/ghtf/final/sg5/technical-docs/ghtf-sg5-n8-2012-clinical-performance-studies-ivd-medical-devices-121102.pdf" </w:instrText>
      </w:r>
      <w:r>
        <w:fldChar w:fldCharType="separate"/>
      </w:r>
      <w:r>
        <w:rPr>
          <w:rFonts w:ascii="Times New Roman" w:hAnsi="Times New Roman" w:eastAsia="宋体" w:cs="宋体"/>
          <w:i/>
          <w:snapToGrid w:val="0"/>
          <w:color w:val="0000FF"/>
          <w:u w:val="single"/>
        </w:rPr>
        <w:t>体外诊断医疗器械的临床证据 - 体外诊断医疗器械的临床性能研究</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http://www.imdrf.org/docs/ghtffinal/sg5/technical-docs/ghtf-sg5-n8-2012-</w:t>
      </w:r>
      <w:r>
        <w:rPr>
          <w:rFonts w:hint="eastAsia" w:ascii="Times New Roman" w:hAnsi="Times New Roman" w:eastAsia="宋体" w:cs="宋体"/>
          <w:i/>
          <w:lang w:eastAsia="zh-CN"/>
        </w:rPr>
        <w:t xml:space="preserve"> </w:t>
      </w:r>
      <w:r>
        <w:rPr>
          <w:rFonts w:ascii="Times New Roman" w:hAnsi="Times New Roman" w:eastAsia="宋体" w:cs="宋体"/>
          <w:i/>
        </w:rPr>
        <w:t>clinical- performance-studies-ivd-medical-devices-121102.pdf</w:t>
      </w:r>
    </w:p>
    <w:p w14:paraId="4ED1093D">
      <w:pPr>
        <w:adjustRightInd w:val="0"/>
        <w:snapToGrid w:val="0"/>
        <w:spacing w:before="120" w:beforeLines="50" w:line="300" w:lineRule="auto"/>
        <w:jc w:val="both"/>
        <w:rPr>
          <w:rFonts w:ascii="Times New Roman" w:hAnsi="Times New Roman" w:eastAsia="宋体" w:cs="Times New Roman"/>
          <w:snapToGrid w:val="0"/>
          <w:lang w:eastAsia="zh-CN"/>
        </w:rPr>
      </w:pPr>
      <w:r>
        <w:rPr>
          <w:rFonts w:ascii="Times New Roman" w:hAnsi="Times New Roman" w:eastAsia="宋体" w:cs="宋体"/>
          <w:b/>
          <w:lang w:eastAsia="zh-CN"/>
        </w:rPr>
        <w:t>国际标准：</w:t>
      </w:r>
    </w:p>
    <w:p w14:paraId="445C54FB">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17.</w:t>
      </w:r>
      <w:r>
        <w:rPr>
          <w:rFonts w:ascii="Times New Roman" w:hAnsi="Times New Roman" w:eastAsia="宋体" w:cs="宋体"/>
          <w:lang w:eastAsia="zh-CN"/>
        </w:rPr>
        <w:tab/>
      </w:r>
      <w:r>
        <w:rPr>
          <w:rFonts w:ascii="Times New Roman" w:hAnsi="Times New Roman" w:eastAsia="宋体" w:cs="宋体"/>
          <w:lang w:eastAsia="zh-CN"/>
        </w:rPr>
        <w:t>ISO 14155:2011：</w:t>
      </w:r>
      <w:r>
        <w:fldChar w:fldCharType="begin"/>
      </w:r>
      <w:r>
        <w:instrText xml:space="preserve"> HYPERLINK "http://www.iso.org/iso/home/store/catalogue_ics/catalogue_detail_ics.htm?csnumber=45557" </w:instrText>
      </w:r>
      <w:r>
        <w:fldChar w:fldCharType="separate"/>
      </w:r>
      <w:r>
        <w:rPr>
          <w:rFonts w:ascii="Times New Roman" w:hAnsi="Times New Roman" w:eastAsia="宋体" w:cs="宋体"/>
          <w:i/>
          <w:iCs/>
          <w:snapToGrid w:val="0"/>
          <w:color w:val="0000FF"/>
          <w:u w:val="single"/>
          <w:lang w:eastAsia="zh-CN"/>
        </w:rPr>
        <w:t>人类受试者用医疗器械的临床研究</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u w:val="single"/>
          <w:lang w:eastAsia="zh-CN"/>
        </w:rPr>
        <w:t xml:space="preserve"> -- </w:t>
      </w:r>
      <w:r>
        <w:fldChar w:fldCharType="begin"/>
      </w:r>
      <w:r>
        <w:instrText xml:space="preserve"> HYPERLINK "http://www.iso.org/iso/home/store/catalogue_ics/catalogue_detail_ics.htm?csnumber=45557" </w:instrText>
      </w:r>
      <w:r>
        <w:fldChar w:fldCharType="separate"/>
      </w:r>
      <w:r>
        <w:rPr>
          <w:rFonts w:ascii="Times New Roman" w:hAnsi="Times New Roman" w:eastAsia="宋体" w:cs="宋体"/>
          <w:i/>
          <w:iCs/>
          <w:snapToGrid w:val="0"/>
          <w:color w:val="0000FF"/>
          <w:u w:val="single"/>
          <w:lang w:eastAsia="zh-CN"/>
        </w:rPr>
        <w:t>临</w:t>
      </w:r>
      <w:r>
        <w:rPr>
          <w:rFonts w:ascii="Times New Roman" w:hAnsi="Times New Roman" w:eastAsia="宋体" w:cs="宋体"/>
          <w:i/>
          <w:iCs/>
          <w:snapToGrid w:val="0"/>
          <w:color w:val="0000FF"/>
          <w:u w:val="single"/>
          <w:lang w:eastAsia="zh-CN"/>
        </w:rPr>
        <w:fldChar w:fldCharType="end"/>
      </w:r>
      <w:r>
        <w:fldChar w:fldCharType="begin"/>
      </w:r>
      <w:r>
        <w:instrText xml:space="preserve"> HYPERLINK "http://www.iso.org/iso/home/store/catalogue_ics/catalogue_detail_ics.htm?csnumber=45557" </w:instrText>
      </w:r>
      <w:r>
        <w:fldChar w:fldCharType="separate"/>
      </w:r>
      <w:r>
        <w:rPr>
          <w:rFonts w:ascii="Times New Roman" w:hAnsi="Times New Roman" w:eastAsia="宋体" w:cs="宋体"/>
          <w:i/>
          <w:iCs/>
          <w:snapToGrid w:val="0"/>
          <w:color w:val="0000FF"/>
          <w:u w:val="single"/>
          <w:lang w:eastAsia="zh-CN"/>
        </w:rPr>
        <w:t>床试验质量管理规</w:t>
      </w:r>
      <w:r>
        <w:rPr>
          <w:rFonts w:ascii="Times New Roman" w:hAnsi="Times New Roman" w:eastAsia="宋体" w:cs="宋体"/>
          <w:i/>
          <w:iCs/>
          <w:snapToGrid w:val="0"/>
          <w:color w:val="0000FF"/>
          <w:u w:val="single"/>
          <w:lang w:eastAsia="zh-CN"/>
        </w:rPr>
        <w:fldChar w:fldCharType="end"/>
      </w:r>
      <w:r>
        <w:fldChar w:fldCharType="begin"/>
      </w:r>
      <w:r>
        <w:instrText xml:space="preserve"> HYPERLINK "http://www.iso.org/iso/home/store/catalogue_ics/catalogue_detail_ics.htm?csnumber=45557" </w:instrText>
      </w:r>
      <w:r>
        <w:fldChar w:fldCharType="separate"/>
      </w:r>
      <w:r>
        <w:rPr>
          <w:rFonts w:ascii="Times New Roman" w:hAnsi="Times New Roman" w:eastAsia="宋体" w:cs="宋体"/>
          <w:i/>
          <w:iCs/>
          <w:snapToGrid w:val="0"/>
          <w:color w:val="0000FF"/>
          <w:u w:val="single"/>
          <w:lang w:eastAsia="zh-CN"/>
        </w:rPr>
        <w:t>范</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 xml:space="preserve"> </w:t>
      </w:r>
      <w:r>
        <w:fldChar w:fldCharType="begin"/>
      </w:r>
      <w:r>
        <w:instrText xml:space="preserve"> HYPERLINK "http://www.iso.org/iso/home/store/catalogue_ics/catalogue_detail_ics.htm?csnumber=45557" </w:instrText>
      </w:r>
      <w:r>
        <w:fldChar w:fldCharType="separate"/>
      </w:r>
      <w:r>
        <w:rPr>
          <w:rFonts w:ascii="Times New Roman" w:hAnsi="Times New Roman" w:eastAsia="宋体" w:cs="宋体"/>
          <w:i/>
          <w:iCs/>
          <w:snapToGrid w:val="0"/>
          <w:lang w:eastAsia="zh-CN"/>
        </w:rPr>
        <w:t>http://www.iso.org/iso/home/store/catalogue_ics/catalogue_detail_ics.htm?csnumber=45557</w:t>
      </w:r>
      <w:r>
        <w:rPr>
          <w:rFonts w:ascii="Times New Roman" w:hAnsi="Times New Roman" w:eastAsia="宋体" w:cs="宋体"/>
          <w:i/>
          <w:iCs/>
          <w:snapToGrid w:val="0"/>
          <w:lang w:eastAsia="zh-CN"/>
        </w:rPr>
        <w:fldChar w:fldCharType="end"/>
      </w:r>
    </w:p>
    <w:p w14:paraId="253509A3">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18.</w:t>
      </w:r>
      <w:r>
        <w:rPr>
          <w:rFonts w:ascii="Times New Roman" w:hAnsi="Times New Roman" w:eastAsia="宋体" w:cs="宋体"/>
          <w:lang w:eastAsia="zh-CN"/>
        </w:rPr>
        <w:tab/>
      </w:r>
      <w:r>
        <w:rPr>
          <w:rFonts w:ascii="Times New Roman" w:hAnsi="Times New Roman" w:eastAsia="宋体" w:cs="宋体"/>
          <w:lang w:eastAsia="zh-CN"/>
        </w:rPr>
        <w:t>ISO 14971:2007：</w:t>
      </w:r>
      <w:r>
        <w:fldChar w:fldCharType="begin"/>
      </w:r>
      <w:r>
        <w:instrText xml:space="preserve"> HYPERLINK "http://www.iso.org/iso/en/CatalogueDetailPage.CatalogueDetail?CSNUMBER=31550&amp;ICS1=11&amp;ICS2=40&amp;ICS3=1" </w:instrText>
      </w:r>
      <w:r>
        <w:fldChar w:fldCharType="separate"/>
      </w:r>
      <w:r>
        <w:rPr>
          <w:rFonts w:ascii="Times New Roman" w:hAnsi="Times New Roman" w:eastAsia="宋体" w:cs="宋体"/>
          <w:i/>
          <w:snapToGrid w:val="0"/>
          <w:color w:val="0000FF"/>
          <w:u w:val="single"/>
          <w:lang w:eastAsia="zh-CN"/>
        </w:rPr>
        <w:t>风险管理对医疗器械的应用</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http://www.iso.org/iso/en/</w:t>
      </w:r>
      <w:r>
        <w:rPr>
          <w:rFonts w:hint="eastAsia" w:ascii="Times New Roman" w:hAnsi="Times New Roman" w:eastAsia="宋体" w:cs="宋体"/>
          <w:i/>
          <w:lang w:eastAsia="zh-CN"/>
        </w:rPr>
        <w:t xml:space="preserve"> </w:t>
      </w:r>
      <w:r>
        <w:rPr>
          <w:rFonts w:ascii="Times New Roman" w:hAnsi="Times New Roman" w:eastAsia="宋体" w:cs="宋体"/>
          <w:i/>
          <w:lang w:eastAsia="zh-CN"/>
        </w:rPr>
        <w:t>CatalogueDetailPage.CatalogueDetail?CSNUMBER=31550&amp;ICS1=11&amp;ICS2=40&amp;ICS3=1</w:t>
      </w:r>
    </w:p>
    <w:p w14:paraId="7EBF6DA1">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19.</w:t>
      </w:r>
      <w:r>
        <w:rPr>
          <w:rFonts w:ascii="Times New Roman" w:hAnsi="Times New Roman" w:eastAsia="宋体" w:cs="宋体"/>
        </w:rPr>
        <w:tab/>
      </w:r>
      <w:r>
        <w:rPr>
          <w:rFonts w:ascii="Times New Roman" w:hAnsi="Times New Roman" w:eastAsia="宋体" w:cs="宋体"/>
        </w:rPr>
        <w:t>ISO 62304/A1: 2015：</w:t>
      </w:r>
      <w:r>
        <w:fldChar w:fldCharType="begin"/>
      </w:r>
      <w:r>
        <w:instrText xml:space="preserve"> HYPERLINK "https://www.iso.org/standard/64686.html" </w:instrText>
      </w:r>
      <w:r>
        <w:fldChar w:fldCharType="separate"/>
      </w:r>
      <w:r>
        <w:rPr>
          <w:rFonts w:ascii="Times New Roman" w:hAnsi="Times New Roman" w:eastAsia="宋体" w:cs="宋体"/>
          <w:i/>
          <w:snapToGrid w:val="0"/>
          <w:color w:val="0000FF"/>
          <w:u w:val="single"/>
        </w:rPr>
        <w:t>医疗器械独立软件</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fldChar w:fldCharType="begin"/>
      </w:r>
      <w:r>
        <w:instrText xml:space="preserve"> HYPERLINK "https://www.iso.org/standard/64686.html" </w:instrText>
      </w:r>
      <w:r>
        <w:fldChar w:fldCharType="separate"/>
      </w:r>
      <w:r>
        <w:rPr>
          <w:rFonts w:ascii="Times New Roman" w:hAnsi="Times New Roman" w:eastAsia="宋体" w:cs="宋体"/>
          <w:i/>
          <w:snapToGrid w:val="0"/>
          <w:color w:val="0000FF"/>
          <w:u w:val="single"/>
        </w:rPr>
        <w:t>-- 软</w:t>
      </w:r>
      <w:r>
        <w:rPr>
          <w:rFonts w:ascii="Times New Roman" w:hAnsi="Times New Roman" w:eastAsia="宋体" w:cs="宋体"/>
          <w:i/>
          <w:snapToGrid w:val="0"/>
          <w:color w:val="0000FF"/>
          <w:u w:val="single"/>
        </w:rPr>
        <w:fldChar w:fldCharType="end"/>
      </w:r>
      <w:r>
        <w:fldChar w:fldCharType="begin"/>
      </w:r>
      <w:r>
        <w:instrText xml:space="preserve"> HYPERLINK "https://www.iso.org/standard/64686.html" </w:instrText>
      </w:r>
      <w:r>
        <w:fldChar w:fldCharType="separate"/>
      </w:r>
      <w:r>
        <w:rPr>
          <w:rFonts w:ascii="Times New Roman" w:hAnsi="Times New Roman" w:eastAsia="宋体" w:cs="宋体"/>
          <w:i/>
          <w:snapToGrid w:val="0"/>
          <w:color w:val="0000FF"/>
          <w:u w:val="single"/>
        </w:rPr>
        <w:t>件生存周期过程</w:t>
      </w:r>
      <w:r>
        <w:rPr>
          <w:rFonts w:ascii="Times New Roman" w:hAnsi="Times New Roman" w:eastAsia="宋体" w:cs="宋体"/>
          <w:i/>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i/>
        </w:rPr>
        <w:t>https://www.iso.org/</w:t>
      </w:r>
      <w:r>
        <w:rPr>
          <w:rFonts w:hint="eastAsia" w:ascii="Times New Roman" w:hAnsi="Times New Roman" w:eastAsia="宋体" w:cs="宋体"/>
          <w:i/>
          <w:lang w:eastAsia="zh-CN"/>
        </w:rPr>
        <w:t xml:space="preserve"> </w:t>
      </w:r>
      <w:r>
        <w:rPr>
          <w:rFonts w:ascii="Times New Roman" w:hAnsi="Times New Roman" w:eastAsia="宋体" w:cs="宋体"/>
          <w:i/>
        </w:rPr>
        <w:t>standard/64686.html</w:t>
      </w:r>
    </w:p>
    <w:p w14:paraId="10DDBB44">
      <w:pPr>
        <w:adjustRightInd w:val="0"/>
        <w:snapToGrid w:val="0"/>
        <w:spacing w:before="120" w:beforeLines="50" w:line="300" w:lineRule="auto"/>
        <w:ind w:left="480" w:hanging="480" w:hangingChars="200"/>
        <w:jc w:val="both"/>
        <w:rPr>
          <w:rFonts w:ascii="Times New Roman" w:hAnsi="Times New Roman" w:eastAsia="宋体" w:cs="Times New Roman"/>
          <w:snapToGrid w:val="0"/>
        </w:rPr>
      </w:pPr>
      <w:r>
        <w:rPr>
          <w:rFonts w:ascii="Times New Roman" w:hAnsi="Times New Roman" w:eastAsia="宋体" w:cs="宋体"/>
        </w:rPr>
        <w:t>20.</w:t>
      </w:r>
      <w:r>
        <w:rPr>
          <w:rFonts w:ascii="Times New Roman" w:hAnsi="Times New Roman" w:eastAsia="宋体" w:cs="宋体"/>
        </w:rPr>
        <w:tab/>
      </w:r>
      <w:r>
        <w:rPr>
          <w:rFonts w:ascii="Times New Roman" w:hAnsi="Times New Roman" w:eastAsia="宋体" w:cs="宋体"/>
        </w:rPr>
        <w:t>IEC 62366-1:2015：</w:t>
      </w:r>
      <w:r>
        <w:fldChar w:fldCharType="begin"/>
      </w:r>
      <w:r>
        <w:instrText xml:space="preserve"> HYPERLINK "https://www.iso.org/standard/63179.html" </w:instrText>
      </w:r>
      <w:r>
        <w:fldChar w:fldCharType="separate"/>
      </w:r>
      <w:r>
        <w:rPr>
          <w:rFonts w:ascii="Times New Roman" w:hAnsi="Times New Roman" w:eastAsia="宋体" w:cs="宋体"/>
          <w:i/>
          <w:iCs/>
          <w:snapToGrid w:val="0"/>
          <w:color w:val="0000FF"/>
          <w:u w:val="single"/>
        </w:rPr>
        <w:t>医疗器械 - 第1部分：可用性工程对医疗器械的应用</w:t>
      </w:r>
      <w:r>
        <w:rPr>
          <w:rFonts w:ascii="Times New Roman" w:hAnsi="Times New Roman" w:eastAsia="宋体" w:cs="宋体"/>
          <w:i/>
          <w:iCs/>
          <w:snapToGrid w:val="0"/>
          <w:color w:val="0000FF"/>
          <w:u w:val="single"/>
        </w:rPr>
        <w:fldChar w:fldCharType="end"/>
      </w:r>
      <w:r>
        <w:rPr>
          <w:rFonts w:ascii="Times New Roman" w:hAnsi="Times New Roman" w:eastAsia="宋体" w:cs="宋体"/>
          <w:i/>
          <w:color w:val="0000FF"/>
          <w:u w:val="single"/>
        </w:rPr>
        <w:t xml:space="preserve"> --</w:t>
      </w:r>
      <w:r>
        <w:rPr>
          <w:rFonts w:ascii="Times New Roman" w:hAnsi="Times New Roman" w:eastAsia="宋体" w:cs="宋体"/>
        </w:rPr>
        <w:t xml:space="preserve"> </w:t>
      </w:r>
      <w:r>
        <w:rPr>
          <w:rFonts w:ascii="Times New Roman" w:hAnsi="Times New Roman" w:eastAsia="宋体" w:cs="宋体"/>
          <w:i/>
        </w:rPr>
        <w:t>https: www.iso.org standard631 79.html</w:t>
      </w:r>
    </w:p>
    <w:p w14:paraId="2565EA42">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t>21.</w:t>
      </w:r>
      <w:r>
        <w:rPr>
          <w:rFonts w:ascii="Times New Roman" w:hAnsi="Times New Roman" w:eastAsia="宋体" w:cs="宋体"/>
          <w:lang w:eastAsia="zh-CN"/>
        </w:rPr>
        <w:tab/>
      </w:r>
      <w:r>
        <w:rPr>
          <w:rFonts w:ascii="Times New Roman" w:hAnsi="Times New Roman" w:eastAsia="宋体" w:cs="宋体"/>
          <w:i/>
          <w:lang w:eastAsia="zh-CN"/>
        </w:rPr>
        <w:t>IEC 80002-1:2009：</w:t>
      </w:r>
      <w:r>
        <w:fldChar w:fldCharType="begin"/>
      </w:r>
      <w:r>
        <w:instrText xml:space="preserve"> HYPERLINK "http://www.iso.org/iso/iso_catalogue/catalogue_tc/catalogue_detail.htm?csnumber=54146" </w:instrText>
      </w:r>
      <w:r>
        <w:fldChar w:fldCharType="separate"/>
      </w:r>
      <w:r>
        <w:rPr>
          <w:rFonts w:ascii="Times New Roman" w:hAnsi="Times New Roman" w:eastAsia="宋体" w:cs="宋体"/>
          <w:i/>
          <w:iCs/>
          <w:snapToGrid w:val="0"/>
          <w:color w:val="0000FF"/>
          <w:u w:val="single"/>
          <w:lang w:eastAsia="zh-CN"/>
        </w:rPr>
        <w:t>医疗器械独立软件</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u w:val="single"/>
          <w:lang w:eastAsia="zh-CN"/>
        </w:rPr>
        <w:t>--</w:t>
      </w:r>
      <w:r>
        <w:fldChar w:fldCharType="begin"/>
      </w:r>
      <w:r>
        <w:instrText xml:space="preserve"> HYPERLINK "http://www.iso.org/iso/iso_catalogue/catalogue_tc/catalogue_detail.htm?csnumber=54146" </w:instrText>
      </w:r>
      <w:r>
        <w:fldChar w:fldCharType="separate"/>
      </w:r>
      <w:r>
        <w:rPr>
          <w:rFonts w:ascii="Times New Roman" w:hAnsi="Times New Roman" w:eastAsia="宋体" w:cs="宋体"/>
          <w:i/>
          <w:iCs/>
          <w:snapToGrid w:val="0"/>
          <w:color w:val="0000FF"/>
          <w:u w:val="single"/>
          <w:lang w:eastAsia="zh-CN"/>
        </w:rPr>
        <w:t>第1部分：ISO 14971应用于医疗器械独立软件的指南</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color w:val="0000FF"/>
          <w:u w:val="single"/>
          <w:lang w:eastAsia="zh-CN"/>
        </w:rPr>
        <w:t xml:space="preserve"> -- </w:t>
      </w:r>
      <w:r>
        <w:rPr>
          <w:rFonts w:ascii="Times New Roman" w:hAnsi="Times New Roman" w:eastAsia="宋体" w:cs="宋体"/>
          <w:i/>
          <w:lang w:eastAsia="zh-CN"/>
        </w:rPr>
        <w:t>http://www.iso.org/iso/iso_catalogue/catalogue_tc/catalogue_detail.htm?csnumber</w:t>
      </w:r>
      <w:r>
        <w:rPr>
          <w:rFonts w:hint="eastAsia" w:ascii="Times New Roman" w:hAnsi="Times New Roman" w:eastAsia="宋体" w:cs="宋体"/>
          <w:i/>
          <w:lang w:eastAsia="zh-CN"/>
        </w:rPr>
        <w:t xml:space="preserve"> </w:t>
      </w:r>
      <w:r>
        <w:rPr>
          <w:rFonts w:ascii="Times New Roman" w:hAnsi="Times New Roman" w:eastAsia="宋体" w:cs="宋体"/>
          <w:i/>
          <w:lang w:eastAsia="zh-CN"/>
        </w:rPr>
        <w:t>=54146</w:t>
      </w:r>
    </w:p>
    <w:p w14:paraId="51D8B58D">
      <w:pPr>
        <w:adjustRightInd w:val="0"/>
        <w:snapToGrid w:val="0"/>
        <w:spacing w:before="120" w:beforeLines="50" w:line="300" w:lineRule="auto"/>
        <w:ind w:left="480" w:hanging="480" w:hangingChars="200"/>
        <w:jc w:val="both"/>
        <w:rPr>
          <w:rFonts w:ascii="Times New Roman" w:hAnsi="Times New Roman" w:eastAsia="宋体" w:cs="宋体"/>
          <w:i/>
          <w:lang w:eastAsia="zh-CN"/>
        </w:rPr>
      </w:pPr>
      <w:r>
        <w:rPr>
          <w:rFonts w:ascii="Times New Roman" w:hAnsi="Times New Roman" w:eastAsia="宋体" w:cs="宋体"/>
          <w:lang w:eastAsia="zh-CN"/>
        </w:rPr>
        <w:t>22.</w:t>
      </w:r>
      <w:r>
        <w:rPr>
          <w:rFonts w:ascii="Times New Roman" w:hAnsi="Times New Roman" w:eastAsia="宋体" w:cs="宋体"/>
          <w:lang w:eastAsia="zh-CN"/>
        </w:rPr>
        <w:tab/>
      </w:r>
      <w:r>
        <w:rPr>
          <w:rFonts w:ascii="Times New Roman" w:hAnsi="Times New Roman" w:eastAsia="宋体" w:cs="宋体"/>
          <w:i/>
          <w:lang w:eastAsia="zh-CN"/>
        </w:rPr>
        <w:t>ISO 82304-1:2016：</w:t>
      </w:r>
      <w:r>
        <w:fldChar w:fldCharType="begin"/>
      </w:r>
      <w:r>
        <w:instrText xml:space="preserve"> HYPERLINK "https://www.iso.org/standard/59543.html" </w:instrText>
      </w:r>
      <w:r>
        <w:fldChar w:fldCharType="separate"/>
      </w:r>
      <w:r>
        <w:rPr>
          <w:rFonts w:ascii="Times New Roman" w:hAnsi="Times New Roman" w:eastAsia="宋体" w:cs="宋体"/>
          <w:i/>
          <w:iCs/>
          <w:snapToGrid w:val="0"/>
          <w:color w:val="0000FF"/>
          <w:u w:val="single"/>
          <w:lang w:eastAsia="zh-CN"/>
        </w:rPr>
        <w:t>健康软件</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fldChar w:fldCharType="begin"/>
      </w:r>
      <w:r>
        <w:instrText xml:space="preserve"> HYPERLINK "https://www.iso.org/standard/59543.html" </w:instrText>
      </w:r>
      <w:r>
        <w:fldChar w:fldCharType="separate"/>
      </w:r>
      <w:r>
        <w:rPr>
          <w:rFonts w:ascii="Times New Roman" w:hAnsi="Times New Roman" w:eastAsia="宋体" w:cs="宋体"/>
          <w:i/>
          <w:iCs/>
          <w:snapToGrid w:val="0"/>
          <w:color w:val="0000FF"/>
          <w:u w:val="single"/>
          <w:lang w:eastAsia="zh-CN"/>
        </w:rPr>
        <w:t>第1部分：产品安全通用要求</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color w:val="0000FF"/>
          <w:u w:val="single"/>
          <w:lang w:eastAsia="zh-CN"/>
        </w:rPr>
        <w:t xml:space="preserve">-- </w:t>
      </w:r>
      <w:r>
        <w:rPr>
          <w:rFonts w:ascii="Times New Roman" w:hAnsi="Times New Roman" w:eastAsia="宋体" w:cs="宋体"/>
          <w:i/>
          <w:lang w:eastAsia="zh-CN"/>
        </w:rPr>
        <w:t>https://www.iso.org/</w:t>
      </w:r>
      <w:r>
        <w:rPr>
          <w:rFonts w:hint="eastAsia" w:ascii="Times New Roman" w:hAnsi="Times New Roman" w:eastAsia="宋体" w:cs="宋体"/>
          <w:i/>
          <w:lang w:eastAsia="zh-CN"/>
        </w:rPr>
        <w:t xml:space="preserve"> </w:t>
      </w:r>
      <w:r>
        <w:rPr>
          <w:rFonts w:ascii="Times New Roman" w:hAnsi="Times New Roman" w:eastAsia="宋体" w:cs="宋体"/>
          <w:i/>
          <w:lang w:eastAsia="zh-CN"/>
        </w:rPr>
        <w:t>standard/59543.html</w:t>
      </w:r>
    </w:p>
    <w:p w14:paraId="01B9B852">
      <w:pPr>
        <w:adjustRightInd w:val="0"/>
        <w:snapToGrid w:val="0"/>
        <w:spacing w:before="120" w:beforeLines="50" w:line="300" w:lineRule="auto"/>
        <w:ind w:left="480" w:hanging="480" w:hangingChars="200"/>
        <w:jc w:val="both"/>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4CE0C9F3">
      <w:pPr>
        <w:pStyle w:val="36"/>
        <w:rPr>
          <w:rFonts w:eastAsia="宋体"/>
          <w:lang w:eastAsia="zh-CN"/>
        </w:rPr>
      </w:pPr>
      <w:bookmarkStart w:id="21" w:name="_Toc92183900"/>
      <w:r>
        <w:rPr>
          <w:rFonts w:eastAsia="宋体" w:cs="宋体"/>
          <w:lang w:eastAsia="zh-CN"/>
        </w:rPr>
        <w:t>术语表</w:t>
      </w:r>
      <w:bookmarkEnd w:id="21"/>
    </w:p>
    <w:p w14:paraId="66B056E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算法 --</w:t>
      </w:r>
      <w:r>
        <w:rPr>
          <w:rFonts w:ascii="Times New Roman" w:hAnsi="Times New Roman" w:eastAsia="宋体" w:cs="宋体"/>
          <w:lang w:eastAsia="zh-CN"/>
        </w:rPr>
        <w:t xml:space="preserve"> 一组有限的指令（或规则），针对问题集的所有问题实例定义了解决特定计算问题的操作序列。</w:t>
      </w:r>
    </w:p>
    <w:p w14:paraId="1602D4C8">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分析确认 --</w:t>
      </w:r>
      <w:r>
        <w:rPr>
          <w:rFonts w:ascii="Times New Roman" w:hAnsi="Times New Roman" w:eastAsia="宋体" w:cs="宋体"/>
          <w:lang w:eastAsia="zh-CN"/>
        </w:rPr>
        <w:t xml:space="preserve"> 衡量SaMD根据输入数据准确、可靠生成预期技术输出的能力。</w:t>
      </w:r>
    </w:p>
    <w:p w14:paraId="05A9AF9D">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基本程控 -- </w:t>
      </w:r>
      <w:r>
        <w:rPr>
          <w:rFonts w:ascii="Times New Roman" w:hAnsi="Times New Roman" w:eastAsia="宋体" w:cs="宋体"/>
          <w:lang w:eastAsia="zh-CN"/>
        </w:rPr>
        <w:t>用于创建计算机程序的问题解决过程。</w:t>
      </w:r>
    </w:p>
    <w:p w14:paraId="59C2BAED">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声明 -- </w:t>
      </w:r>
      <w:r>
        <w:rPr>
          <w:rFonts w:ascii="Times New Roman" w:hAnsi="Times New Roman" w:eastAsia="宋体" w:cs="宋体"/>
          <w:lang w:eastAsia="zh-CN"/>
        </w:rPr>
        <w:t>注册人在技术规范、使用说明书及相关信息中提供的关于产品使用、过程或服务的客观目的。</w:t>
      </w:r>
    </w:p>
    <w:p w14:paraId="1E8A0C56">
      <w:pPr>
        <w:adjustRightInd w:val="0"/>
        <w:snapToGrid w:val="0"/>
        <w:spacing w:before="120" w:beforeLines="50" w:line="300" w:lineRule="auto"/>
        <w:ind w:left="708" w:leftChars="295"/>
        <w:jc w:val="both"/>
        <w:rPr>
          <w:rFonts w:ascii="Times New Roman" w:hAnsi="Times New Roman" w:eastAsia="宋体" w:cs="Times New Roman"/>
          <w:i/>
          <w:iCs/>
          <w:snapToGrid w:val="0"/>
          <w:lang w:eastAsia="zh-CN"/>
        </w:rPr>
      </w:pPr>
      <w:r>
        <w:rPr>
          <w:rFonts w:ascii="Times New Roman" w:hAnsi="Times New Roman" w:eastAsia="宋体" w:cs="宋体"/>
          <w:i/>
          <w:lang w:eastAsia="zh-CN"/>
        </w:rPr>
        <w:t>（另请参见预期用途/目的）</w:t>
      </w:r>
    </w:p>
    <w:p w14:paraId="31080AD9">
      <w:pPr>
        <w:adjustRightInd w:val="0"/>
        <w:snapToGrid w:val="0"/>
        <w:spacing w:before="120" w:beforeLines="50" w:line="300" w:lineRule="auto"/>
        <w:ind w:left="708" w:leftChars="295"/>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"http://www.imdrf.org/docs/ghtf/final/sg1/technical-docs/ghtf-sg1-n68-2012-safety-performance-medical-devices-121102.pdf" </w:instrText>
      </w:r>
      <w:r>
        <w:fldChar w:fldCharType="separate"/>
      </w:r>
      <w:r>
        <w:rPr>
          <w:rFonts w:ascii="Times New Roman" w:hAnsi="Times New Roman" w:eastAsia="宋体" w:cs="宋体"/>
          <w:i/>
          <w:snapToGrid w:val="0"/>
          <w:color w:val="0000FF"/>
          <w:u w:val="single"/>
          <w:lang w:eastAsia="zh-CN"/>
        </w:rPr>
        <w:t>G</w:t>
      </w:r>
      <w:r>
        <w:rPr>
          <w:rFonts w:ascii="Times New Roman" w:hAnsi="Times New Roman" w:eastAsia="宋体" w:cs="宋体"/>
          <w:i/>
          <w:snapToGrid w:val="0"/>
          <w:color w:val="0000FF"/>
          <w:u w:val="single"/>
          <w:lang w:eastAsia="zh-CN"/>
        </w:rPr>
        <w:fldChar w:fldCharType="end"/>
      </w:r>
      <w:r>
        <w:fldChar w:fldCharType="begin"/>
      </w:r>
      <w:r>
        <w:instrText xml:space="preserve"> HYPERLINK "http://www.imdrf.org/docs/ghtf/final/sg1/technical-docs/ghtf-sg1-n68-2012-safety-performance-medical-devices-121102.pdf" </w:instrText>
      </w:r>
      <w:r>
        <w:fldChar w:fldCharType="separate"/>
      </w:r>
      <w:r>
        <w:rPr>
          <w:rFonts w:ascii="Times New Roman" w:hAnsi="Times New Roman" w:eastAsia="宋体" w:cs="宋体"/>
          <w:i/>
          <w:snapToGrid w:val="0"/>
          <w:color w:val="0000FF"/>
          <w:u w:val="single"/>
          <w:lang w:eastAsia="zh-CN"/>
        </w:rPr>
        <w:t>HTF SG1 N68:2012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[12]</w:t>
      </w:r>
      <w:r>
        <w:rPr>
          <w:rFonts w:ascii="Times New Roman" w:hAnsi="Times New Roman" w:eastAsia="宋体" w:cs="宋体"/>
          <w:lang w:eastAsia="zh-CN"/>
        </w:rPr>
        <w:t>第4.0节</w:t>
      </w:r>
    </w:p>
    <w:p w14:paraId="1C94E4E0">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临床关联 --</w:t>
      </w:r>
      <w:r>
        <w:rPr>
          <w:rFonts w:ascii="Times New Roman" w:hAnsi="Times New Roman" w:eastAsia="宋体" w:cs="宋体"/>
          <w:lang w:eastAsia="zh-CN"/>
        </w:rPr>
        <w:t xml:space="preserve"> 指SaMD的输出（概念、结论、衡量结果）在临床上被接受或有充分依据（存在已确立的科学框架或证据主体）的程度，并在真实世界应用中与SaMD定义声明中确定的医疗情况和临床状况准确对应。</w:t>
      </w:r>
    </w:p>
    <w:p w14:paraId="171D2824">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（另请参见科学有效性）</w:t>
      </w:r>
    </w:p>
    <w:p w14:paraId="54999A7C">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临床考虑因素 --</w:t>
      </w:r>
      <w:r>
        <w:rPr>
          <w:rFonts w:ascii="Times New Roman" w:hAnsi="Times New Roman" w:eastAsia="宋体" w:cs="宋体"/>
          <w:lang w:eastAsia="zh-CN"/>
        </w:rPr>
        <w:t xml:space="preserve"> 可能增加或减少对患者造成危险情况的可能性的方面。</w:t>
      </w:r>
    </w:p>
    <w:p w14:paraId="23C863BC">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第4.0节和第9.1节</w:t>
      </w:r>
    </w:p>
    <w:p w14:paraId="59A6F139">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临床数据 -- </w:t>
      </w:r>
      <w:r>
        <w:rPr>
          <w:rFonts w:ascii="Times New Roman" w:hAnsi="Times New Roman" w:eastAsia="宋体" w:cs="宋体"/>
          <w:lang w:eastAsia="zh-CN"/>
        </w:rPr>
        <w:t>医疗器械的临床应用生成的安全性和/或性能信息。</w:t>
      </w:r>
    </w:p>
    <w:p w14:paraId="7480EDF2">
      <w:pPr>
        <w:adjustRightInd w:val="0"/>
        <w:snapToGrid w:val="0"/>
        <w:spacing w:before="120" w:beforeLines="50" w:line="300" w:lineRule="auto"/>
        <w:ind w:left="717" w:leftChars="295" w:hanging="9" w:hangingChars="4"/>
        <w:jc w:val="both"/>
        <w:rPr>
          <w:rFonts w:ascii="Times New Roman" w:hAnsi="Times New Roman" w:eastAsia="宋体" w:cs="Times New Roman"/>
          <w:i/>
          <w:snapToGrid w:val="0"/>
          <w:color w:val="0000FF"/>
          <w:u w:val="single"/>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"http://www.imdrf.org/docs/ghtf/final/sg5/technical-docs/ghtf-sg5-n1r8-clinical-evaluation-key-definitions-070501.pdf" </w:instrText>
      </w:r>
      <w:r>
        <w:fldChar w:fldCharType="separate"/>
      </w:r>
      <w:r>
        <w:rPr>
          <w:rFonts w:ascii="Times New Roman" w:hAnsi="Times New Roman" w:eastAsia="宋体" w:cs="宋体"/>
          <w:i/>
          <w:snapToGrid w:val="0"/>
          <w:color w:val="0000FF"/>
          <w:u w:val="single"/>
          <w:lang w:eastAsia="zh-CN"/>
        </w:rPr>
        <w:t>GHTF SG5 N1R8:2007</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[7]</w:t>
      </w:r>
    </w:p>
    <w:p w14:paraId="11355FB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临床评价 --</w:t>
      </w:r>
      <w:r>
        <w:rPr>
          <w:rFonts w:ascii="Times New Roman" w:hAnsi="Times New Roman" w:eastAsia="宋体" w:cs="宋体"/>
          <w:lang w:eastAsia="zh-CN"/>
        </w:rPr>
        <w:t xml:space="preserve"> 与医疗器械相关的临床数据评估和分析，以验证该器械按制造商的预期使用时的临床安全性、性能和有效性。</w:t>
      </w:r>
    </w:p>
    <w:p w14:paraId="47A6B532">
      <w:pPr>
        <w:adjustRightInd w:val="0"/>
        <w:snapToGrid w:val="0"/>
        <w:spacing w:before="120" w:beforeLines="50" w:line="300" w:lineRule="auto"/>
        <w:ind w:left="717" w:leftChars="295" w:hanging="9" w:hangingChars="4"/>
        <w:jc w:val="both"/>
        <w:rPr>
          <w:rFonts w:ascii="Times New Roman" w:hAnsi="Times New Roman" w:eastAsia="宋体" w:cs="Times New Roman"/>
          <w:i/>
          <w:snapToGrid w:val="0"/>
          <w:color w:val="0000FF"/>
          <w:u w:val="single"/>
          <w:lang w:eastAsia="zh-CN"/>
        </w:rPr>
      </w:pPr>
      <w:r>
        <w:rPr>
          <w:rFonts w:ascii="Times New Roman" w:hAnsi="Times New Roman" w:eastAsia="宋体" w:cs="宋体"/>
          <w:lang w:eastAsia="zh-CN"/>
        </w:rPr>
        <w:t>其他资源：</w:t>
      </w:r>
      <w:r>
        <w:rPr>
          <w:rFonts w:ascii="Times New Roman" w:hAnsi="Times New Roman" w:eastAsia="宋体" w:cs="宋体"/>
          <w:i/>
          <w:lang w:eastAsia="zh-CN"/>
        </w:rPr>
        <w:t>参见</w:t>
      </w:r>
      <w:r>
        <w:fldChar w:fldCharType="begin"/>
      </w:r>
      <w:r>
        <w:instrText xml:space="preserve"> HYPERLINK "http://www.imdrf.org/docs/ghtf/final/sg5/technical-docs/ghtf-sg5-n2r8-2007-clinical-evaluation-070501.pdf" </w:instrText>
      </w:r>
      <w:r>
        <w:fldChar w:fldCharType="separate"/>
      </w:r>
      <w:r>
        <w:rPr>
          <w:rFonts w:ascii="Times New Roman" w:hAnsi="Times New Roman" w:eastAsia="宋体" w:cs="宋体"/>
          <w:i/>
          <w:snapToGrid w:val="0"/>
          <w:color w:val="0000FF"/>
          <w:u w:val="single"/>
          <w:lang w:eastAsia="zh-CN"/>
        </w:rPr>
        <w:t>GHTF N2R8:2007</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[8]</w:t>
      </w:r>
    </w:p>
    <w:p w14:paraId="6182095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临床证据 --</w:t>
      </w:r>
      <w:r>
        <w:rPr>
          <w:rFonts w:ascii="Times New Roman" w:hAnsi="Times New Roman" w:eastAsia="宋体" w:cs="宋体"/>
          <w:lang w:eastAsia="zh-CN"/>
        </w:rPr>
        <w:t xml:space="preserve"> 临床证据是医疗器械技术文件的重要组成部分，制造商使用临床证据与其他设计验证及确认文件、产品描述、标签、风险分析及制造信息共同论证产品对基本原则的符合性。其他资源：参见</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snapToGrid w:val="0"/>
          <w:color w:val="0000FF"/>
          <w:u w:val="single"/>
          <w:lang w:eastAsia="zh-CN"/>
        </w:rPr>
        <w:t>SaMD N23</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第7.5节以及</w:t>
      </w:r>
      <w:r>
        <w:fldChar w:fldCharType="begin"/>
      </w:r>
      <w:r>
        <w:instrText xml:space="preserve"> HYPERLINK "http://www.imdrf.org/docs/ghtf/final/sg5/technical-docs/ghtf-sg5-n6-2012-clinical-evidence-ivd-medical-devices-121102.pdf" </w:instrText>
      </w:r>
      <w:r>
        <w:fldChar w:fldCharType="separate"/>
      </w:r>
      <w:r>
        <w:rPr>
          <w:rFonts w:ascii="Times New Roman" w:hAnsi="Times New Roman" w:eastAsia="宋体" w:cs="宋体"/>
          <w:i/>
          <w:iCs/>
          <w:snapToGrid w:val="0"/>
          <w:color w:val="0000FF"/>
          <w:u w:val="single"/>
          <w:lang w:eastAsia="zh-CN"/>
        </w:rPr>
        <w:t>GHTF SG5 N8:2012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[16]</w:t>
      </w:r>
      <w:r>
        <w:rPr>
          <w:rFonts w:ascii="Times New Roman" w:hAnsi="Times New Roman" w:eastAsia="宋体" w:cs="宋体"/>
          <w:i/>
          <w:lang w:eastAsia="zh-CN"/>
        </w:rPr>
        <w:t>、</w:t>
      </w:r>
      <w:r>
        <w:fldChar w:fldCharType="begin"/>
      </w:r>
      <w:r>
        <w:instrText xml:space="preserve"> HYPERLINK "http://www.imdrf.org/docs/ghtf/final/sg5/technical-docs/ghtf-sg5-n6-2012-clinical-evidence-ivd-medical-devices-121102.pdf" </w:instrText>
      </w:r>
      <w:r>
        <w:fldChar w:fldCharType="separate"/>
      </w:r>
      <w:r>
        <w:rPr>
          <w:rFonts w:ascii="Times New Roman" w:hAnsi="Times New Roman" w:eastAsia="宋体" w:cs="宋体"/>
          <w:i/>
          <w:iCs/>
          <w:snapToGrid w:val="0"/>
          <w:color w:val="0000FF"/>
          <w:u w:val="single"/>
          <w:lang w:eastAsia="zh-CN"/>
        </w:rPr>
        <w:t>GHTF SG5 N6:2012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[11]</w:t>
      </w:r>
      <w:r>
        <w:rPr>
          <w:rFonts w:ascii="Times New Roman" w:hAnsi="Times New Roman" w:eastAsia="宋体" w:cs="宋体"/>
          <w:i/>
          <w:lang w:eastAsia="zh-CN"/>
        </w:rPr>
        <w:t>、</w:t>
      </w:r>
      <w:r>
        <w:fldChar w:fldCharType="begin"/>
      </w:r>
      <w:r>
        <w:instrText xml:space="preserve"> HYPERLINK "http://www.imdrf.org/docs/ghtf/final/sg5/technical-docs/ghtf-sg5-n6-2012-clinical-evidence-ivd-medical-devices-121102.pdf" </w:instrText>
      </w:r>
      <w:r>
        <w:fldChar w:fldCharType="separate"/>
      </w:r>
      <w:r>
        <w:rPr>
          <w:rFonts w:ascii="Times New Roman" w:hAnsi="Times New Roman" w:eastAsia="宋体" w:cs="宋体"/>
          <w:i/>
          <w:iCs/>
          <w:snapToGrid w:val="0"/>
          <w:color w:val="0000FF"/>
          <w:u w:val="single"/>
          <w:lang w:eastAsia="zh-CN"/>
        </w:rPr>
        <w:t>GHTF SG5 N1R8:2007</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[7]</w:t>
      </w:r>
    </w:p>
    <w:p w14:paraId="54AD4810">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临床性能 -- </w:t>
      </w:r>
      <w:r>
        <w:rPr>
          <w:rFonts w:ascii="Times New Roman" w:hAnsi="Times New Roman" w:eastAsia="宋体" w:cs="宋体"/>
          <w:lang w:eastAsia="zh-CN"/>
        </w:rPr>
        <w:t>根据目标人群和预期用户，器械产生与特定临床状况/生理状态相关的结果的能力。</w:t>
      </w:r>
    </w:p>
    <w:p w14:paraId="16B27883">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（另请参见临床确认）</w:t>
      </w:r>
    </w:p>
    <w:p w14:paraId="57C6063E">
      <w:pPr>
        <w:adjustRightInd w:val="0"/>
        <w:snapToGrid w:val="0"/>
        <w:spacing w:before="120" w:beforeLines="50" w:line="300" w:lineRule="auto"/>
        <w:ind w:left="720" w:hanging="720" w:hangingChars="300"/>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"http://www.imdrf.org/docs/ghtf/final/sg1/technical-docs/ghtf-sg1-n68-2012-safety-performance-medical-devices-121102.pdf" </w:instrText>
      </w:r>
      <w:r>
        <w:fldChar w:fldCharType="separate"/>
      </w:r>
      <w:r>
        <w:rPr>
          <w:rFonts w:ascii="Times New Roman" w:hAnsi="Times New Roman" w:eastAsia="宋体" w:cs="宋体"/>
          <w:i/>
          <w:snapToGrid w:val="0"/>
          <w:color w:val="0000FF"/>
          <w:u w:val="single"/>
          <w:lang w:eastAsia="zh-CN"/>
        </w:rPr>
        <w:t>GHTF SG1 N68:2012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[12]</w:t>
      </w:r>
      <w:r>
        <w:rPr>
          <w:rFonts w:ascii="Times New Roman" w:hAnsi="Times New Roman" w:eastAsia="宋体" w:cs="宋体"/>
          <w:lang w:eastAsia="zh-CN"/>
        </w:rPr>
        <w:t>第4.0节</w:t>
      </w:r>
    </w:p>
    <w:p w14:paraId="62EA4B64">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临床研究 --</w:t>
      </w:r>
      <w:r>
        <w:rPr>
          <w:rFonts w:ascii="Times New Roman" w:hAnsi="Times New Roman" w:eastAsia="宋体" w:cs="宋体"/>
          <w:lang w:eastAsia="zh-CN"/>
        </w:rPr>
        <w:t xml:space="preserve"> 使用通过临床使用生成的临床数据。</w:t>
      </w:r>
    </w:p>
    <w:p w14:paraId="515B377C">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36C6910">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"http://www.imdrf.org/docs/ghtf/final/sg5/technical-docs/ghtf-sg5-n2r8-2007-clinical-evaluation-070501.pdf" </w:instrText>
      </w:r>
      <w:r>
        <w:fldChar w:fldCharType="separate"/>
      </w:r>
      <w:r>
        <w:rPr>
          <w:rFonts w:ascii="Times New Roman" w:hAnsi="Times New Roman" w:eastAsia="宋体" w:cs="宋体"/>
          <w:i/>
          <w:snapToGrid w:val="0"/>
          <w:color w:val="0000FF"/>
          <w:u w:val="single"/>
          <w:lang w:eastAsia="zh-CN"/>
        </w:rPr>
        <w:t>GHTF G5 N2R8:2007</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[8]</w:t>
      </w:r>
      <w:r>
        <w:rPr>
          <w:rFonts w:ascii="Times New Roman" w:hAnsi="Times New Roman" w:eastAsia="宋体" w:cs="宋体"/>
          <w:lang w:eastAsia="zh-CN"/>
        </w:rPr>
        <w:t>第6.2节</w:t>
      </w:r>
    </w:p>
    <w:p w14:paraId="61075C8F">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临床试验 --</w:t>
      </w:r>
      <w:r>
        <w:rPr>
          <w:rFonts w:ascii="Times New Roman" w:hAnsi="Times New Roman" w:eastAsia="宋体" w:cs="宋体"/>
          <w:lang w:eastAsia="zh-CN"/>
        </w:rPr>
        <w:t xml:space="preserve"> 适当开展的临床研究，包括遵守临床研究计划和当地法律法规，确保对人类受试者的保护、数据的完整性以及获得的数据就证明符合基本原则而言可接受。</w:t>
      </w:r>
    </w:p>
    <w:p w14:paraId="7276BA4E">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"http://www.imdrf.org/docs/ghtf/final/sg5/technical-docs/ghtf-sg5-n3-clinical-investigations-100212.pdf" </w:instrText>
      </w:r>
      <w:r>
        <w:fldChar w:fldCharType="separate"/>
      </w:r>
      <w:r>
        <w:rPr>
          <w:rFonts w:ascii="Times New Roman" w:hAnsi="Times New Roman" w:eastAsia="宋体" w:cs="宋体"/>
          <w:i/>
          <w:snapToGrid w:val="0"/>
          <w:color w:val="0000FF"/>
          <w:u w:val="single"/>
          <w:lang w:eastAsia="zh-CN"/>
        </w:rPr>
        <w:t>GHTF SG5 N3:2010</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[9]</w:t>
      </w:r>
      <w:r>
        <w:rPr>
          <w:rFonts w:ascii="Times New Roman" w:hAnsi="Times New Roman" w:eastAsia="宋体" w:cs="宋体"/>
          <w:lang w:eastAsia="zh-CN"/>
        </w:rPr>
        <w:t>第6节</w:t>
      </w:r>
    </w:p>
    <w:p w14:paraId="4FD632CD">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临床可用性 --</w:t>
      </w:r>
      <w:r>
        <w:rPr>
          <w:rFonts w:ascii="Times New Roman" w:hAnsi="Times New Roman" w:eastAsia="宋体" w:cs="宋体"/>
          <w:lang w:eastAsia="zh-CN"/>
        </w:rPr>
        <w:t xml:space="preserve"> 用户与计算机系统交互的方式，特别是输入设备和软件的使用以及对设备用户、使用环境和用户界面安全考虑因素的评价。</w:t>
      </w:r>
    </w:p>
    <w:p w14:paraId="6767D509">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\l "bookmark164" \o "Current Document" \h </w:instrText>
      </w:r>
      <w:r>
        <w:fldChar w:fldCharType="separate"/>
      </w:r>
      <w:r>
        <w:rPr>
          <w:rFonts w:ascii="Times New Roman" w:hAnsi="Times New Roman" w:eastAsia="宋体" w:cs="宋体"/>
          <w:i/>
          <w:iCs/>
          <w:snapToGrid w:val="0"/>
          <w:color w:val="0000FF"/>
          <w:u w:val="single"/>
          <w:lang w:eastAsia="zh-CN"/>
        </w:rPr>
        <w:t>ISO/IEC</w:t>
      </w:r>
      <w:r>
        <w:rPr>
          <w:rFonts w:ascii="Times New Roman" w:hAnsi="Times New Roman" w:eastAsia="宋体" w:cs="宋体"/>
          <w:i/>
          <w:iCs/>
          <w:snapToGrid w:val="0"/>
          <w:color w:val="0000FF"/>
          <w:u w:val="single"/>
          <w:lang w:eastAsia="zh-CN"/>
        </w:rPr>
        <w:fldChar w:fldCharType="end"/>
      </w:r>
      <w:r>
        <w:fldChar w:fldCharType="begin"/>
      </w:r>
      <w:r>
        <w:instrText xml:space="preserve"> HYPERLINK \l "bookmark164" \o "Current Document" \h </w:instrText>
      </w:r>
      <w:r>
        <w:fldChar w:fldCharType="separate"/>
      </w:r>
      <w:r>
        <w:rPr>
          <w:rFonts w:ascii="Times New Roman" w:hAnsi="Times New Roman" w:eastAsia="宋体" w:cs="宋体"/>
          <w:i/>
          <w:iCs/>
          <w:snapToGrid w:val="0"/>
          <w:color w:val="0000FF"/>
          <w:u w:val="single"/>
          <w:lang w:eastAsia="zh-CN"/>
        </w:rPr>
        <w:t>62366-1:2015</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[20]</w:t>
      </w:r>
      <w:r>
        <w:rPr>
          <w:rFonts w:ascii="Times New Roman" w:hAnsi="Times New Roman" w:eastAsia="宋体" w:cs="宋体"/>
          <w:lang w:eastAsia="zh-CN"/>
        </w:rPr>
        <w:t>、</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iCs/>
          <w:snapToGrid w:val="0"/>
          <w:color w:val="0000FF"/>
          <w:u w:val="single"/>
          <w:lang w:eastAsia="zh-CN"/>
        </w:rPr>
        <w:t>SaMD N12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第4.0节、</w:t>
      </w:r>
      <w:r>
        <w:fldChar w:fldCharType="begin"/>
      </w:r>
      <w:r>
        <w:instrText xml:space="preserve"> HYPERLINK \l "bookmark134" \o "Current Document" \h </w:instrText>
      </w:r>
      <w:r>
        <w:fldChar w:fldCharType="separate"/>
      </w:r>
      <w:r>
        <w:rPr>
          <w:rFonts w:ascii="Times New Roman" w:hAnsi="Times New Roman" w:eastAsia="宋体" w:cs="宋体"/>
          <w:i/>
          <w:iCs/>
          <w:snapToGrid w:val="0"/>
          <w:color w:val="0000FF"/>
          <w:u w:val="single"/>
          <w:lang w:eastAsia="zh-CN"/>
        </w:rPr>
        <w:t>SaMD N23</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第7.2节和第8.4节</w:t>
      </w:r>
    </w:p>
    <w:p w14:paraId="1564B00F">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（另请参见可用性、用户界面）</w:t>
      </w:r>
    </w:p>
    <w:p w14:paraId="52C2F79B">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临床确认 – </w:t>
      </w:r>
      <w:r>
        <w:rPr>
          <w:rFonts w:hint="eastAsia" w:ascii="Times New Roman" w:hAnsi="Times New Roman" w:eastAsia="宋体" w:cs="宋体"/>
          <w:lang w:eastAsia="zh-CN"/>
        </w:rPr>
        <w:t>衡</w:t>
      </w:r>
      <w:r>
        <w:rPr>
          <w:rFonts w:ascii="Times New Roman" w:hAnsi="Times New Roman" w:eastAsia="宋体" w:cs="宋体"/>
          <w:lang w:eastAsia="zh-CN"/>
        </w:rPr>
        <w:t>量有关在SaMD定义声明中确定的医疗情况或状况中，SaMD产生与SaMD输出预期用途相关的、具有临床意义的输出的能力。</w:t>
      </w:r>
    </w:p>
    <w:p w14:paraId="1CA1CC14">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（另请参见临床性能）</w:t>
      </w:r>
    </w:p>
    <w:p w14:paraId="061EDBC8">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持续监测 -- </w:t>
      </w:r>
      <w:r>
        <w:rPr>
          <w:rFonts w:ascii="Times New Roman" w:hAnsi="Times New Roman" w:eastAsia="宋体" w:cs="宋体"/>
          <w:lang w:eastAsia="zh-CN"/>
        </w:rPr>
        <w:t>收集上市后信息。</w:t>
      </w:r>
    </w:p>
    <w:p w14:paraId="68E24A31">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snapToGrid w:val="0"/>
          <w:color w:val="0000FF"/>
          <w:u w:val="single"/>
          <w:lang w:eastAsia="zh-CN"/>
        </w:rPr>
        <w:t>SaMD N23</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第7.5节</w:t>
      </w:r>
    </w:p>
    <w:p w14:paraId="4C451F0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置信区间 -- </w:t>
      </w:r>
      <w:r>
        <w:rPr>
          <w:rFonts w:ascii="Times New Roman" w:hAnsi="Times New Roman" w:eastAsia="宋体" w:cs="宋体"/>
          <w:lang w:eastAsia="zh-CN"/>
        </w:rPr>
        <w:t xml:space="preserve">量化由于受试者/样本选择过程中的可变性而导致所估计真实值（例如准确度度量）的统计不确定性的点估计值区间。A 1 - </w:t>
      </w:r>
      <w:r>
        <w:rPr>
          <w:rFonts w:ascii="Times New Roman" w:hAnsi="Times New Roman" w:eastAsia="宋体" w:cs="宋体"/>
        </w:rPr>
        <w:t>α</w:t>
      </w:r>
      <w:r>
        <w:rPr>
          <w:rFonts w:ascii="Times New Roman" w:hAnsi="Times New Roman" w:eastAsia="宋体" w:cs="宋体"/>
          <w:lang w:eastAsia="zh-CN"/>
        </w:rPr>
        <w:t xml:space="preserve">水平置信区间包含100（1 - </w:t>
      </w:r>
      <w:r>
        <w:rPr>
          <w:rFonts w:ascii="Times New Roman" w:hAnsi="Times New Roman" w:eastAsia="宋体" w:cs="宋体"/>
        </w:rPr>
        <w:t>α</w:t>
      </w:r>
      <w:r>
        <w:rPr>
          <w:rFonts w:ascii="Times New Roman" w:hAnsi="Times New Roman" w:eastAsia="宋体" w:cs="宋体"/>
          <w:lang w:eastAsia="zh-CN"/>
        </w:rPr>
        <w:t>）%应用中的真实值，但在任何给定应用中，包含或不包含真实值无关紧要。</w:t>
      </w:r>
    </w:p>
    <w:p w14:paraId="12C43898">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"http://www.imdrf.org/docs/ghtf/final/sg5/technical-docs/ghtf-sg5-n8-2012-clinical-performance-studies-ivd-medical-devices-121102.pdf" </w:instrText>
      </w:r>
      <w:r>
        <w:fldChar w:fldCharType="separate"/>
      </w:r>
      <w:r>
        <w:rPr>
          <w:rFonts w:ascii="Times New Roman" w:hAnsi="Times New Roman" w:eastAsia="宋体" w:cs="宋体"/>
          <w:i/>
          <w:snapToGrid w:val="0"/>
          <w:color w:val="0000FF"/>
          <w:u w:val="single"/>
          <w:lang w:eastAsia="zh-CN"/>
        </w:rPr>
        <w:t>GHTF SG5 N8:2012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[16]</w:t>
      </w:r>
      <w:r>
        <w:rPr>
          <w:rFonts w:ascii="Times New Roman" w:hAnsi="Times New Roman" w:eastAsia="宋体" w:cs="宋体"/>
          <w:lang w:eastAsia="zh-CN"/>
        </w:rPr>
        <w:t>第7.4节</w:t>
      </w:r>
    </w:p>
    <w:p w14:paraId="0CBBEC06">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危急（情况或状况） -- </w:t>
      </w:r>
      <w:r>
        <w:rPr>
          <w:rFonts w:ascii="Times New Roman" w:hAnsi="Times New Roman" w:eastAsia="宋体" w:cs="宋体"/>
          <w:lang w:eastAsia="zh-CN"/>
        </w:rPr>
        <w:t>准确和/或及时的诊断或治疗措施对避免个体患者死亡、长期残疾或其他严重健康恶化或缓解对公众健康的影响来说至关重要的情况或状况。其他资源：参见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第5.2.1节</w:t>
      </w:r>
    </w:p>
    <w:p w14:paraId="205A5CA0">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定义声明 --</w:t>
      </w:r>
      <w:r>
        <w:rPr>
          <w:rFonts w:ascii="Times New Roman" w:hAnsi="Times New Roman" w:eastAsia="宋体" w:cs="宋体"/>
          <w:lang w:eastAsia="zh-CN"/>
        </w:rPr>
        <w:t xml:space="preserve"> 关于预期用途的清晰有力的声明，解释SaMD如何满足医疗器械定义中所述的一个或多个目的，并描述SaMD的核心功能。</w:t>
      </w:r>
    </w:p>
    <w:p w14:paraId="45A033AD">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第6.0节</w:t>
      </w:r>
    </w:p>
    <w:p w14:paraId="2DEB4D9D">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诊断（SaMD输出） -- </w:t>
      </w:r>
      <w:r>
        <w:rPr>
          <w:rFonts w:ascii="Times New Roman" w:hAnsi="Times New Roman" w:eastAsia="宋体" w:cs="宋体"/>
          <w:lang w:eastAsia="zh-CN"/>
        </w:rPr>
        <w:t>将依据SaMD提供的信息采取即时或近期行动。</w:t>
      </w:r>
    </w:p>
    <w:p w14:paraId="370D4ABD">
      <w:pPr>
        <w:adjustRightInd w:val="0"/>
        <w:snapToGrid w:val="0"/>
        <w:spacing w:before="120" w:beforeLines="50" w:line="300" w:lineRule="auto"/>
        <w:ind w:left="717" w:leftChars="295" w:hanging="9" w:hangingChars="4"/>
        <w:jc w:val="both"/>
        <w:rPr>
          <w:rFonts w:ascii="Times New Roman" w:hAnsi="Times New Roman" w:eastAsia="宋体" w:cs="Times New Roman"/>
          <w:i/>
          <w:iCs/>
          <w:snapToGrid w:val="0"/>
          <w:lang w:eastAsia="zh-CN"/>
        </w:rPr>
      </w:pPr>
      <w:r>
        <w:rPr>
          <w:rFonts w:ascii="Times New Roman" w:hAnsi="Times New Roman" w:eastAsia="宋体" w:cs="宋体"/>
          <w:i/>
          <w:lang w:eastAsia="zh-CN"/>
        </w:rPr>
        <w:t>（另请参见治疗（SaMD输出））</w:t>
      </w:r>
    </w:p>
    <w:p w14:paraId="13F9122C">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第5.1.1节</w:t>
      </w:r>
    </w:p>
    <w:p w14:paraId="553AEFD5">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推动临床治疗（SaMD输出） -- </w:t>
      </w:r>
      <w:r>
        <w:rPr>
          <w:rFonts w:ascii="Times New Roman" w:hAnsi="Times New Roman" w:eastAsia="宋体" w:cs="宋体"/>
          <w:lang w:eastAsia="zh-CN"/>
        </w:rPr>
        <w:t>SaMD提供的信息将用于辅助治疗、辅助诊断，分类或确定疾病或状况的早期迹象，这将用于指导下一次诊断或下一次治疗干预：</w:t>
      </w:r>
    </w:p>
    <w:p w14:paraId="510FB404">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第5.1.2节</w:t>
      </w:r>
      <w:r>
        <w:rPr>
          <w:rFonts w:ascii="Times New Roman" w:hAnsi="Times New Roman" w:eastAsia="宋体" w:cs="宋体"/>
          <w:lang w:eastAsia="zh-CN"/>
        </w:rPr>
        <w:br w:type="page"/>
      </w:r>
    </w:p>
    <w:p w14:paraId="6279DE09">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有效性 -- </w:t>
      </w:r>
      <w:r>
        <w:rPr>
          <w:rFonts w:ascii="Times New Roman" w:hAnsi="Times New Roman" w:eastAsia="宋体" w:cs="宋体"/>
          <w:lang w:eastAsia="zh-CN"/>
        </w:rPr>
        <w:t>当根据有效科学证据可以确定在相当大一部分目标人群中，器械在其预期用途和使用条件下的使用，在伴随充分不安全使用的指示和警告时，将提供临床上有意义的结果。</w:t>
      </w:r>
    </w:p>
    <w:p w14:paraId="7847DE47">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（另请参见安全性、性能）</w:t>
      </w:r>
    </w:p>
    <w:p w14:paraId="78272FEB">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功能 --</w:t>
      </w:r>
      <w:r>
        <w:rPr>
          <w:rFonts w:ascii="Times New Roman" w:hAnsi="Times New Roman" w:eastAsia="宋体" w:cs="宋体"/>
          <w:lang w:eastAsia="zh-CN"/>
        </w:rPr>
        <w:t xml:space="preserve"> 确定SaMD的关键特性/功能，这些特性/功能对SaMD在预期医疗情况或状况下提供信息做出医疗决策的预期意义至关重要。</w:t>
      </w:r>
    </w:p>
    <w:p w14:paraId="12663A64">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第6.0节、第7.3节、第8.2节、第9.1节和第10.1节</w:t>
      </w:r>
    </w:p>
    <w:p w14:paraId="76DAD715">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全球协调工作组 --</w:t>
      </w:r>
      <w:r>
        <w:rPr>
          <w:rFonts w:ascii="Times New Roman" w:hAnsi="Times New Roman" w:eastAsia="宋体" w:cs="宋体"/>
          <w:lang w:eastAsia="zh-CN"/>
        </w:rPr>
        <w:t xml:space="preserve"> 一个志愿组织，由来自各国医疗器械监管机构和行业的代表组成。GHTF于2012年解散，由IMDRF代为执行其使命。</w:t>
      </w:r>
    </w:p>
    <w:p w14:paraId="447A28C8">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假设 -- </w:t>
      </w:r>
      <w:r>
        <w:rPr>
          <w:rFonts w:ascii="Times New Roman" w:hAnsi="Times New Roman" w:eastAsia="宋体" w:cs="宋体"/>
          <w:lang w:eastAsia="zh-CN"/>
        </w:rPr>
        <w:t>作为进一步调查起点的推测或提议解释。提出假设不需要证据。</w:t>
      </w:r>
    </w:p>
    <w:p w14:paraId="1D7B46B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独立审查 -- </w:t>
      </w:r>
      <w:r>
        <w:rPr>
          <w:rFonts w:ascii="Times New Roman" w:hAnsi="Times New Roman" w:eastAsia="宋体" w:cs="宋体"/>
          <w:lang w:eastAsia="zh-CN"/>
        </w:rPr>
        <w:t>由同一领域的专家对一项工作、研究或理念进行审查的过程。</w:t>
      </w:r>
    </w:p>
    <w:p w14:paraId="1D54ADF4">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告知临床管理（SaMD输出） -- </w:t>
      </w:r>
      <w:r>
        <w:rPr>
          <w:rFonts w:ascii="Times New Roman" w:hAnsi="Times New Roman" w:eastAsia="宋体" w:cs="宋体"/>
          <w:lang w:eastAsia="zh-CN"/>
        </w:rPr>
        <w:t>告知临床管理意味着SaMD提供的信息不会触发即时或近期行动。其他资源：参见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第5.1.3节</w:t>
      </w:r>
    </w:p>
    <w:p w14:paraId="54A22A74">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输入（SaMD） -- </w:t>
      </w:r>
      <w:r>
        <w:rPr>
          <w:rFonts w:ascii="Times New Roman" w:hAnsi="Times New Roman" w:eastAsia="宋体" w:cs="宋体"/>
          <w:lang w:eastAsia="zh-CN"/>
        </w:rPr>
        <w:t>算法所用的一个或多个定义的数值表或模型。</w:t>
      </w:r>
      <w:r>
        <w:rPr>
          <w:rFonts w:ascii="Times New Roman" w:hAnsi="Times New Roman" w:eastAsia="宋体" w:cs="宋体"/>
          <w:i/>
          <w:lang w:eastAsia="zh-CN"/>
        </w:rPr>
        <w:t>（另请参见基本程控模型、输出）</w:t>
      </w:r>
    </w:p>
    <w:p w14:paraId="6C43828C">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预期（医疗、目的、用途） --</w:t>
      </w:r>
      <w:r>
        <w:rPr>
          <w:rFonts w:ascii="Times New Roman" w:hAnsi="Times New Roman" w:eastAsia="宋体" w:cs="宋体"/>
          <w:lang w:eastAsia="zh-CN"/>
        </w:rPr>
        <w:t xml:space="preserve"> 制造商使用其提供的规范、使用说明书和信息中所反映的产品使用、过程或服务的客观目的。   </w:t>
      </w:r>
    </w:p>
    <w:p w14:paraId="74F42FF7">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（另请参见声明）</w:t>
      </w:r>
    </w:p>
    <w:p w14:paraId="56E1015A">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全球医疗器械协调工作小组 -- </w:t>
      </w:r>
      <w:r>
        <w:rPr>
          <w:rFonts w:ascii="Times New Roman" w:hAnsi="Times New Roman" w:eastAsia="宋体" w:cs="宋体"/>
          <w:lang w:eastAsia="zh-CN"/>
        </w:rPr>
        <w:t>一个由世界各地的医疗器械监管机构组成的志愿组织，这些机构聚集在一起，为全球医疗器械协调工作小组（GHTF）的工作奠定了坚实的基础，加速了国际医疗器械监管协调和融合。</w:t>
      </w:r>
    </w:p>
    <w:p w14:paraId="10FDC5D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hint="eastAsia" w:ascii="Times New Roman" w:hAnsi="Times New Roman" w:eastAsia="宋体" w:cs="宋体"/>
          <w:b/>
          <w:i/>
          <w:lang w:eastAsia="zh-CN"/>
        </w:rPr>
        <w:t>标签</w:t>
      </w:r>
      <w:r>
        <w:rPr>
          <w:rFonts w:ascii="Times New Roman" w:hAnsi="Times New Roman" w:eastAsia="宋体" w:cs="宋体"/>
          <w:b/>
          <w:i/>
          <w:lang w:eastAsia="zh-CN"/>
        </w:rPr>
        <w:t xml:space="preserve"> -- </w:t>
      </w:r>
      <w:r>
        <w:rPr>
          <w:rFonts w:ascii="Times New Roman" w:hAnsi="Times New Roman" w:eastAsia="宋体" w:cs="宋体"/>
          <w:lang w:eastAsia="zh-CN"/>
        </w:rPr>
        <w:t>与医疗器械的标识、技术说明、预期用途和正确使用有关的标签、使用说明书和任何其它信息，但不包括货运文件。</w:t>
      </w:r>
    </w:p>
    <w:p w14:paraId="729AC0E2">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"http://www.imdrf.org/docs/ghtf/final/sg1/technical-docs/ghtf-sg1-n70-2011-label-instruction-use-medical-devices-110916.doc" </w:instrText>
      </w:r>
      <w:r>
        <w:fldChar w:fldCharType="separate"/>
      </w:r>
      <w:r>
        <w:rPr>
          <w:rFonts w:ascii="Times New Roman" w:hAnsi="Times New Roman" w:eastAsia="宋体" w:cs="宋体"/>
          <w:i/>
          <w:snapToGrid w:val="0"/>
          <w:color w:val="0000FF"/>
          <w:u w:val="single"/>
          <w:lang w:eastAsia="zh-CN"/>
        </w:rPr>
        <w:t>GHTF SG1 N70:2011</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[14]</w:t>
      </w:r>
      <w:r>
        <w:rPr>
          <w:rFonts w:ascii="Times New Roman" w:hAnsi="Times New Roman" w:eastAsia="宋体" w:cs="宋体"/>
          <w:lang w:eastAsia="zh-CN"/>
        </w:rPr>
        <w:t>第4.0节</w:t>
      </w:r>
    </w:p>
    <w:p w14:paraId="35E695C3">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最小负担 -- </w:t>
      </w:r>
      <w:r>
        <w:rPr>
          <w:rFonts w:ascii="Times New Roman" w:hAnsi="Times New Roman" w:eastAsia="宋体" w:cs="宋体"/>
          <w:lang w:eastAsia="zh-CN"/>
        </w:rPr>
        <w:t>解决涉及最适当的时间、精力和资源投资的上市前问题。</w:t>
      </w:r>
    </w:p>
    <w:p w14:paraId="6A0C36D3">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阴性似然比（LR-） -- </w:t>
      </w:r>
      <w:r>
        <w:rPr>
          <w:rFonts w:ascii="Times New Roman" w:hAnsi="Times New Roman" w:eastAsia="宋体" w:cs="宋体"/>
          <w:lang w:eastAsia="zh-CN"/>
        </w:rPr>
        <w:t>（1-灵敏度）/特异性=有无疾病或临床状况的患者检测呈阴性的概率之比。可将其解释为在检测结果呈阴性的情况下，患病几率相对于检测前的几率有所增加。</w:t>
      </w:r>
    </w:p>
    <w:p w14:paraId="71A02673">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27EFF5E7">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vertAlign w:val="superscript"/>
          <w:lang w:eastAsia="zh-CN"/>
        </w:rPr>
        <w:t>]</w:t>
      </w:r>
      <w:r>
        <w:rPr>
          <w:rFonts w:ascii="Times New Roman" w:hAnsi="Times New Roman" w:eastAsia="宋体" w:cs="宋体"/>
          <w:lang w:eastAsia="zh-CN"/>
        </w:rPr>
        <w:t>第7.2节</w:t>
      </w:r>
    </w:p>
    <w:p w14:paraId="3BB9569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阳性似然比（LR+） -- </w:t>
      </w:r>
      <w:r>
        <w:rPr>
          <w:rFonts w:ascii="Times New Roman" w:hAnsi="Times New Roman" w:eastAsia="宋体" w:cs="宋体"/>
          <w:lang w:eastAsia="zh-CN"/>
        </w:rPr>
        <w:t>灵敏度/（1-特异性）=有无疾病或临床状况的患者检测呈阳性的概率之比。可将其解释为在检测结果呈阳性的情况下，患病几率相对于检测前的几率有所增加。</w:t>
      </w:r>
    </w:p>
    <w:p w14:paraId="503BB71F">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lang w:eastAsia="zh-CN"/>
        </w:rPr>
        <w:t>第7.2节</w:t>
      </w:r>
    </w:p>
    <w:p w14:paraId="1DECF90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文献检索 -- </w:t>
      </w:r>
      <w:r>
        <w:rPr>
          <w:rFonts w:ascii="Times New Roman" w:hAnsi="Times New Roman" w:eastAsia="宋体" w:cs="宋体"/>
          <w:lang w:eastAsia="zh-CN"/>
        </w:rPr>
        <w:t>使用可确立有效临床关联的已发表临床数据。其他资源：参见</w:t>
      </w:r>
      <w:r>
        <w:fldChar w:fldCharType="begin"/>
      </w:r>
      <w:r>
        <w:instrText xml:space="preserve"> HYPERLINK "http://www.imdrf.org/docs/ghtf/final/sg5/technical-docs/ghtf-sg5-n2r8-2007-clinical-evaluation-070501.pdf" </w:instrText>
      </w:r>
      <w:r>
        <w:fldChar w:fldCharType="separate"/>
      </w:r>
      <w:r>
        <w:rPr>
          <w:rFonts w:ascii="Times New Roman" w:hAnsi="Times New Roman" w:eastAsia="宋体" w:cs="宋体"/>
          <w:snapToGrid w:val="0"/>
          <w:lang w:eastAsia="zh-CN"/>
        </w:rPr>
        <w:t>GHTF SG5 N2R8:2007</w:t>
      </w:r>
      <w:r>
        <w:rPr>
          <w:rFonts w:ascii="Times New Roman" w:hAnsi="Times New Roman" w:eastAsia="宋体" w:cs="宋体"/>
          <w:snapToGrid w:val="0"/>
          <w:lang w:eastAsia="zh-CN"/>
        </w:rPr>
        <w:fldChar w:fldCharType="end"/>
      </w:r>
      <w:r>
        <w:rPr>
          <w:rFonts w:ascii="Times New Roman" w:hAnsi="Times New Roman" w:eastAsia="宋体" w:cs="宋体"/>
          <w:i/>
          <w:vertAlign w:val="superscript"/>
          <w:lang w:eastAsia="zh-CN"/>
        </w:rPr>
        <w:t>[8]</w:t>
      </w:r>
      <w:r>
        <w:rPr>
          <w:rFonts w:ascii="Times New Roman" w:hAnsi="Times New Roman" w:eastAsia="宋体" w:cs="宋体"/>
          <w:lang w:eastAsia="zh-CN"/>
        </w:rPr>
        <w:t>第6.1节</w:t>
      </w:r>
    </w:p>
    <w:p w14:paraId="271B4AE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机器学习软件（增量） -- </w:t>
      </w:r>
      <w:r>
        <w:rPr>
          <w:rFonts w:ascii="Times New Roman" w:hAnsi="Times New Roman" w:eastAsia="宋体" w:cs="宋体"/>
          <w:lang w:eastAsia="zh-CN"/>
        </w:rPr>
        <w:t>持续使用输入数据自动扩展现有设备知识的软件设备，即在设备上市后就设备开展进一步培训。</w:t>
      </w:r>
    </w:p>
    <w:p w14:paraId="5D1652D1">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阴性预测值（NPV） -- </w:t>
      </w:r>
      <w:r>
        <w:rPr>
          <w:rFonts w:ascii="Times New Roman" w:hAnsi="Times New Roman" w:eastAsia="宋体" w:cs="宋体"/>
          <w:lang w:eastAsia="zh-CN"/>
        </w:rPr>
        <w:t>无疾病或临床状况的患者检测呈阴性的比例。</w:t>
      </w:r>
    </w:p>
    <w:p w14:paraId="3C740B45">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lang w:eastAsia="zh-CN"/>
        </w:rPr>
        <w:t>第7.2节</w:t>
      </w:r>
    </w:p>
    <w:p w14:paraId="4AE12CC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非严重（情况或状况） -- </w:t>
      </w:r>
      <w:r>
        <w:rPr>
          <w:rFonts w:ascii="Times New Roman" w:hAnsi="Times New Roman" w:eastAsia="宋体" w:cs="宋体"/>
          <w:lang w:eastAsia="zh-CN"/>
        </w:rPr>
        <w:t xml:space="preserve"> 准确诊断和治疗对于干预以缓解个体患者健康状况或公众健康的长期不可逆后果来说至关重要但不关键的情况或状况。其他资源：参见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第5.2.3节</w:t>
      </w:r>
    </w:p>
    <w:p w14:paraId="3B7EEE63">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产生较差结局的病例数（NNH） -- </w:t>
      </w:r>
      <w:r>
        <w:rPr>
          <w:rFonts w:ascii="Times New Roman" w:hAnsi="Times New Roman" w:eastAsia="宋体" w:cs="宋体"/>
          <w:lang w:eastAsia="zh-CN"/>
        </w:rPr>
        <w:t>为了对一名患者产生不利影响而需要治疗的患者人数。</w:t>
      </w:r>
    </w:p>
    <w:p w14:paraId="0F8C12A0">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需要治疗的病例数（NNT） --</w:t>
      </w:r>
      <w:r>
        <w:rPr>
          <w:rFonts w:ascii="Times New Roman" w:hAnsi="Times New Roman" w:eastAsia="宋体" w:cs="宋体"/>
          <w:lang w:eastAsia="zh-CN"/>
        </w:rPr>
        <w:t xml:space="preserve"> 为了对一名患者产生影响而需要治疗的患者的平均人数。</w:t>
      </w:r>
    </w:p>
    <w:p w14:paraId="0BB3429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比值比（OR） -- </w:t>
      </w:r>
      <w:r>
        <w:rPr>
          <w:rFonts w:ascii="Times New Roman" w:hAnsi="Times New Roman" w:eastAsia="宋体" w:cs="宋体"/>
          <w:lang w:eastAsia="zh-CN"/>
        </w:rPr>
        <w:t>SaMD检测结果为S时的疾病或临床状况几率与SaMD检测结果为非S时的疾病几率的比值。OR等于阳性似然比与阴性似然比的比值。</w:t>
      </w:r>
    </w:p>
    <w:p w14:paraId="770F6D9A">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输出 --</w:t>
      </w:r>
      <w:r>
        <w:rPr>
          <w:rFonts w:ascii="Times New Roman" w:hAnsi="Times New Roman" w:eastAsia="宋体" w:cs="宋体"/>
          <w:lang w:eastAsia="zh-CN"/>
        </w:rPr>
        <w:t xml:space="preserve"> 根据算法获得的结果。</w:t>
      </w:r>
    </w:p>
    <w:p w14:paraId="25ECB4B8">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性能（基本原则） -- </w:t>
      </w:r>
      <w:r>
        <w:rPr>
          <w:rFonts w:ascii="Times New Roman" w:hAnsi="Times New Roman" w:eastAsia="宋体" w:cs="宋体"/>
          <w:lang w:eastAsia="zh-CN"/>
        </w:rPr>
        <w:t>如果出现故障，产品的特性不得对人员、场所或其他物品造成损害</w:t>
      </w:r>
    </w:p>
    <w:p w14:paraId="04DDAF6B">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（另请参见有效性、安全性）</w:t>
      </w:r>
    </w:p>
    <w:p w14:paraId="479F54AB">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性能（度量指标） --</w:t>
      </w:r>
      <w:r>
        <w:rPr>
          <w:rFonts w:ascii="Times New Roman" w:hAnsi="Times New Roman" w:eastAsia="宋体" w:cs="宋体"/>
          <w:lang w:eastAsia="zh-CN"/>
        </w:rPr>
        <w:t xml:space="preserve"> 衡量特性、活动和性能。</w:t>
      </w:r>
    </w:p>
    <w:p w14:paraId="467FF1D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性能（真实世界） -- </w:t>
      </w:r>
      <w:r>
        <w:rPr>
          <w:rFonts w:ascii="Times New Roman" w:hAnsi="Times New Roman" w:eastAsia="宋体" w:cs="宋体"/>
          <w:lang w:eastAsia="zh-CN"/>
        </w:rPr>
        <w:t>有关器械在更广泛的患者人群中真实应用和相关性能的信息，并非摘自受控程度更高的研究或相关文献，从而可提供无法通过此类研究获得的信息。</w:t>
      </w:r>
    </w:p>
    <w:p w14:paraId="356CECFE">
      <w:pPr>
        <w:adjustRightInd w:val="0"/>
        <w:snapToGrid w:val="0"/>
        <w:spacing w:before="120" w:beforeLines="50" w:line="300" w:lineRule="auto"/>
        <w:ind w:left="717" w:leftChars="295" w:hanging="9" w:hangingChars="4"/>
        <w:jc w:val="both"/>
        <w:rPr>
          <w:rFonts w:ascii="Times New Roman" w:hAnsi="Times New Roman" w:eastAsia="宋体" w:cs="Times New Roman"/>
          <w:i/>
          <w:iCs/>
          <w:snapToGrid w:val="0"/>
          <w:lang w:eastAsia="zh-CN"/>
        </w:rPr>
      </w:pPr>
      <w:r>
        <w:rPr>
          <w:rFonts w:ascii="Times New Roman" w:hAnsi="Times New Roman" w:eastAsia="宋体" w:cs="宋体"/>
          <w:i/>
          <w:lang w:eastAsia="zh-CN"/>
        </w:rPr>
        <w:t>（另请参见真实世界性能）</w:t>
      </w:r>
    </w:p>
    <w:p w14:paraId="2ECC8EBC">
      <w:pPr>
        <w:rPr>
          <w:rFonts w:ascii="Times New Roman" w:hAnsi="Times New Roman" w:eastAsia="宋体" w:cs="Times New Roman"/>
          <w:i/>
          <w:iCs/>
          <w:snapToGrid w:val="0"/>
          <w:lang w:eastAsia="zh-CN"/>
        </w:rPr>
      </w:pPr>
      <w:r>
        <w:rPr>
          <w:rFonts w:ascii="Times New Roman" w:hAnsi="Times New Roman" w:eastAsia="宋体" w:cs="宋体"/>
          <w:i/>
          <w:lang w:eastAsia="zh-CN"/>
        </w:rPr>
        <w:br w:type="page"/>
      </w:r>
    </w:p>
    <w:p w14:paraId="788CA08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性能（研究） -- </w:t>
      </w:r>
      <w:r>
        <w:rPr>
          <w:rFonts w:ascii="Times New Roman" w:hAnsi="Times New Roman" w:eastAsia="宋体" w:cs="宋体"/>
          <w:lang w:eastAsia="zh-CN"/>
        </w:rPr>
        <w:t>确立或确认无法通过分析确认、文献和/或以往通过常规试验获得的经验确定的器械性能。</w:t>
      </w:r>
    </w:p>
    <w:p w14:paraId="45F854C2">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"http://www.imdrf.org/docs/ghtf/final/sg5/technical-docs/ghtf-sg5-n8-2012-clinical-performance-studies-ivd-medical-devices-121102.pdf" </w:instrText>
      </w:r>
      <w:r>
        <w:fldChar w:fldCharType="separate"/>
      </w:r>
      <w:r>
        <w:rPr>
          <w:rFonts w:ascii="Times New Roman" w:hAnsi="Times New Roman" w:eastAsia="宋体" w:cs="宋体"/>
          <w:i/>
          <w:snapToGrid w:val="0"/>
          <w:color w:val="0000FF"/>
          <w:u w:val="single"/>
          <w:lang w:eastAsia="zh-CN"/>
        </w:rPr>
        <w:t>GHTF SG5 N8:2012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[16]</w:t>
      </w:r>
      <w:r>
        <w:rPr>
          <w:rFonts w:ascii="Times New Roman" w:hAnsi="Times New Roman" w:eastAsia="宋体" w:cs="宋体"/>
          <w:lang w:eastAsia="zh-CN"/>
        </w:rPr>
        <w:t>第5.0节</w:t>
      </w:r>
    </w:p>
    <w:p w14:paraId="62D862FA">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阳性预测值（PPV） --</w:t>
      </w:r>
      <w:r>
        <w:rPr>
          <w:rFonts w:ascii="Times New Roman" w:hAnsi="Times New Roman" w:eastAsia="宋体" w:cs="宋体"/>
          <w:lang w:eastAsia="zh-CN"/>
        </w:rPr>
        <w:t xml:space="preserve"> 患有疾病或有临床状况的患者检测呈阳性的比例。</w:t>
      </w:r>
    </w:p>
    <w:p w14:paraId="2259FC1F">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lang w:eastAsia="zh-CN"/>
        </w:rPr>
        <w:t>第7.2节</w:t>
      </w:r>
    </w:p>
    <w:p w14:paraId="7129E8E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上市后监督 -- </w:t>
      </w:r>
      <w:r>
        <w:rPr>
          <w:rFonts w:ascii="Times New Roman" w:hAnsi="Times New Roman" w:eastAsia="宋体" w:cs="宋体"/>
          <w:lang w:eastAsia="zh-CN"/>
        </w:rPr>
        <w:t>在医疗器械上市后对其安全性进行监督的实践。</w:t>
      </w:r>
    </w:p>
    <w:p w14:paraId="6FD9F116">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"http://www.imdrf.org/documents/doc-ghtf-sg2.asp" </w:instrText>
      </w:r>
      <w:r>
        <w:fldChar w:fldCharType="separate"/>
      </w:r>
      <w:r>
        <w:rPr>
          <w:rFonts w:ascii="Times New Roman" w:hAnsi="Times New Roman" w:eastAsia="宋体" w:cs="宋体"/>
          <w:i/>
          <w:snapToGrid w:val="0"/>
          <w:color w:val="0000FF"/>
          <w:u w:val="single"/>
          <w:lang w:eastAsia="zh-CN"/>
        </w:rPr>
        <w:t>GHTF研究组2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[5]</w:t>
      </w:r>
      <w:r>
        <w:rPr>
          <w:rFonts w:ascii="Times New Roman" w:hAnsi="Times New Roman" w:eastAsia="宋体" w:cs="宋体"/>
          <w:lang w:eastAsia="zh-CN"/>
        </w:rPr>
        <w:t>文件；</w:t>
      </w:r>
      <w:r>
        <w:fldChar w:fldCharType="begin"/>
      </w:r>
      <w:r>
        <w:instrText xml:space="preserve"> HYPERLINK "http://www.imdrf.org/docs/ghtf/final/sg2/technical-docs/ghtf-sg2-n79r11-medical-devices-post-market-surveillance-090217.pdf" </w:instrText>
      </w:r>
      <w:r>
        <w:fldChar w:fldCharType="separate"/>
      </w:r>
      <w:r>
        <w:rPr>
          <w:rFonts w:ascii="Times New Roman" w:hAnsi="Times New Roman" w:eastAsia="宋体" w:cs="宋体"/>
          <w:i/>
          <w:iCs/>
          <w:snapToGrid w:val="0"/>
          <w:color w:val="0000FF"/>
          <w:u w:val="single"/>
          <w:lang w:eastAsia="zh-CN"/>
        </w:rPr>
        <w:t>GHTF SG2 N79R11:2009</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color w:val="0000FF"/>
          <w:u w:val="single"/>
          <w:vertAlign w:val="superscript"/>
          <w:lang w:eastAsia="zh-CN"/>
        </w:rPr>
        <w:t>[15]</w:t>
      </w:r>
    </w:p>
    <w:p w14:paraId="1702D84C">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上市前 -- </w:t>
      </w:r>
      <w:r>
        <w:rPr>
          <w:rFonts w:ascii="Times New Roman" w:hAnsi="Times New Roman" w:eastAsia="宋体" w:cs="宋体"/>
          <w:lang w:eastAsia="zh-CN"/>
        </w:rPr>
        <w:t>产品可供购买之前的时间段。</w:t>
      </w:r>
    </w:p>
    <w:p w14:paraId="6330A676">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"http://www.imdrf.org/documents/doc-ghtf-sg1.asp" </w:instrText>
      </w:r>
      <w:r>
        <w:fldChar w:fldCharType="separate"/>
      </w:r>
      <w:r>
        <w:rPr>
          <w:rFonts w:ascii="Times New Roman" w:hAnsi="Times New Roman" w:eastAsia="宋体" w:cs="宋体"/>
          <w:i/>
          <w:snapToGrid w:val="0"/>
          <w:color w:val="0000FF"/>
          <w:u w:val="single"/>
          <w:lang w:eastAsia="zh-CN"/>
        </w:rPr>
        <w:t>GHTF研究组1</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color w:val="0000FF"/>
          <w:u w:val="single"/>
          <w:vertAlign w:val="superscript"/>
          <w:lang w:eastAsia="zh-CN"/>
        </w:rPr>
        <w:t>[4]</w:t>
      </w:r>
      <w:r>
        <w:rPr>
          <w:rFonts w:ascii="Times New Roman" w:hAnsi="Times New Roman" w:eastAsia="宋体" w:cs="宋体"/>
          <w:lang w:eastAsia="zh-CN"/>
        </w:rPr>
        <w:t>文件</w:t>
      </w:r>
    </w:p>
    <w:p w14:paraId="5C6EE850">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专业协会指南 -- </w:t>
      </w:r>
      <w:r>
        <w:rPr>
          <w:rFonts w:ascii="Times New Roman" w:hAnsi="Times New Roman" w:eastAsia="宋体" w:cs="宋体"/>
          <w:lang w:eastAsia="zh-CN"/>
        </w:rPr>
        <w:t>权威机构推荐的管理规范和文件；使用现有的完善标准和/或临床数据。</w:t>
      </w:r>
    </w:p>
    <w:p w14:paraId="25D33109">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"http://www.imdrf.org/docs/ghtf/final/sg5/technical-docs/ghtf-sg5-n2r8-2007-clinical-evaluation-070501.pdf" </w:instrText>
      </w:r>
      <w:r>
        <w:fldChar w:fldCharType="separate"/>
      </w:r>
      <w:r>
        <w:rPr>
          <w:rFonts w:ascii="Times New Roman" w:hAnsi="Times New Roman" w:eastAsia="宋体" w:cs="宋体"/>
          <w:i/>
          <w:snapToGrid w:val="0"/>
          <w:color w:val="0000FF"/>
          <w:u w:val="single"/>
          <w:lang w:eastAsia="zh-CN"/>
        </w:rPr>
        <w:t>GHTF SG5 N2R8:2007</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[8]</w:t>
      </w:r>
      <w:r>
        <w:rPr>
          <w:rFonts w:ascii="Times New Roman" w:hAnsi="Times New Roman" w:eastAsia="宋体" w:cs="宋体"/>
          <w:lang w:eastAsia="zh-CN"/>
        </w:rPr>
        <w:t>第9节</w:t>
      </w:r>
    </w:p>
    <w:p w14:paraId="320CF64B">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真实世界（SaMD）证据 --</w:t>
      </w:r>
      <w:r>
        <w:rPr>
          <w:rFonts w:ascii="Times New Roman" w:hAnsi="Times New Roman" w:eastAsia="宋体" w:cs="宋体"/>
          <w:lang w:eastAsia="zh-CN"/>
        </w:rPr>
        <w:t xml:space="preserve"> 通过汇总和分析真实世界数据元素得出的证据。</w:t>
      </w:r>
    </w:p>
    <w:p w14:paraId="365174C9">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真实世界数据 -- </w:t>
      </w:r>
      <w:r>
        <w:rPr>
          <w:rFonts w:ascii="Times New Roman" w:hAnsi="Times New Roman" w:eastAsia="宋体" w:cs="宋体"/>
          <w:lang w:eastAsia="zh-CN"/>
        </w:rPr>
        <w:t>产品上市后生成的产品信息，可借助该信息深入了解在实际临床环境、常规医疗实践中使用的产品以及消费者经常使用的产品的性能。</w:t>
      </w:r>
    </w:p>
    <w:p w14:paraId="6DFA1F2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真实世界性能 -- </w:t>
      </w:r>
      <w:r>
        <w:rPr>
          <w:rFonts w:ascii="Times New Roman" w:hAnsi="Times New Roman" w:eastAsia="宋体" w:cs="宋体"/>
          <w:lang w:eastAsia="zh-CN"/>
        </w:rPr>
        <w:t>有关器械在更广泛的患者人群中真实应用和相关性能的信息，并非摘自受控程度更高的研究或相关文献，从而可提供无法通过此类研究获得的信息。</w:t>
      </w:r>
    </w:p>
    <w:p w14:paraId="2F8B1196">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（另请参见性能（真实世界））</w:t>
      </w:r>
    </w:p>
    <w:p w14:paraId="052E744C">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风险分类框架（SaMD） -- </w:t>
      </w:r>
      <w:r>
        <w:rPr>
          <w:rFonts w:ascii="Times New Roman" w:hAnsi="Times New Roman" w:eastAsia="宋体" w:cs="宋体"/>
          <w:lang w:eastAsia="zh-CN"/>
        </w:rPr>
        <w:t>根据提供的医疗决策相关信息的重要性以及预期应用SaMD的医疗情况或状况的状态，确定SaMD类别的框架。</w:t>
      </w:r>
    </w:p>
    <w:p w14:paraId="6230420D">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第7.0节</w:t>
      </w:r>
    </w:p>
    <w:p w14:paraId="7062E0A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安全性 --</w:t>
      </w:r>
      <w:r>
        <w:rPr>
          <w:rFonts w:ascii="Times New Roman" w:hAnsi="Times New Roman" w:eastAsia="宋体" w:cs="宋体"/>
          <w:lang w:eastAsia="zh-CN"/>
        </w:rPr>
        <w:t xml:space="preserve"> 产品的设计和制造应确保在预期条件下及按预期目的使用时，根据技术知识、经验、教育或培训以及预期用户的医疗和身体状况（如适用），产品将按预期运行。</w:t>
      </w:r>
    </w:p>
    <w:p w14:paraId="1C50A6FB">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（另请参见有效性、性能）</w:t>
      </w:r>
    </w:p>
    <w:p w14:paraId="5D22B609">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安全性数据 -- </w:t>
      </w:r>
      <w:r>
        <w:rPr>
          <w:rFonts w:ascii="Times New Roman" w:hAnsi="Times New Roman" w:eastAsia="宋体" w:cs="宋体"/>
          <w:lang w:eastAsia="zh-CN"/>
        </w:rPr>
        <w:t>影响患者健康和安全的医疗器械不良事件和其他问题；安全性数据可与性能数据在同一活动中收集；临床性能试验期间不存在安全问题是安全性的一个指标。</w:t>
      </w:r>
    </w:p>
    <w:p w14:paraId="17AE62B8">
      <w:pPr>
        <w:pStyle w:val="21"/>
        <w:adjustRightInd w:val="0"/>
        <w:snapToGrid w:val="0"/>
        <w:spacing w:before="120" w:beforeLines="50" w:line="300" w:lineRule="auto"/>
        <w:ind w:left="720" w:hanging="720" w:hangingChars="300"/>
        <w:jc w:val="both"/>
        <w:rPr>
          <w:rFonts w:eastAsia="宋体"/>
          <w:snapToGrid w:val="0"/>
          <w:sz w:val="24"/>
          <w:szCs w:val="24"/>
          <w:lang w:eastAsia="zh-CN"/>
        </w:rPr>
      </w:pPr>
    </w:p>
    <w:p w14:paraId="180DF274">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6A1B1C29">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科学有效性 -- </w:t>
      </w:r>
      <w:r>
        <w:rPr>
          <w:rFonts w:ascii="Times New Roman" w:hAnsi="Times New Roman" w:eastAsia="宋体" w:cs="宋体"/>
          <w:lang w:eastAsia="zh-CN"/>
        </w:rPr>
        <w:t>指SaMD的输出（概念、结论、衡量结果）在临床上被接受或有充分依据（存在已确立的科学框架或证据主体）的程度，并在真实世界应用中与SaMD定义声明中确定的医疗情况和临床状况准确对应。</w:t>
      </w:r>
    </w:p>
    <w:p w14:paraId="2D1450CC">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（另请参见临床关联）</w:t>
      </w:r>
    </w:p>
    <w:p w14:paraId="7F6C7E45">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二次数据分析 -- </w:t>
      </w:r>
      <w:r>
        <w:rPr>
          <w:rFonts w:ascii="Times New Roman" w:hAnsi="Times New Roman" w:eastAsia="宋体" w:cs="宋体"/>
          <w:lang w:eastAsia="zh-CN"/>
        </w:rPr>
        <w:t>将所收集的分析数据用于其他目的。</w:t>
      </w:r>
    </w:p>
    <w:p w14:paraId="003506F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灵敏度 -- </w:t>
      </w:r>
      <w:r>
        <w:rPr>
          <w:rFonts w:ascii="Times New Roman" w:hAnsi="Times New Roman" w:eastAsia="宋体" w:cs="宋体"/>
          <w:lang w:eastAsia="zh-CN"/>
        </w:rPr>
        <w:t>SaMD正确识别患有预期临床疾病或状况的患者的有效性。</w:t>
      </w:r>
    </w:p>
    <w:p w14:paraId="0D58185B">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lang w:eastAsia="zh-CN"/>
        </w:rPr>
        <w:t>第4.0节</w:t>
      </w:r>
    </w:p>
    <w:p w14:paraId="07AB1582">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严重（情况或状况） -- </w:t>
      </w:r>
      <w:r>
        <w:rPr>
          <w:rFonts w:ascii="Times New Roman" w:hAnsi="Times New Roman" w:eastAsia="宋体" w:cs="宋体"/>
          <w:lang w:eastAsia="zh-CN"/>
        </w:rPr>
        <w:t>准确诊断或治疗对于避免不必要的干预（例如穿刺活检）或及时干预以缓解个体患者健康状况或公众健康的长期不可逆后果来说至关重要的情况或状况。</w:t>
      </w:r>
    </w:p>
    <w:p w14:paraId="4964D1CD">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lang w:eastAsia="zh-CN"/>
        </w:rPr>
        <w:t>第5.2.2节</w:t>
      </w:r>
    </w:p>
    <w:p w14:paraId="3BD17A71">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特异性 -- </w:t>
      </w:r>
      <w:r>
        <w:rPr>
          <w:rFonts w:ascii="Times New Roman" w:hAnsi="Times New Roman" w:eastAsia="宋体" w:cs="宋体"/>
          <w:lang w:eastAsia="zh-CN"/>
        </w:rPr>
        <w:t>在一系列可用测量中正确识别没有预期疾病或状况的患者。</w:t>
      </w:r>
    </w:p>
    <w:p w14:paraId="6E531A23">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rPr>
          <w:rFonts w:ascii="Times New Roman" w:hAnsi="Times New Roman" w:eastAsia="宋体" w:cs="宋体"/>
          <w:i/>
          <w:color w:val="0000FF"/>
          <w:u w:val="single"/>
          <w:lang w:eastAsia="zh-CN"/>
        </w:rPr>
        <w:t>GHTF SG5 N7:2012</w:t>
      </w:r>
      <w:r>
        <w:rPr>
          <w:rFonts w:ascii="Times New Roman" w:hAnsi="Times New Roman" w:eastAsia="宋体" w:cs="宋体"/>
          <w:i/>
          <w:vertAlign w:val="superscript"/>
          <w:lang w:eastAsia="zh-CN"/>
        </w:rPr>
        <w:t>[13]</w:t>
      </w:r>
      <w:r>
        <w:rPr>
          <w:rFonts w:ascii="Times New Roman" w:hAnsi="Times New Roman" w:eastAsia="宋体" w:cs="宋体"/>
          <w:lang w:eastAsia="zh-CN"/>
        </w:rPr>
        <w:t>第4.0节</w:t>
      </w:r>
    </w:p>
    <w:p w14:paraId="051EAFCC">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治疗（SaMD输出） -- </w:t>
      </w:r>
      <w:r>
        <w:rPr>
          <w:rFonts w:ascii="Times New Roman" w:hAnsi="Times New Roman" w:eastAsia="宋体" w:cs="宋体"/>
          <w:lang w:eastAsia="zh-CN"/>
        </w:rPr>
        <w:t>将依据SaMD提供的信息采取即时或近期行动。</w:t>
      </w:r>
    </w:p>
    <w:p w14:paraId="054ADAFD">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snapToGrid w:val="0"/>
          <w:color w:val="0000FF"/>
          <w:u w:val="single"/>
          <w:lang w:eastAsia="zh-CN"/>
        </w:rPr>
        <w:t>SaMD N12</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第5.1.1节</w:t>
      </w:r>
    </w:p>
    <w:p w14:paraId="23BFC00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可用性 -- </w:t>
      </w:r>
      <w:r>
        <w:rPr>
          <w:rFonts w:ascii="Times New Roman" w:hAnsi="Times New Roman" w:eastAsia="宋体" w:cs="宋体"/>
          <w:lang w:eastAsia="zh-CN"/>
        </w:rPr>
        <w:t>用户与计算机系统交互的方式，特别是输入设备和软件的使用以及对设备用户、使用环境和用户界面安全考虑因素的评价。</w:t>
      </w:r>
    </w:p>
    <w:p w14:paraId="0E369527">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"https://www.iso.org/standard/63179.html" </w:instrText>
      </w:r>
      <w:r>
        <w:fldChar w:fldCharType="separate"/>
      </w:r>
      <w:r>
        <w:rPr>
          <w:rFonts w:ascii="Times New Roman" w:hAnsi="Times New Roman" w:eastAsia="宋体" w:cs="宋体"/>
          <w:i/>
          <w:snapToGrid w:val="0"/>
          <w:color w:val="0000FF"/>
          <w:u w:val="single"/>
          <w:lang w:eastAsia="zh-CN"/>
        </w:rPr>
        <w:t>ISO/IEC 62366-1:2015</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[20]</w:t>
      </w:r>
      <w:r>
        <w:rPr>
          <w:rFonts w:ascii="Times New Roman" w:hAnsi="Times New Roman" w:eastAsia="宋体" w:cs="宋体"/>
          <w:lang w:eastAsia="zh-CN"/>
        </w:rPr>
        <w:t>、</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iCs/>
          <w:snapToGrid w:val="0"/>
          <w:color w:val="0000FF"/>
          <w:u w:val="single"/>
          <w:lang w:eastAsia="zh-CN"/>
        </w:rPr>
        <w:t>SaMD N12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第4.0节、</w:t>
      </w:r>
      <w:r>
        <w:fldChar w:fldCharType="begin"/>
      </w:r>
      <w:r>
        <w:instrText xml:space="preserve"> HYPERLINK "http://www.imdrf.org/docs/imdrf/final/technical/imdrf-tech-151002-samd-qms.pdf" </w:instrText>
      </w:r>
      <w:r>
        <w:fldChar w:fldCharType="separate"/>
      </w:r>
      <w:r>
        <w:rPr>
          <w:rFonts w:ascii="Times New Roman" w:hAnsi="Times New Roman" w:eastAsia="宋体" w:cs="宋体"/>
          <w:i/>
          <w:snapToGrid w:val="0"/>
          <w:color w:val="0000FF"/>
          <w:u w:val="single"/>
          <w:lang w:eastAsia="zh-CN"/>
        </w:rPr>
        <w:t>SaMD N23</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第7.2节和第8.4节</w:t>
      </w:r>
    </w:p>
    <w:p w14:paraId="5F04AD04">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（另请参见临床可用性、用户界面）</w:t>
      </w:r>
    </w:p>
    <w:p w14:paraId="516E66F7">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用户界面 -- </w:t>
      </w:r>
      <w:r>
        <w:rPr>
          <w:rFonts w:ascii="Times New Roman" w:hAnsi="Times New Roman" w:eastAsia="宋体" w:cs="宋体"/>
          <w:lang w:eastAsia="zh-CN"/>
        </w:rPr>
        <w:t>用户与计算机系统交互的方式，特别是输入设备和软件的使用以及对设备用户、使用环境和用户界面安全考虑因素的评价。</w:t>
      </w:r>
    </w:p>
    <w:p w14:paraId="1370FCE2">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\l "bookmark164" \o "Current Document" \h </w:instrText>
      </w:r>
      <w:r>
        <w:fldChar w:fldCharType="separate"/>
      </w:r>
      <w:r>
        <w:rPr>
          <w:rFonts w:ascii="Times New Roman" w:hAnsi="Times New Roman" w:eastAsia="宋体" w:cs="宋体"/>
          <w:i/>
          <w:iCs/>
          <w:snapToGrid w:val="0"/>
          <w:color w:val="0000FF"/>
          <w:u w:val="single"/>
          <w:lang w:eastAsia="zh-CN"/>
        </w:rPr>
        <w:t>ISO/IEC 62366-1:2015</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[20]</w:t>
      </w:r>
      <w:r>
        <w:rPr>
          <w:rFonts w:ascii="Times New Roman" w:hAnsi="Times New Roman" w:eastAsia="宋体" w:cs="宋体"/>
          <w:lang w:eastAsia="zh-CN"/>
        </w:rPr>
        <w:t>、</w:t>
      </w:r>
      <w:r>
        <w:fldChar w:fldCharType="begin"/>
      </w:r>
      <w:r>
        <w:instrText xml:space="preserve"> HYPERLINK "http://www.imdrf.org/docs/imdrf/final/technical/imdrf-tech-140918-samd-framework-risk-categorization-141013.pdfhttp:/www.imdrf.org/docs/imdrf/final/technical/imdrf-tech-140918-samd-framework-risk-categorization-141013.pdf" </w:instrText>
      </w:r>
      <w:r>
        <w:fldChar w:fldCharType="separate"/>
      </w:r>
      <w:r>
        <w:rPr>
          <w:rFonts w:ascii="Times New Roman" w:hAnsi="Times New Roman" w:eastAsia="宋体" w:cs="宋体"/>
          <w:i/>
          <w:iCs/>
          <w:snapToGrid w:val="0"/>
          <w:color w:val="0000FF"/>
          <w:u w:val="single"/>
          <w:lang w:eastAsia="zh-CN"/>
        </w:rPr>
        <w:t>SaMD N12</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[2</w:t>
      </w:r>
      <w:r>
        <w:rPr>
          <w:rFonts w:ascii="Times New Roman" w:hAnsi="Times New Roman" w:eastAsia="宋体" w:cs="宋体"/>
          <w:vertAlign w:val="superscript"/>
          <w:lang w:eastAsia="zh-CN"/>
        </w:rPr>
        <w:t>]</w:t>
      </w:r>
      <w:r>
        <w:rPr>
          <w:rFonts w:ascii="Times New Roman" w:hAnsi="Times New Roman" w:eastAsia="宋体" w:cs="宋体"/>
          <w:lang w:eastAsia="zh-CN"/>
        </w:rPr>
        <w:t>第4.0节、</w:t>
      </w:r>
      <w:r>
        <w:fldChar w:fldCharType="begin"/>
      </w:r>
      <w:r>
        <w:instrText xml:space="preserve"> HYPERLINK \l "bookmark134" \o "Current Document" \h </w:instrText>
      </w:r>
      <w:r>
        <w:fldChar w:fldCharType="separate"/>
      </w:r>
      <w:r>
        <w:rPr>
          <w:rFonts w:ascii="Times New Roman" w:hAnsi="Times New Roman" w:eastAsia="宋体" w:cs="宋体"/>
          <w:i/>
          <w:iCs/>
          <w:snapToGrid w:val="0"/>
          <w:color w:val="0000FF"/>
          <w:u w:val="single"/>
          <w:lang w:eastAsia="zh-CN"/>
        </w:rPr>
        <w:t>SaMD N23</w:t>
      </w:r>
      <w:r>
        <w:rPr>
          <w:rFonts w:ascii="Times New Roman" w:hAnsi="Times New Roman" w:eastAsia="宋体" w:cs="宋体"/>
          <w:i/>
          <w:iCs/>
          <w:snapToGrid w:val="0"/>
          <w:color w:val="0000FF"/>
          <w:u w:val="single"/>
          <w:lang w:eastAsia="zh-CN"/>
        </w:rPr>
        <w:fldChar w:fldCharType="end"/>
      </w:r>
      <w:r>
        <w:rPr>
          <w:rFonts w:ascii="Times New Roman" w:hAnsi="Times New Roman" w:eastAsia="宋体" w:cs="宋体"/>
          <w:i/>
          <w:vertAlign w:val="superscript"/>
          <w:lang w:eastAsia="zh-CN"/>
        </w:rPr>
        <w:t>[3]</w:t>
      </w:r>
      <w:r>
        <w:rPr>
          <w:rFonts w:ascii="Times New Roman" w:hAnsi="Times New Roman" w:eastAsia="宋体" w:cs="宋体"/>
          <w:lang w:eastAsia="zh-CN"/>
        </w:rPr>
        <w:t>第7.2节和第8.4节</w:t>
      </w:r>
    </w:p>
    <w:p w14:paraId="70A213D5">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i/>
          <w:lang w:eastAsia="zh-CN"/>
        </w:rPr>
        <w:t>（另请参见临床可用性、可用性）</w:t>
      </w:r>
    </w:p>
    <w:p w14:paraId="14DFD941">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用户 -- </w:t>
      </w:r>
      <w:r>
        <w:rPr>
          <w:rFonts w:ascii="Times New Roman" w:hAnsi="Times New Roman" w:eastAsia="宋体" w:cs="宋体"/>
          <w:lang w:eastAsia="zh-CN"/>
        </w:rPr>
        <w:t>包括患者、医疗服务提供者、专业人士、非专业用户和消费者。</w:t>
      </w:r>
    </w:p>
    <w:p w14:paraId="6A9E444A">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确认 --</w:t>
      </w:r>
      <w:r>
        <w:rPr>
          <w:rFonts w:ascii="Times New Roman" w:hAnsi="Times New Roman" w:eastAsia="宋体" w:cs="宋体"/>
          <w:lang w:eastAsia="zh-CN"/>
        </w:rPr>
        <w:t xml:space="preserve"> 通过提供客观证据确认已满足特定用途或应用的要求的过程。</w:t>
      </w:r>
    </w:p>
    <w:p w14:paraId="54AEB521">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"http://www.imdrf.org/docs/ghtf/final/sg3/technical-docs/ghtf-sg3-n18-2010-qms-guidance-on-corrective-preventative-action-101104.pdf" </w:instrText>
      </w:r>
      <w:r>
        <w:fldChar w:fldCharType="separate"/>
      </w:r>
      <w:r>
        <w:rPr>
          <w:rFonts w:ascii="Times New Roman" w:hAnsi="Times New Roman" w:eastAsia="宋体" w:cs="宋体"/>
          <w:i/>
          <w:snapToGrid w:val="0"/>
          <w:color w:val="0000FF"/>
          <w:u w:val="single"/>
          <w:lang w:eastAsia="zh-CN"/>
        </w:rPr>
        <w:t>GHTF SG3 N18:2010</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[6]</w:t>
      </w:r>
      <w:r>
        <w:rPr>
          <w:rFonts w:ascii="Times New Roman" w:hAnsi="Times New Roman" w:eastAsia="宋体" w:cs="宋体"/>
          <w:lang w:eastAsia="zh-CN"/>
        </w:rPr>
        <w:t>第2.8节</w:t>
      </w:r>
    </w:p>
    <w:p w14:paraId="4D67A28E">
      <w:pPr>
        <w:adjustRightInd w:val="0"/>
        <w:snapToGrid w:val="0"/>
        <w:spacing w:before="120" w:beforeLines="50" w:line="300" w:lineRule="auto"/>
        <w:ind w:left="723" w:hanging="723" w:hangingChars="300"/>
        <w:jc w:val="both"/>
        <w:rPr>
          <w:rFonts w:ascii="Times New Roman" w:hAnsi="Times New Roman" w:eastAsia="宋体" w:cs="Times New Roman"/>
          <w:snapToGrid w:val="0"/>
          <w:lang w:eastAsia="zh-CN"/>
        </w:rPr>
      </w:pPr>
      <w:r>
        <w:rPr>
          <w:rFonts w:ascii="Times New Roman" w:hAnsi="Times New Roman" w:eastAsia="宋体" w:cs="宋体"/>
          <w:b/>
          <w:i/>
          <w:lang w:eastAsia="zh-CN"/>
        </w:rPr>
        <w:t xml:space="preserve">验证 -- </w:t>
      </w:r>
      <w:r>
        <w:rPr>
          <w:rFonts w:ascii="Times New Roman" w:hAnsi="Times New Roman" w:eastAsia="宋体" w:cs="宋体"/>
          <w:lang w:eastAsia="zh-CN"/>
        </w:rPr>
        <w:t>通过提供客观证据确认已满足规定要求的过程。</w:t>
      </w:r>
    </w:p>
    <w:p w14:paraId="1BD40D2F">
      <w:pPr>
        <w:rPr>
          <w:rFonts w:ascii="Times New Roman" w:hAnsi="Times New Roman" w:eastAsia="宋体" w:cs="Times New Roman"/>
          <w:snapToGrid w:val="0"/>
          <w:lang w:eastAsia="zh-CN"/>
        </w:rPr>
      </w:pPr>
      <w:r>
        <w:rPr>
          <w:rFonts w:ascii="Times New Roman" w:hAnsi="Times New Roman" w:eastAsia="宋体" w:cs="宋体"/>
          <w:lang w:eastAsia="zh-CN"/>
        </w:rPr>
        <w:br w:type="page"/>
      </w:r>
    </w:p>
    <w:p w14:paraId="310A979F">
      <w:pPr>
        <w:adjustRightInd w:val="0"/>
        <w:snapToGrid w:val="0"/>
        <w:spacing w:before="120" w:beforeLines="50" w:line="300" w:lineRule="auto"/>
        <w:ind w:left="717" w:leftChars="295" w:hanging="9" w:hangingChars="4"/>
        <w:jc w:val="both"/>
        <w:rPr>
          <w:rFonts w:ascii="Times New Roman" w:hAnsi="Times New Roman" w:eastAsia="宋体" w:cs="Times New Roman"/>
          <w:snapToGrid w:val="0"/>
          <w:lang w:eastAsia="zh-CN"/>
        </w:rPr>
      </w:pPr>
      <w:r>
        <w:rPr>
          <w:rFonts w:ascii="Times New Roman" w:hAnsi="Times New Roman" w:eastAsia="宋体" w:cs="宋体"/>
          <w:lang w:eastAsia="zh-CN"/>
        </w:rPr>
        <w:t>其他资源：参见</w:t>
      </w:r>
      <w:r>
        <w:fldChar w:fldCharType="begin"/>
      </w:r>
      <w:r>
        <w:instrText xml:space="preserve"> HYPERLINK "http://www.imdrf.org/docs/ghtf/final/sg3/technical-docs/ghtf-sg3-n18-2010-qms-guidance-on-corrective-preventative-action-101104.pdf" </w:instrText>
      </w:r>
      <w:r>
        <w:fldChar w:fldCharType="separate"/>
      </w:r>
      <w:r>
        <w:rPr>
          <w:rFonts w:ascii="Times New Roman" w:hAnsi="Times New Roman" w:eastAsia="宋体" w:cs="宋体"/>
          <w:i/>
          <w:snapToGrid w:val="0"/>
          <w:color w:val="0000FF"/>
          <w:u w:val="single"/>
          <w:lang w:eastAsia="zh-CN"/>
        </w:rPr>
        <w:t>GHTF SG3 N18:2010</w:t>
      </w:r>
      <w:r>
        <w:rPr>
          <w:rFonts w:ascii="Times New Roman" w:hAnsi="Times New Roman" w:eastAsia="宋体" w:cs="宋体"/>
          <w:i/>
          <w:snapToGrid w:val="0"/>
          <w:color w:val="0000FF"/>
          <w:u w:val="single"/>
          <w:lang w:eastAsia="zh-CN"/>
        </w:rPr>
        <w:fldChar w:fldCharType="end"/>
      </w:r>
      <w:r>
        <w:rPr>
          <w:rFonts w:ascii="Times New Roman" w:hAnsi="Times New Roman" w:eastAsia="宋体" w:cs="宋体"/>
          <w:i/>
          <w:vertAlign w:val="superscript"/>
          <w:lang w:eastAsia="zh-CN"/>
        </w:rPr>
        <w:t>[6]</w:t>
      </w:r>
      <w:r>
        <w:rPr>
          <w:rFonts w:ascii="Times New Roman" w:hAnsi="Times New Roman" w:eastAsia="宋体" w:cs="宋体"/>
          <w:lang w:eastAsia="zh-CN"/>
        </w:rPr>
        <w:t>第2.7节</w:t>
      </w:r>
    </w:p>
    <w:p w14:paraId="0A451374">
      <w:pPr>
        <w:pBdr>
          <w:bottom w:val="single" w:color="auto" w:sz="4" w:space="1"/>
        </w:pBdr>
        <w:adjustRightInd w:val="0"/>
        <w:snapToGrid w:val="0"/>
        <w:spacing w:before="120" w:beforeLines="50" w:line="300" w:lineRule="auto"/>
        <w:jc w:val="center"/>
        <w:rPr>
          <w:rFonts w:hint="eastAsia" w:eastAsia="等线"/>
          <w:lang w:eastAsia="zh-CN"/>
        </w:rPr>
      </w:pPr>
    </w:p>
    <w:p w14:paraId="5D98F7EB">
      <w:pPr>
        <w:pBdr>
          <w:bottom w:val="single" w:color="auto" w:sz="4" w:space="1"/>
        </w:pBdr>
        <w:adjustRightInd w:val="0"/>
        <w:snapToGrid w:val="0"/>
        <w:spacing w:before="120" w:beforeLines="50" w:line="300" w:lineRule="auto"/>
        <w:jc w:val="center"/>
        <w:rPr>
          <w:rFonts w:hint="eastAsia" w:eastAsia="等线"/>
          <w:lang w:eastAsia="zh-CN"/>
        </w:rPr>
      </w:pPr>
    </w:p>
    <w:p w14:paraId="4C69FF48">
      <w:pPr>
        <w:pBdr>
          <w:bottom w:val="single" w:color="auto" w:sz="4" w:space="1"/>
        </w:pBdr>
        <w:adjustRightInd w:val="0"/>
        <w:snapToGrid w:val="0"/>
        <w:spacing w:before="120" w:beforeLines="5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22"/>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18" w:right="1418" w:bottom="1418" w:left="1418" w:header="720" w:footer="720" w:gutter="0"/>
      <w:pgNumType w:start="2"/>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0A8C">
    <w:pPr>
      <w:pStyle w:val="21"/>
      <w:pBdr>
        <w:top w:val="single" w:color="auto" w:sz="4" w:space="1"/>
      </w:pBdr>
      <w:tabs>
        <w:tab w:val="right" w:pos="9071"/>
      </w:tabs>
      <w:adjustRightInd w:val="0"/>
      <w:snapToGrid w:val="0"/>
      <w:spacing w:before="120" w:beforeLines="50" w:line="300" w:lineRule="auto"/>
      <w:jc w:val="both"/>
      <w:rPr>
        <w:rFonts w:eastAsia="宋体"/>
        <w:sz w:val="21"/>
        <w:szCs w:val="21"/>
      </w:rPr>
    </w:pPr>
    <w:r>
      <w:rPr>
        <w:rFonts w:eastAsia="宋体" w:cs="宋体"/>
        <w:sz w:val="21"/>
      </w:rPr>
      <w:t>2017年6月22日</w:t>
    </w:r>
    <w:r>
      <w:rPr>
        <w:rFonts w:eastAsia="宋体" w:cs="宋体"/>
        <w:sz w:val="21"/>
      </w:rPr>
      <w:tab/>
    </w:r>
    <w:r>
      <w:rPr>
        <w:rFonts w:eastAsia="宋体" w:cs="宋体"/>
        <w:sz w:val="21"/>
      </w:rPr>
      <w:t>第</w:t>
    </w:r>
    <w:r>
      <w:rPr>
        <w:rFonts w:eastAsia="宋体" w:cs="宋体"/>
        <w:sz w:val="21"/>
      </w:rPr>
      <w:fldChar w:fldCharType="begin"/>
    </w:r>
    <w:r>
      <w:rPr>
        <w:rFonts w:eastAsia="宋体" w:cs="宋体"/>
        <w:sz w:val="21"/>
      </w:rPr>
      <w:instrText xml:space="preserve">PAGE   \* MERGEFORMAT</w:instrText>
    </w:r>
    <w:r>
      <w:rPr>
        <w:rFonts w:eastAsia="宋体" w:cs="宋体"/>
        <w:sz w:val="21"/>
      </w:rPr>
      <w:fldChar w:fldCharType="separate"/>
    </w:r>
    <w:r>
      <w:rPr>
        <w:rFonts w:eastAsia="宋体" w:cs="宋体"/>
        <w:sz w:val="21"/>
        <w:lang w:val="zh-CN" w:eastAsia="zh-CN"/>
      </w:rPr>
      <w:t>4</w:t>
    </w:r>
    <w:r>
      <w:rPr>
        <w:rFonts w:eastAsia="宋体" w:cs="宋体"/>
        <w:sz w:val="21"/>
      </w:rPr>
      <w:fldChar w:fldCharType="end"/>
    </w:r>
    <w:r>
      <w:rPr>
        <w:rFonts w:eastAsia="宋体" w:cs="宋体"/>
        <w:sz w:val="21"/>
      </w:rPr>
      <w:t>页，共30页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C073">
    <w:pPr>
      <w:pStyle w:val="21"/>
      <w:pBdr>
        <w:bottom w:val="single" w:color="auto" w:sz="4" w:space="1"/>
      </w:pBdr>
      <w:adjustRightInd w:val="0"/>
      <w:snapToGrid w:val="0"/>
      <w:spacing w:before="120" w:beforeLines="50" w:line="300" w:lineRule="auto"/>
      <w:jc w:val="center"/>
      <w:rPr>
        <w:rFonts w:eastAsia="宋体"/>
        <w:sz w:val="21"/>
        <w:szCs w:val="21"/>
      </w:rPr>
    </w:pPr>
    <w:r>
      <w:rPr>
        <w:rFonts w:eastAsia="宋体" w:cs="宋体"/>
        <w:sz w:val="21"/>
      </w:rPr>
      <w:t>IMDRF/SaMD WG/N41FINAL:2017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42EA1"/>
    <w:multiLevelType w:val="multilevel"/>
    <w:tmpl w:val="06D42E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95A47EB"/>
    <w:multiLevelType w:val="multilevel"/>
    <w:tmpl w:val="195A4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4452321"/>
    <w:multiLevelType w:val="multilevel"/>
    <w:tmpl w:val="2445232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812642C"/>
    <w:multiLevelType w:val="multilevel"/>
    <w:tmpl w:val="281264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0D4625B"/>
    <w:multiLevelType w:val="multilevel"/>
    <w:tmpl w:val="30D462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EC262B1"/>
    <w:multiLevelType w:val="multilevel"/>
    <w:tmpl w:val="3EC262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7060A4"/>
    <w:multiLevelType w:val="multilevel"/>
    <w:tmpl w:val="3F7060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3C759B0"/>
    <w:multiLevelType w:val="multilevel"/>
    <w:tmpl w:val="43C759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CF80F86"/>
    <w:multiLevelType w:val="multilevel"/>
    <w:tmpl w:val="4CF80F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1404427"/>
    <w:multiLevelType w:val="multilevel"/>
    <w:tmpl w:val="514044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44D5796"/>
    <w:multiLevelType w:val="multilevel"/>
    <w:tmpl w:val="544D57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1EA0CE4"/>
    <w:multiLevelType w:val="multilevel"/>
    <w:tmpl w:val="61EA0C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81E1BB4"/>
    <w:multiLevelType w:val="multilevel"/>
    <w:tmpl w:val="681E1B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DB469C4"/>
    <w:multiLevelType w:val="multilevel"/>
    <w:tmpl w:val="6DB469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8E072B7"/>
    <w:multiLevelType w:val="multilevel"/>
    <w:tmpl w:val="78E072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95A40AB"/>
    <w:multiLevelType w:val="multilevel"/>
    <w:tmpl w:val="795A40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5"/>
  </w:num>
  <w:num w:numId="2">
    <w:abstractNumId w:val="11"/>
  </w:num>
  <w:num w:numId="3">
    <w:abstractNumId w:val="9"/>
  </w:num>
  <w:num w:numId="4">
    <w:abstractNumId w:val="13"/>
  </w:num>
  <w:num w:numId="5">
    <w:abstractNumId w:val="3"/>
  </w:num>
  <w:num w:numId="6">
    <w:abstractNumId w:val="14"/>
  </w:num>
  <w:num w:numId="7">
    <w:abstractNumId w:val="1"/>
  </w:num>
  <w:num w:numId="8">
    <w:abstractNumId w:val="5"/>
  </w:num>
  <w:num w:numId="9">
    <w:abstractNumId w:val="0"/>
  </w:num>
  <w:num w:numId="10">
    <w:abstractNumId w:val="8"/>
  </w:num>
  <w:num w:numId="11">
    <w:abstractNumId w:val="7"/>
  </w:num>
  <w:num w:numId="12">
    <w:abstractNumId w:val="6"/>
  </w:num>
  <w:num w:numId="13">
    <w:abstractNumId w:val="4"/>
  </w:num>
  <w:num w:numId="14">
    <w:abstractNumId w:val="2"/>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4D"/>
    <w:rsid w:val="00007DEC"/>
    <w:rsid w:val="0002512A"/>
    <w:rsid w:val="0006723E"/>
    <w:rsid w:val="000F430E"/>
    <w:rsid w:val="00127194"/>
    <w:rsid w:val="001501CA"/>
    <w:rsid w:val="00164140"/>
    <w:rsid w:val="001E36C2"/>
    <w:rsid w:val="00222036"/>
    <w:rsid w:val="00250367"/>
    <w:rsid w:val="00257876"/>
    <w:rsid w:val="0027690E"/>
    <w:rsid w:val="002D425B"/>
    <w:rsid w:val="0033792C"/>
    <w:rsid w:val="003517E7"/>
    <w:rsid w:val="00354091"/>
    <w:rsid w:val="00363137"/>
    <w:rsid w:val="00404061"/>
    <w:rsid w:val="00425185"/>
    <w:rsid w:val="004451AE"/>
    <w:rsid w:val="0046054A"/>
    <w:rsid w:val="004A042F"/>
    <w:rsid w:val="004D0BD2"/>
    <w:rsid w:val="004D32CA"/>
    <w:rsid w:val="0053171B"/>
    <w:rsid w:val="00556DF5"/>
    <w:rsid w:val="005661DF"/>
    <w:rsid w:val="005C1B4B"/>
    <w:rsid w:val="00625034"/>
    <w:rsid w:val="00682116"/>
    <w:rsid w:val="00683FA5"/>
    <w:rsid w:val="006C5E61"/>
    <w:rsid w:val="007126E6"/>
    <w:rsid w:val="00720E93"/>
    <w:rsid w:val="00725D4D"/>
    <w:rsid w:val="007519A9"/>
    <w:rsid w:val="007642EC"/>
    <w:rsid w:val="007C400A"/>
    <w:rsid w:val="00810582"/>
    <w:rsid w:val="008618A5"/>
    <w:rsid w:val="008A2C32"/>
    <w:rsid w:val="00962620"/>
    <w:rsid w:val="00977078"/>
    <w:rsid w:val="0098141E"/>
    <w:rsid w:val="009A5177"/>
    <w:rsid w:val="009D3F00"/>
    <w:rsid w:val="00A04632"/>
    <w:rsid w:val="00A31375"/>
    <w:rsid w:val="00A37F36"/>
    <w:rsid w:val="00A5582C"/>
    <w:rsid w:val="00AE7E10"/>
    <w:rsid w:val="00B7279E"/>
    <w:rsid w:val="00B910A1"/>
    <w:rsid w:val="00BC547A"/>
    <w:rsid w:val="00BD36EC"/>
    <w:rsid w:val="00BF5888"/>
    <w:rsid w:val="00C164A5"/>
    <w:rsid w:val="00C508E9"/>
    <w:rsid w:val="00C5178C"/>
    <w:rsid w:val="00C814B9"/>
    <w:rsid w:val="00C8704E"/>
    <w:rsid w:val="00D0528E"/>
    <w:rsid w:val="00D054A7"/>
    <w:rsid w:val="00D26A3F"/>
    <w:rsid w:val="00D36EBF"/>
    <w:rsid w:val="00D82B0F"/>
    <w:rsid w:val="00D86D7E"/>
    <w:rsid w:val="00D97E23"/>
    <w:rsid w:val="00E75AA0"/>
    <w:rsid w:val="00E90BF9"/>
    <w:rsid w:val="00E932A2"/>
    <w:rsid w:val="00EB67C3"/>
    <w:rsid w:val="00EC5A86"/>
    <w:rsid w:val="00EE12B2"/>
    <w:rsid w:val="00EE3A79"/>
    <w:rsid w:val="00EF5CF6"/>
    <w:rsid w:val="00EF798D"/>
    <w:rsid w:val="00F509A1"/>
    <w:rsid w:val="00F81F5E"/>
    <w:rsid w:val="00FB0FA8"/>
    <w:rsid w:val="1017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4"/>
    <w:semiHidden/>
    <w:unhideWhenUsed/>
    <w:uiPriority w:val="99"/>
  </w:style>
  <w:style w:type="paragraph" w:styleId="5">
    <w:name w:val="Balloon Text"/>
    <w:basedOn w:val="1"/>
    <w:link w:val="39"/>
    <w:semiHidden/>
    <w:unhideWhenUsed/>
    <w:qFormat/>
    <w:uiPriority w:val="99"/>
    <w:rPr>
      <w:sz w:val="18"/>
      <w:szCs w:val="18"/>
    </w:rPr>
  </w:style>
  <w:style w:type="paragraph" w:styleId="6">
    <w:name w:val="footer"/>
    <w:basedOn w:val="1"/>
    <w:link w:val="35"/>
    <w:unhideWhenUsed/>
    <w:qFormat/>
    <w:uiPriority w:val="99"/>
    <w:pPr>
      <w:tabs>
        <w:tab w:val="center" w:pos="4153"/>
        <w:tab w:val="right" w:pos="8306"/>
      </w:tabs>
      <w:snapToGrid w:val="0"/>
    </w:pPr>
    <w:rPr>
      <w:sz w:val="18"/>
      <w:szCs w:val="18"/>
    </w:rPr>
  </w:style>
  <w:style w:type="paragraph" w:styleId="7">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uiPriority w:val="39"/>
    <w:pPr>
      <w:tabs>
        <w:tab w:val="left" w:pos="709"/>
        <w:tab w:val="right" w:leader="dot" w:pos="9061"/>
      </w:tabs>
      <w:adjustRightInd w:val="0"/>
      <w:snapToGrid w:val="0"/>
      <w:spacing w:before="120" w:beforeLines="50" w:line="300" w:lineRule="auto"/>
    </w:pPr>
    <w:rPr>
      <w:rFonts w:ascii="Times New Roman" w:hAnsi="Times New Roman" w:eastAsia="宋体" w:cs="Times New Roman"/>
      <w:b/>
      <w:lang w:eastAsia="zh-CN"/>
    </w:rPr>
  </w:style>
  <w:style w:type="paragraph" w:styleId="9">
    <w:name w:val="toc 2"/>
    <w:basedOn w:val="1"/>
    <w:next w:val="1"/>
    <w:autoRedefine/>
    <w:unhideWhenUsed/>
    <w:uiPriority w:val="39"/>
    <w:pPr>
      <w:tabs>
        <w:tab w:val="left" w:pos="993"/>
        <w:tab w:val="right" w:leader="dot" w:pos="9061"/>
      </w:tabs>
      <w:adjustRightInd w:val="0"/>
      <w:snapToGrid w:val="0"/>
      <w:spacing w:before="120" w:beforeLines="50" w:line="300" w:lineRule="auto"/>
      <w:ind w:left="425" w:leftChars="177"/>
    </w:pPr>
  </w:style>
  <w:style w:type="paragraph" w:styleId="10">
    <w:name w:val="annotation subject"/>
    <w:basedOn w:val="4"/>
    <w:next w:val="4"/>
    <w:link w:val="45"/>
    <w:semiHidden/>
    <w:unhideWhenUsed/>
    <w:uiPriority w:val="99"/>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uiPriority w:val="99"/>
    <w:rPr>
      <w:sz w:val="21"/>
      <w:szCs w:val="21"/>
    </w:rPr>
  </w:style>
  <w:style w:type="character" w:customStyle="1" w:styleId="16">
    <w:name w:val="其他_"/>
    <w:basedOn w:val="13"/>
    <w:link w:val="17"/>
    <w:uiPriority w:val="0"/>
    <w:rPr>
      <w:rFonts w:ascii="Times New Roman" w:hAnsi="Times New Roman" w:eastAsia="Times New Roman" w:cs="Times New Roman"/>
      <w:u w:val="none"/>
      <w:shd w:val="clear" w:color="auto" w:fill="auto"/>
    </w:rPr>
  </w:style>
  <w:style w:type="paragraph" w:customStyle="1" w:styleId="17">
    <w:name w:val="其他"/>
    <w:basedOn w:val="1"/>
    <w:link w:val="16"/>
    <w:uiPriority w:val="0"/>
    <w:pPr>
      <w:spacing w:after="120"/>
    </w:pPr>
    <w:rPr>
      <w:rFonts w:ascii="Times New Roman" w:hAnsi="Times New Roman" w:eastAsia="Times New Roman" w:cs="Times New Roman"/>
    </w:rPr>
  </w:style>
  <w:style w:type="character" w:customStyle="1" w:styleId="18">
    <w:name w:val="页眉或页脚 (2)_"/>
    <w:basedOn w:val="13"/>
    <w:link w:val="19"/>
    <w:qFormat/>
    <w:uiPriority w:val="0"/>
    <w:rPr>
      <w:rFonts w:ascii="Times New Roman" w:hAnsi="Times New Roman" w:eastAsia="Times New Roman" w:cs="Times New Roman"/>
      <w:sz w:val="20"/>
      <w:szCs w:val="20"/>
      <w:u w:val="none"/>
      <w:shd w:val="clear" w:color="auto" w:fill="auto"/>
    </w:rPr>
  </w:style>
  <w:style w:type="paragraph" w:customStyle="1" w:styleId="19">
    <w:name w:val="页眉或页脚 (2)"/>
    <w:basedOn w:val="1"/>
    <w:link w:val="18"/>
    <w:qFormat/>
    <w:uiPriority w:val="0"/>
    <w:rPr>
      <w:rFonts w:ascii="Times New Roman" w:hAnsi="Times New Roman" w:eastAsia="Times New Roman" w:cs="Times New Roman"/>
      <w:sz w:val="20"/>
      <w:szCs w:val="20"/>
    </w:rPr>
  </w:style>
  <w:style w:type="character" w:customStyle="1" w:styleId="20">
    <w:name w:val="页眉或页脚_"/>
    <w:basedOn w:val="13"/>
    <w:link w:val="21"/>
    <w:qFormat/>
    <w:uiPriority w:val="0"/>
    <w:rPr>
      <w:rFonts w:ascii="Times New Roman" w:hAnsi="Times New Roman" w:eastAsia="Times New Roman" w:cs="Times New Roman"/>
      <w:sz w:val="20"/>
      <w:szCs w:val="20"/>
      <w:u w:val="none"/>
      <w:shd w:val="clear" w:color="auto" w:fill="auto"/>
    </w:rPr>
  </w:style>
  <w:style w:type="paragraph" w:customStyle="1" w:styleId="21">
    <w:name w:val="页眉或页脚"/>
    <w:basedOn w:val="1"/>
    <w:link w:val="20"/>
    <w:qFormat/>
    <w:uiPriority w:val="0"/>
    <w:rPr>
      <w:rFonts w:ascii="Times New Roman" w:hAnsi="Times New Roman" w:eastAsia="Times New Roman" w:cs="Times New Roman"/>
      <w:sz w:val="20"/>
      <w:szCs w:val="20"/>
    </w:rPr>
  </w:style>
  <w:style w:type="character" w:customStyle="1" w:styleId="22">
    <w:name w:val="目录_"/>
    <w:basedOn w:val="13"/>
    <w:link w:val="23"/>
    <w:qFormat/>
    <w:uiPriority w:val="0"/>
    <w:rPr>
      <w:rFonts w:ascii="Times New Roman" w:hAnsi="Times New Roman" w:eastAsia="Times New Roman" w:cs="Times New Roman"/>
      <w:b/>
      <w:bCs/>
      <w:u w:val="none"/>
      <w:shd w:val="clear" w:color="auto" w:fill="auto"/>
    </w:rPr>
  </w:style>
  <w:style w:type="paragraph" w:customStyle="1" w:styleId="23">
    <w:name w:val="目录"/>
    <w:basedOn w:val="1"/>
    <w:link w:val="22"/>
    <w:qFormat/>
    <w:uiPriority w:val="0"/>
    <w:pPr>
      <w:spacing w:after="100"/>
    </w:pPr>
    <w:rPr>
      <w:rFonts w:ascii="Times New Roman" w:hAnsi="Times New Roman" w:eastAsia="Times New Roman" w:cs="Times New Roman"/>
      <w:b/>
      <w:bCs/>
    </w:rPr>
  </w:style>
  <w:style w:type="character" w:customStyle="1" w:styleId="24">
    <w:name w:val="标题 #1_"/>
    <w:basedOn w:val="13"/>
    <w:link w:val="25"/>
    <w:qFormat/>
    <w:uiPriority w:val="0"/>
    <w:rPr>
      <w:rFonts w:ascii="Times New Roman" w:hAnsi="Times New Roman" w:eastAsia="Times New Roman" w:cs="Times New Roman"/>
      <w:sz w:val="28"/>
      <w:szCs w:val="28"/>
      <w:u w:val="none"/>
      <w:shd w:val="clear" w:color="auto" w:fill="auto"/>
    </w:rPr>
  </w:style>
  <w:style w:type="paragraph" w:customStyle="1" w:styleId="25">
    <w:name w:val="标题 #1"/>
    <w:basedOn w:val="1"/>
    <w:link w:val="24"/>
    <w:qFormat/>
    <w:uiPriority w:val="0"/>
    <w:pPr>
      <w:spacing w:after="220"/>
      <w:outlineLvl w:val="0"/>
    </w:pPr>
    <w:rPr>
      <w:rFonts w:ascii="Times New Roman" w:hAnsi="Times New Roman" w:eastAsia="Times New Roman" w:cs="Times New Roman"/>
      <w:sz w:val="28"/>
      <w:szCs w:val="28"/>
    </w:rPr>
  </w:style>
  <w:style w:type="character" w:customStyle="1" w:styleId="26">
    <w:name w:val="表格标题_"/>
    <w:basedOn w:val="13"/>
    <w:link w:val="27"/>
    <w:qFormat/>
    <w:uiPriority w:val="0"/>
    <w:rPr>
      <w:rFonts w:ascii="Times New Roman" w:hAnsi="Times New Roman" w:eastAsia="Times New Roman" w:cs="Times New Roman"/>
      <w:i/>
      <w:iCs/>
      <w:color w:val="252524"/>
      <w:sz w:val="17"/>
      <w:szCs w:val="17"/>
      <w:u w:val="none"/>
      <w:shd w:val="clear" w:color="auto" w:fill="auto"/>
    </w:rPr>
  </w:style>
  <w:style w:type="paragraph" w:customStyle="1" w:styleId="27">
    <w:name w:val="表格标题"/>
    <w:basedOn w:val="1"/>
    <w:link w:val="26"/>
    <w:qFormat/>
    <w:uiPriority w:val="0"/>
    <w:rPr>
      <w:rFonts w:ascii="Times New Roman" w:hAnsi="Times New Roman" w:eastAsia="Times New Roman" w:cs="Times New Roman"/>
      <w:i/>
      <w:iCs/>
      <w:color w:val="252524"/>
      <w:sz w:val="17"/>
      <w:szCs w:val="17"/>
    </w:rPr>
  </w:style>
  <w:style w:type="character" w:customStyle="1" w:styleId="28">
    <w:name w:val="脚注_"/>
    <w:basedOn w:val="13"/>
    <w:link w:val="29"/>
    <w:qFormat/>
    <w:uiPriority w:val="0"/>
    <w:rPr>
      <w:rFonts w:ascii="Times New Roman" w:hAnsi="Times New Roman" w:eastAsia="Times New Roman" w:cs="Times New Roman"/>
      <w:sz w:val="20"/>
      <w:szCs w:val="20"/>
      <w:u w:val="none"/>
      <w:shd w:val="clear" w:color="auto" w:fill="auto"/>
    </w:rPr>
  </w:style>
  <w:style w:type="paragraph" w:customStyle="1" w:styleId="29">
    <w:name w:val="脚注"/>
    <w:basedOn w:val="1"/>
    <w:link w:val="28"/>
    <w:uiPriority w:val="0"/>
    <w:rPr>
      <w:rFonts w:ascii="Times New Roman" w:hAnsi="Times New Roman" w:eastAsia="Times New Roman" w:cs="Times New Roman"/>
      <w:sz w:val="20"/>
      <w:szCs w:val="20"/>
    </w:rPr>
  </w:style>
  <w:style w:type="character" w:customStyle="1" w:styleId="30">
    <w:name w:val="页眉 Char"/>
    <w:basedOn w:val="13"/>
    <w:link w:val="7"/>
    <w:uiPriority w:val="99"/>
    <w:rPr>
      <w:color w:val="000000"/>
      <w:sz w:val="18"/>
      <w:szCs w:val="18"/>
    </w:rPr>
  </w:style>
  <w:style w:type="character" w:customStyle="1" w:styleId="31">
    <w:name w:val="图片标题_"/>
    <w:basedOn w:val="13"/>
    <w:link w:val="32"/>
    <w:qFormat/>
    <w:uiPriority w:val="0"/>
    <w:rPr>
      <w:rFonts w:ascii="Times New Roman" w:hAnsi="Times New Roman" w:eastAsia="Times New Roman" w:cs="Times New Roman"/>
      <w:b/>
      <w:bCs/>
      <w:sz w:val="18"/>
      <w:szCs w:val="18"/>
      <w:u w:val="none"/>
      <w:shd w:val="clear" w:color="auto" w:fill="auto"/>
    </w:rPr>
  </w:style>
  <w:style w:type="paragraph" w:customStyle="1" w:styleId="32">
    <w:name w:val="图片标题"/>
    <w:basedOn w:val="1"/>
    <w:link w:val="31"/>
    <w:uiPriority w:val="0"/>
    <w:rPr>
      <w:rFonts w:ascii="Times New Roman" w:hAnsi="Times New Roman" w:eastAsia="Times New Roman" w:cs="Times New Roman"/>
      <w:b/>
      <w:bCs/>
      <w:sz w:val="18"/>
      <w:szCs w:val="18"/>
    </w:rPr>
  </w:style>
  <w:style w:type="character" w:customStyle="1" w:styleId="33">
    <w:name w:val="标题 #2_"/>
    <w:basedOn w:val="13"/>
    <w:link w:val="34"/>
    <w:qFormat/>
    <w:uiPriority w:val="0"/>
    <w:rPr>
      <w:rFonts w:ascii="Times New Roman" w:hAnsi="Times New Roman" w:eastAsia="Times New Roman" w:cs="Times New Roman"/>
      <w:b/>
      <w:bCs/>
      <w:u w:val="none"/>
      <w:shd w:val="clear" w:color="auto" w:fill="auto"/>
    </w:rPr>
  </w:style>
  <w:style w:type="paragraph" w:customStyle="1" w:styleId="34">
    <w:name w:val="标题 #2"/>
    <w:basedOn w:val="1"/>
    <w:link w:val="33"/>
    <w:qFormat/>
    <w:uiPriority w:val="0"/>
    <w:pPr>
      <w:spacing w:after="110"/>
      <w:outlineLvl w:val="1"/>
    </w:pPr>
    <w:rPr>
      <w:rFonts w:ascii="Times New Roman" w:hAnsi="Times New Roman" w:eastAsia="Times New Roman" w:cs="Times New Roman"/>
      <w:b/>
      <w:bCs/>
    </w:rPr>
  </w:style>
  <w:style w:type="character" w:customStyle="1" w:styleId="35">
    <w:name w:val="页脚 Char"/>
    <w:basedOn w:val="13"/>
    <w:link w:val="6"/>
    <w:uiPriority w:val="99"/>
    <w:rPr>
      <w:color w:val="000000"/>
      <w:sz w:val="18"/>
      <w:szCs w:val="18"/>
    </w:rPr>
  </w:style>
  <w:style w:type="paragraph" w:customStyle="1" w:styleId="36">
    <w:name w:val="样式1"/>
    <w:basedOn w:val="25"/>
    <w:link w:val="38"/>
    <w:qFormat/>
    <w:uiPriority w:val="0"/>
    <w:pPr>
      <w:adjustRightInd w:val="0"/>
      <w:snapToGrid w:val="0"/>
      <w:spacing w:before="120" w:beforeLines="50" w:after="0" w:line="300" w:lineRule="auto"/>
      <w:jc w:val="both"/>
    </w:pPr>
    <w:rPr>
      <w:b/>
      <w:snapToGrid w:val="0"/>
      <w:sz w:val="32"/>
      <w:szCs w:val="32"/>
    </w:rPr>
  </w:style>
  <w:style w:type="paragraph" w:styleId="37">
    <w:name w:val="List Paragraph"/>
    <w:basedOn w:val="1"/>
    <w:qFormat/>
    <w:uiPriority w:val="34"/>
    <w:pPr>
      <w:ind w:firstLine="420" w:firstLineChars="200"/>
    </w:pPr>
  </w:style>
  <w:style w:type="character" w:customStyle="1" w:styleId="38">
    <w:name w:val="样式1 Char"/>
    <w:basedOn w:val="24"/>
    <w:link w:val="36"/>
    <w:qFormat/>
    <w:uiPriority w:val="0"/>
    <w:rPr>
      <w:rFonts w:ascii="Times New Roman" w:hAnsi="Times New Roman" w:eastAsia="Times New Roman" w:cs="Times New Roman"/>
      <w:b/>
      <w:snapToGrid w:val="0"/>
      <w:color w:val="000000"/>
      <w:sz w:val="32"/>
      <w:szCs w:val="32"/>
      <w:u w:val="none"/>
      <w:shd w:val="clear" w:color="auto" w:fill="auto"/>
    </w:rPr>
  </w:style>
  <w:style w:type="character" w:customStyle="1" w:styleId="39">
    <w:name w:val="批注框文本 Char"/>
    <w:basedOn w:val="13"/>
    <w:link w:val="5"/>
    <w:semiHidden/>
    <w:uiPriority w:val="99"/>
    <w:rPr>
      <w:color w:val="000000"/>
      <w:sz w:val="18"/>
      <w:szCs w:val="18"/>
    </w:rPr>
  </w:style>
  <w:style w:type="paragraph" w:customStyle="1" w:styleId="40">
    <w:name w:val="样式2"/>
    <w:basedOn w:val="27"/>
    <w:link w:val="42"/>
    <w:qFormat/>
    <w:uiPriority w:val="0"/>
    <w:pPr>
      <w:tabs>
        <w:tab w:val="left" w:pos="709"/>
      </w:tabs>
      <w:adjustRightInd w:val="0"/>
      <w:snapToGrid w:val="0"/>
      <w:spacing w:before="120" w:beforeLines="50" w:line="300" w:lineRule="auto"/>
      <w:jc w:val="both"/>
    </w:pPr>
    <w:rPr>
      <w:b/>
      <w:bCs/>
      <w:i w:val="0"/>
      <w:iCs w:val="0"/>
      <w:snapToGrid w:val="0"/>
      <w:color w:val="000000"/>
      <w:sz w:val="28"/>
      <w:szCs w:val="28"/>
    </w:rPr>
  </w:style>
  <w:style w:type="character" w:customStyle="1" w:styleId="41">
    <w:name w:val="标题 1 Char"/>
    <w:basedOn w:val="13"/>
    <w:link w:val="2"/>
    <w:uiPriority w:val="9"/>
    <w:rPr>
      <w:b/>
      <w:bCs/>
      <w:color w:val="000000"/>
      <w:kern w:val="44"/>
      <w:sz w:val="44"/>
      <w:szCs w:val="44"/>
    </w:rPr>
  </w:style>
  <w:style w:type="character" w:customStyle="1" w:styleId="42">
    <w:name w:val="样式2 Char"/>
    <w:basedOn w:val="26"/>
    <w:link w:val="40"/>
    <w:uiPriority w:val="0"/>
    <w:rPr>
      <w:rFonts w:ascii="Times New Roman" w:hAnsi="Times New Roman" w:eastAsia="Times New Roman" w:cs="Times New Roman"/>
      <w:b/>
      <w:bCs/>
      <w:i w:val="0"/>
      <w:iCs w:val="0"/>
      <w:snapToGrid w:val="0"/>
      <w:color w:val="000000"/>
      <w:sz w:val="28"/>
      <w:szCs w:val="28"/>
      <w:u w:val="none"/>
      <w:shd w:val="clear" w:color="auto" w:fill="auto"/>
    </w:rPr>
  </w:style>
  <w:style w:type="character" w:customStyle="1" w:styleId="43">
    <w:name w:val="标题 2 Char"/>
    <w:basedOn w:val="13"/>
    <w:link w:val="3"/>
    <w:semiHidden/>
    <w:uiPriority w:val="9"/>
    <w:rPr>
      <w:rFonts w:asciiTheme="majorHAnsi" w:hAnsiTheme="majorHAnsi" w:eastAsiaTheme="majorEastAsia" w:cstheme="majorBidi"/>
      <w:b/>
      <w:bCs/>
      <w:color w:val="000000"/>
      <w:sz w:val="32"/>
      <w:szCs w:val="32"/>
    </w:rPr>
  </w:style>
  <w:style w:type="character" w:customStyle="1" w:styleId="44">
    <w:name w:val="批注文字 Char"/>
    <w:basedOn w:val="13"/>
    <w:link w:val="4"/>
    <w:semiHidden/>
    <w:qFormat/>
    <w:uiPriority w:val="99"/>
    <w:rPr>
      <w:color w:val="000000"/>
    </w:rPr>
  </w:style>
  <w:style w:type="character" w:customStyle="1" w:styleId="45">
    <w:name w:val="批注主题 Char"/>
    <w:basedOn w:val="44"/>
    <w:link w:val="10"/>
    <w:semiHidden/>
    <w:qFormat/>
    <w:uiPriority w:val="99"/>
    <w:rPr>
      <w:b/>
      <w:bCs/>
      <w:color w:val="000000"/>
    </w:rPr>
  </w:style>
  <w:style w:type="character" w:customStyle="1" w:styleId="46">
    <w:name w:val="Unresolved Mention"/>
    <w:basedOn w:val="1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D7B44-E47A-424D-9EDA-75B7C36A907B}">
  <ds:schemaRefs/>
</ds:datastoreItem>
</file>

<file path=docProps/app.xml><?xml version="1.0" encoding="utf-8"?>
<Properties xmlns="http://schemas.openxmlformats.org/officeDocument/2006/extended-properties" xmlns:vt="http://schemas.openxmlformats.org/officeDocument/2006/docPropsVTypes">
  <Template>Normal</Template>
  <Pages>32</Pages>
  <Words>4695</Words>
  <Characters>5910</Characters>
  <Lines>241</Lines>
  <Paragraphs>68</Paragraphs>
  <TotalTime>307</TotalTime>
  <ScaleCrop>false</ScaleCrop>
  <LinksUpToDate>false</LinksUpToDate>
  <CharactersWithSpaces>6068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2022-05-25T08:03:00Z</dcterms:created>
  <dc:creator>CDRH</dc:creator>
  <cp:lastModifiedBy>太极箫客</cp:lastModifiedBy>
  <dcterms:modified xsi:type="dcterms:W3CDTF">2025-08-14T06:41:30Z</dcterms:modified>
  <dc:title>Software as a Medical Device (SAMD): Clinical Evaluation - Guidance for Industry and Food and Drug Administration Staff</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1CD54B7AFE294C7583BA86229D2E295D_12</vt:lpwstr>
  </property>
</Properties>
</file>