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75A3C">
      <w:pPr>
        <w:overflowPunct w:val="0"/>
        <w:spacing w:line="560" w:lineRule="exact"/>
        <w:jc w:val="center"/>
        <w:rPr>
          <w:rFonts w:hint="eastAsia" w:ascii="方正小标宋简体" w:eastAsia="方正小标宋简体"/>
          <w:color w:val="000000" w:themeColor="text1"/>
          <w:sz w:val="44"/>
          <w:szCs w:val="44"/>
          <w14:textFill>
            <w14:solidFill>
              <w14:schemeClr w14:val="tx1"/>
            </w14:solidFill>
          </w14:textFill>
        </w:rPr>
      </w:pPr>
      <w:bookmarkStart w:id="23" w:name="_GoBack"/>
      <w:bookmarkEnd w:id="23"/>
      <w:r>
        <w:rPr>
          <w:rFonts w:hint="eastAsia" w:ascii="方正小标宋简体" w:eastAsia="方正小标宋简体"/>
          <w:color w:val="000000" w:themeColor="text1"/>
          <w:sz w:val="44"/>
          <w:szCs w:val="44"/>
          <w14:textFill>
            <w14:solidFill>
              <w14:schemeClr w14:val="tx1"/>
            </w14:solidFill>
          </w14:textFill>
        </w:rPr>
        <w:t>呼吸机同品种临床评价注册审查指导原则</w:t>
      </w:r>
    </w:p>
    <w:p w14:paraId="756D7BC9">
      <w:pPr>
        <w:overflowPunct w:val="0"/>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（征求意见稿）</w:t>
      </w:r>
    </w:p>
    <w:p w14:paraId="2056CD0A">
      <w:pPr>
        <w:spacing w:line="520" w:lineRule="exact"/>
      </w:pPr>
    </w:p>
    <w:p w14:paraId="158C64CC">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本指导原则旨在指导注册申请人</w:t>
      </w:r>
      <w:r>
        <w:rPr>
          <w:rFonts w:hint="eastAsia" w:eastAsia="仿宋_GB2312"/>
          <w:color w:val="000000" w:themeColor="text1"/>
          <w:sz w:val="32"/>
          <w:szCs w:val="32"/>
          <w14:textFill>
            <w14:solidFill>
              <w14:schemeClr w14:val="tx1"/>
            </w14:solidFill>
          </w14:textFill>
        </w:rPr>
        <w:t>开展</w:t>
      </w:r>
      <w:r>
        <w:rPr>
          <w:rFonts w:eastAsia="仿宋_GB2312"/>
          <w:color w:val="000000" w:themeColor="text1"/>
          <w:sz w:val="32"/>
          <w:szCs w:val="32"/>
          <w14:textFill>
            <w14:solidFill>
              <w14:schemeClr w14:val="tx1"/>
            </w14:solidFill>
          </w14:textFill>
        </w:rPr>
        <w:t>呼吸机同品种临床评价，</w:t>
      </w:r>
      <w:r>
        <w:rPr>
          <w:rFonts w:hint="eastAsia" w:eastAsia="仿宋_GB2312"/>
          <w:color w:val="000000" w:themeColor="text1"/>
          <w:sz w:val="32"/>
          <w:szCs w:val="32"/>
          <w14:textFill>
            <w14:solidFill>
              <w14:schemeClr w14:val="tx1"/>
            </w14:solidFill>
          </w14:textFill>
        </w:rPr>
        <w:t>同时</w:t>
      </w:r>
      <w:r>
        <w:rPr>
          <w:rFonts w:eastAsia="仿宋_GB2312"/>
          <w:color w:val="000000" w:themeColor="text1"/>
          <w:sz w:val="32"/>
          <w:szCs w:val="32"/>
          <w14:textFill>
            <w14:solidFill>
              <w14:schemeClr w14:val="tx1"/>
            </w14:solidFill>
          </w14:textFill>
        </w:rPr>
        <w:t>为技术审评部门审评呼吸机同品种对比临床评价资料提供参考。</w:t>
      </w:r>
    </w:p>
    <w:p w14:paraId="460398D6">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本指导原则</w:t>
      </w:r>
      <w:r>
        <w:rPr>
          <w:rFonts w:hint="eastAsia" w:eastAsia="仿宋_GB2312"/>
          <w:color w:val="000000" w:themeColor="text1"/>
          <w:sz w:val="32"/>
          <w:szCs w:val="32"/>
          <w14:textFill>
            <w14:solidFill>
              <w14:schemeClr w14:val="tx1"/>
            </w14:solidFill>
          </w14:textFill>
        </w:rPr>
        <w:t>进一步明确呼吸机产品同品种临床评价的要求和适用情形。</w:t>
      </w:r>
      <w:r>
        <w:rPr>
          <w:rFonts w:eastAsia="仿宋_GB2312"/>
          <w:color w:val="000000" w:themeColor="text1"/>
          <w:sz w:val="32"/>
          <w:szCs w:val="32"/>
          <w14:textFill>
            <w14:solidFill>
              <w14:schemeClr w14:val="tx1"/>
            </w14:solidFill>
          </w14:textFill>
        </w:rPr>
        <w:t>申请人</w:t>
      </w:r>
      <w:r>
        <w:rPr>
          <w:rFonts w:hint="eastAsia" w:eastAsia="仿宋_GB2312"/>
          <w:color w:val="000000" w:themeColor="text1"/>
          <w:sz w:val="32"/>
          <w:szCs w:val="32"/>
          <w14:textFill>
            <w14:solidFill>
              <w14:schemeClr w14:val="tx1"/>
            </w14:solidFill>
          </w14:textFill>
        </w:rPr>
        <w:t>可</w:t>
      </w:r>
      <w:r>
        <w:rPr>
          <w:rFonts w:eastAsia="仿宋_GB2312"/>
          <w:color w:val="000000" w:themeColor="text1"/>
          <w:sz w:val="32"/>
          <w:szCs w:val="32"/>
          <w14:textFill>
            <w14:solidFill>
              <w14:schemeClr w14:val="tx1"/>
            </w14:solidFill>
          </w14:textFill>
        </w:rPr>
        <w:t>依据产品的具体</w:t>
      </w:r>
      <w:r>
        <w:rPr>
          <w:rFonts w:hint="eastAsia" w:eastAsia="仿宋_GB2312"/>
          <w:color w:val="000000" w:themeColor="text1"/>
          <w:sz w:val="32"/>
          <w:szCs w:val="32"/>
          <w14:textFill>
            <w14:solidFill>
              <w14:schemeClr w14:val="tx1"/>
            </w14:solidFill>
          </w14:textFill>
        </w:rPr>
        <w:t>特征</w:t>
      </w:r>
      <w:r>
        <w:rPr>
          <w:rFonts w:eastAsia="仿宋_GB2312"/>
          <w:color w:val="000000" w:themeColor="text1"/>
          <w:sz w:val="32"/>
          <w:szCs w:val="32"/>
          <w14:textFill>
            <w14:solidFill>
              <w14:schemeClr w14:val="tx1"/>
            </w14:solidFill>
          </w14:textFill>
        </w:rPr>
        <w:t>确定其中内容是否适用，若不适用，需阐述理由</w:t>
      </w:r>
      <w:r>
        <w:rPr>
          <w:rFonts w:hint="eastAsia" w:eastAsia="仿宋_GB2312"/>
          <w:color w:val="000000" w:themeColor="text1"/>
          <w:sz w:val="32"/>
          <w:szCs w:val="32"/>
          <w14:textFill>
            <w14:solidFill>
              <w14:schemeClr w14:val="tx1"/>
            </w14:solidFill>
          </w14:textFill>
        </w:rPr>
        <w:t>并提供</w:t>
      </w:r>
      <w:r>
        <w:rPr>
          <w:rFonts w:eastAsia="仿宋_GB2312"/>
          <w:color w:val="000000" w:themeColor="text1"/>
          <w:sz w:val="32"/>
          <w:szCs w:val="32"/>
          <w14:textFill>
            <w14:solidFill>
              <w14:schemeClr w14:val="tx1"/>
            </w14:solidFill>
          </w14:textFill>
        </w:rPr>
        <w:t>相</w:t>
      </w:r>
      <w:r>
        <w:rPr>
          <w:rFonts w:hint="eastAsia" w:eastAsia="仿宋_GB2312"/>
          <w:color w:val="000000" w:themeColor="text1"/>
          <w:sz w:val="32"/>
          <w:szCs w:val="32"/>
          <w14:textFill>
            <w14:solidFill>
              <w14:schemeClr w14:val="tx1"/>
            </w14:solidFill>
          </w14:textFill>
        </w:rPr>
        <w:t>应</w:t>
      </w:r>
      <w:r>
        <w:rPr>
          <w:rFonts w:eastAsia="仿宋_GB2312"/>
          <w:color w:val="000000" w:themeColor="text1"/>
          <w:sz w:val="32"/>
          <w:szCs w:val="32"/>
          <w14:textFill>
            <w14:solidFill>
              <w14:schemeClr w14:val="tx1"/>
            </w14:solidFill>
          </w14:textFill>
        </w:rPr>
        <w:t>的科学依据，并依据产品的具体</w:t>
      </w:r>
      <w:r>
        <w:rPr>
          <w:rFonts w:hint="eastAsia" w:eastAsia="仿宋_GB2312"/>
          <w:color w:val="000000" w:themeColor="text1"/>
          <w:sz w:val="32"/>
          <w:szCs w:val="32"/>
          <w14:textFill>
            <w14:solidFill>
              <w14:schemeClr w14:val="tx1"/>
            </w14:solidFill>
          </w14:textFill>
        </w:rPr>
        <w:t>特征</w:t>
      </w:r>
      <w:r>
        <w:rPr>
          <w:rFonts w:eastAsia="仿宋_GB2312"/>
          <w:color w:val="000000" w:themeColor="text1"/>
          <w:sz w:val="32"/>
          <w:szCs w:val="32"/>
          <w14:textFill>
            <w14:solidFill>
              <w14:schemeClr w14:val="tx1"/>
            </w14:solidFill>
          </w14:textFill>
        </w:rPr>
        <w:t>对临床评价资料的内容进行充实和细化。</w:t>
      </w:r>
      <w:r>
        <w:rPr>
          <w:rFonts w:hint="eastAsia" w:eastAsia="仿宋_GB2312"/>
          <w:kern w:val="0"/>
          <w:sz w:val="32"/>
          <w:szCs w:val="32"/>
        </w:rPr>
        <w:t>若注册申请人通过同品种的方式开展临床评价，在进行临床</w:t>
      </w:r>
      <w:r>
        <w:rPr>
          <w:rFonts w:eastAsia="仿宋_GB2312"/>
          <w:kern w:val="0"/>
          <w:sz w:val="32"/>
          <w:szCs w:val="32"/>
        </w:rPr>
        <w:t>评价时可参考通则</w:t>
      </w:r>
      <w:r>
        <w:rPr>
          <w:rFonts w:hint="eastAsia" w:eastAsia="仿宋_GB2312"/>
          <w:kern w:val="0"/>
          <w:sz w:val="32"/>
          <w:szCs w:val="32"/>
        </w:rPr>
        <w:t>和本指导原则</w:t>
      </w:r>
      <w:r>
        <w:rPr>
          <w:rStyle w:val="19"/>
          <w:rFonts w:hint="eastAsia" w:eastAsia="仿宋_GB2312"/>
          <w:kern w:val="0"/>
          <w:sz w:val="32"/>
          <w:szCs w:val="32"/>
        </w:rPr>
        <w:footnoteReference w:id="0"/>
      </w:r>
      <w:r>
        <w:rPr>
          <w:rFonts w:hint="eastAsia" w:eastAsia="仿宋_GB2312"/>
          <w:kern w:val="0"/>
          <w:sz w:val="32"/>
          <w:szCs w:val="32"/>
        </w:rPr>
        <w:t>。</w:t>
      </w:r>
    </w:p>
    <w:p w14:paraId="130B2276">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本指导原则是供申请人和审查人员使用的指导文件，不涉及注册审批等行政事项，亦不作为法规强制执行，如有能够满足法规要求的其他方法，也可以采用，但需提供详细的研究资料和验证资料。需在遵循相关法规的前提下使用本指导原则。</w:t>
      </w:r>
    </w:p>
    <w:p w14:paraId="2D35BEBE">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本指导原则是在现行法规、标准体系及当前认知水平下制定的，随着法规、标准体系的不断完善和科学技术的不断发展，本指导原则相关内容也将适时进行调整。</w:t>
      </w:r>
      <w:bookmarkStart w:id="0" w:name="_Toc344475832"/>
      <w:bookmarkStart w:id="1" w:name="适用范围"/>
    </w:p>
    <w:p w14:paraId="01E34982">
      <w:pPr>
        <w:overflowPunct w:val="0"/>
        <w:spacing w:line="560" w:lineRule="exact"/>
        <w:ind w:firstLine="640" w:firstLineChars="200"/>
        <w:outlineLvl w:val="0"/>
        <w:rPr>
          <w:rFonts w:ascii="黑体" w:hAnsi="黑体" w:eastAsia="黑体"/>
          <w:color w:val="000000" w:themeColor="text1"/>
          <w:sz w:val="32"/>
          <w:szCs w:val="32"/>
          <w14:textFill>
            <w14:solidFill>
              <w14:schemeClr w14:val="tx1"/>
            </w14:solidFill>
          </w14:textFill>
        </w:rPr>
      </w:pPr>
      <w:bookmarkStart w:id="2" w:name="_Toc82094038"/>
      <w:r>
        <w:rPr>
          <w:rFonts w:hint="eastAsia" w:ascii="黑体" w:hAnsi="黑体" w:eastAsia="黑体"/>
          <w:color w:val="000000" w:themeColor="text1"/>
          <w:sz w:val="32"/>
          <w:szCs w:val="32"/>
          <w14:textFill>
            <w14:solidFill>
              <w14:schemeClr w14:val="tx1"/>
            </w14:solidFill>
          </w14:textFill>
        </w:rPr>
        <w:t>一</w:t>
      </w:r>
      <w:r>
        <w:rPr>
          <w:rFonts w:ascii="黑体" w:hAnsi="黑体" w:eastAsia="黑体"/>
          <w:color w:val="000000" w:themeColor="text1"/>
          <w:sz w:val="32"/>
          <w:szCs w:val="32"/>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适用</w:t>
      </w:r>
      <w:r>
        <w:rPr>
          <w:rFonts w:ascii="黑体" w:hAnsi="黑体" w:eastAsia="黑体"/>
          <w:color w:val="000000" w:themeColor="text1"/>
          <w:sz w:val="32"/>
          <w:szCs w:val="32"/>
          <w14:textFill>
            <w14:solidFill>
              <w14:schemeClr w14:val="tx1"/>
            </w14:solidFill>
          </w14:textFill>
        </w:rPr>
        <w:t>范围</w:t>
      </w:r>
      <w:bookmarkEnd w:id="0"/>
      <w:bookmarkEnd w:id="1"/>
      <w:bookmarkEnd w:id="2"/>
    </w:p>
    <w:p w14:paraId="12CF1C9E">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本指导原则适用于治疗呼吸机</w:t>
      </w:r>
      <w:r>
        <w:rPr>
          <w:rFonts w:hint="eastAsia" w:eastAsia="仿宋_GB2312"/>
          <w:color w:val="000000" w:themeColor="text1"/>
          <w:sz w:val="32"/>
          <w:szCs w:val="32"/>
          <w14:textFill>
            <w14:solidFill>
              <w14:schemeClr w14:val="tx1"/>
            </w14:solidFill>
          </w14:textFill>
        </w:rPr>
        <w:t>、急救和转运用呼吸机、高频振荡呼吸机等用于生命支持的</w:t>
      </w:r>
      <w:r>
        <w:rPr>
          <w:rFonts w:eastAsia="仿宋_GB2312"/>
          <w:color w:val="000000" w:themeColor="text1"/>
          <w:sz w:val="32"/>
          <w:szCs w:val="32"/>
          <w14:textFill>
            <w14:solidFill>
              <w14:schemeClr w14:val="tx1"/>
            </w14:solidFill>
          </w14:textFill>
        </w:rPr>
        <w:t>呼吸机产品</w:t>
      </w:r>
      <w:r>
        <w:rPr>
          <w:rFonts w:hint="eastAsia" w:eastAsia="仿宋_GB2312"/>
          <w:color w:val="000000" w:themeColor="text1"/>
          <w:sz w:val="32"/>
          <w:szCs w:val="32"/>
          <w14:textFill>
            <w14:solidFill>
              <w14:schemeClr w14:val="tx1"/>
            </w14:solidFill>
          </w14:textFill>
        </w:rPr>
        <w:t>，也适用于用于生命支持的无创呼吸机</w:t>
      </w:r>
      <w:r>
        <w:rPr>
          <w:rFonts w:eastAsia="仿宋_GB2312"/>
          <w:color w:val="000000" w:themeColor="text1"/>
          <w:sz w:val="32"/>
          <w:szCs w:val="32"/>
          <w14:textFill>
            <w14:solidFill>
              <w14:schemeClr w14:val="tx1"/>
            </w14:solidFill>
          </w14:textFill>
        </w:rPr>
        <w:t>。</w:t>
      </w:r>
    </w:p>
    <w:p w14:paraId="73157D57">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带有深度学习</w:t>
      </w:r>
      <w:r>
        <w:rPr>
          <w:rFonts w:hint="eastAsia" w:eastAsia="仿宋_GB2312"/>
          <w:color w:val="000000" w:themeColor="text1"/>
          <w:sz w:val="32"/>
          <w:szCs w:val="32"/>
          <w14:textFill>
            <w14:solidFill>
              <w14:schemeClr w14:val="tx1"/>
            </w14:solidFill>
          </w14:textFill>
        </w:rPr>
        <w:t>参数计算/优化或生理闭环控制</w:t>
      </w:r>
      <w:r>
        <w:rPr>
          <w:rFonts w:eastAsia="仿宋_GB2312"/>
          <w:color w:val="000000" w:themeColor="text1"/>
          <w:sz w:val="32"/>
          <w:szCs w:val="32"/>
          <w14:textFill>
            <w14:solidFill>
              <w14:schemeClr w14:val="tx1"/>
            </w14:solidFill>
          </w14:textFill>
        </w:rPr>
        <w:t>功能的呼吸治疗产品</w:t>
      </w:r>
      <w:bookmarkStart w:id="3" w:name="基本原理"/>
      <w:bookmarkStart w:id="4" w:name="_Ref433804316"/>
      <w:bookmarkStart w:id="5" w:name="软件描述文档"/>
      <w:r>
        <w:rPr>
          <w:rFonts w:hint="eastAsia" w:eastAsia="仿宋_GB2312"/>
          <w:color w:val="000000" w:themeColor="text1"/>
          <w:sz w:val="32"/>
          <w:szCs w:val="32"/>
          <w14:textFill>
            <w14:solidFill>
              <w14:schemeClr w14:val="tx1"/>
            </w14:solidFill>
          </w14:textFill>
        </w:rPr>
        <w:t>、高频喷射呼吸机等不适用于本导则，上述产品可参照本指导原则中适用部分的要求。</w:t>
      </w:r>
    </w:p>
    <w:p w14:paraId="6FF1C775">
      <w:pPr>
        <w:overflowPunct w:val="0"/>
        <w:spacing w:line="560" w:lineRule="exact"/>
        <w:ind w:firstLine="640" w:firstLineChars="200"/>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二、同品种临床评价</w:t>
      </w:r>
      <w:r>
        <w:rPr>
          <w:rFonts w:ascii="黑体" w:hAnsi="黑体" w:eastAsia="黑体"/>
          <w:color w:val="000000" w:themeColor="text1"/>
          <w:sz w:val="32"/>
          <w:szCs w:val="32"/>
          <w14:textFill>
            <w14:solidFill>
              <w14:schemeClr w14:val="tx1"/>
            </w14:solidFill>
          </w14:textFill>
        </w:rPr>
        <w:t>基本要求</w:t>
      </w:r>
    </w:p>
    <w:p w14:paraId="2C535FFF">
      <w:pPr>
        <w:pStyle w:val="4"/>
        <w:spacing w:before="0" w:after="0" w:line="520" w:lineRule="exact"/>
        <w:ind w:firstLine="640" w:firstLineChars="200"/>
        <w:rPr>
          <w:rFonts w:ascii="楷体" w:hAnsi="楷体" w:eastAsia="楷体"/>
        </w:rPr>
      </w:pPr>
      <w:r>
        <w:rPr>
          <w:rFonts w:hint="eastAsia" w:ascii="Times New Roman" w:hAnsi="Times New Roman" w:eastAsia="楷体_GB2312" w:cs="Times New Roman"/>
          <w:b w:val="0"/>
          <w:color w:val="000000" w:themeColor="text1"/>
          <w14:textFill>
            <w14:solidFill>
              <w14:schemeClr w14:val="tx1"/>
            </w14:solidFill>
          </w14:textFill>
        </w:rPr>
        <w:t>（一）同品种医疗器械的选择</w:t>
      </w:r>
    </w:p>
    <w:p w14:paraId="7038CD66">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申请人</w:t>
      </w:r>
      <w:r>
        <w:rPr>
          <w:rFonts w:eastAsia="仿宋_GB2312"/>
          <w:color w:val="000000" w:themeColor="text1"/>
          <w:sz w:val="32"/>
          <w:szCs w:val="32"/>
          <w14:textFill>
            <w14:solidFill>
              <w14:schemeClr w14:val="tx1"/>
            </w14:solidFill>
          </w14:textFill>
        </w:rPr>
        <w:t>在选择</w:t>
      </w:r>
      <w:r>
        <w:rPr>
          <w:rFonts w:hint="eastAsia" w:eastAsia="仿宋_GB2312"/>
          <w:color w:val="000000" w:themeColor="text1"/>
          <w:sz w:val="32"/>
          <w:szCs w:val="32"/>
          <w14:textFill>
            <w14:solidFill>
              <w14:schemeClr w14:val="tx1"/>
            </w14:solidFill>
          </w14:textFill>
        </w:rPr>
        <w:t>同品种医疗器械</w:t>
      </w:r>
      <w:r>
        <w:rPr>
          <w:rFonts w:eastAsia="仿宋_GB2312"/>
          <w:color w:val="000000" w:themeColor="text1"/>
          <w:sz w:val="32"/>
          <w:szCs w:val="32"/>
          <w14:textFill>
            <w14:solidFill>
              <w14:schemeClr w14:val="tx1"/>
            </w14:solidFill>
          </w14:textFill>
        </w:rPr>
        <w:t>时，</w:t>
      </w:r>
      <w:r>
        <w:rPr>
          <w:rFonts w:hint="eastAsia" w:eastAsia="仿宋_GB2312"/>
          <w:color w:val="000000" w:themeColor="text1"/>
          <w:sz w:val="32"/>
          <w:szCs w:val="32"/>
          <w14:textFill>
            <w14:solidFill>
              <w14:schemeClr w14:val="tx1"/>
            </w14:solidFill>
          </w14:textFill>
        </w:rPr>
        <w:t>建议</w:t>
      </w:r>
      <w:r>
        <w:rPr>
          <w:rFonts w:eastAsia="仿宋_GB2312"/>
          <w:color w:val="000000" w:themeColor="text1"/>
          <w:sz w:val="32"/>
          <w:szCs w:val="32"/>
          <w14:textFill>
            <w14:solidFill>
              <w14:schemeClr w14:val="tx1"/>
            </w14:solidFill>
          </w14:textFill>
        </w:rPr>
        <w:t>考虑如下方面</w:t>
      </w:r>
      <w:r>
        <w:rPr>
          <w:rStyle w:val="19"/>
          <w:rFonts w:eastAsia="仿宋_GB2312"/>
          <w:color w:val="000000" w:themeColor="text1"/>
          <w:sz w:val="32"/>
          <w:szCs w:val="32"/>
          <w14:textFill>
            <w14:solidFill>
              <w14:schemeClr w14:val="tx1"/>
            </w14:solidFill>
          </w14:textFill>
        </w:rPr>
        <w:footnoteReference w:id="1"/>
      </w:r>
      <w:r>
        <w:rPr>
          <w:rFonts w:eastAsia="仿宋_GB2312"/>
          <w:color w:val="000000" w:themeColor="text1"/>
          <w:sz w:val="32"/>
          <w:szCs w:val="32"/>
          <w14:textFill>
            <w14:solidFill>
              <w14:schemeClr w14:val="tx1"/>
            </w14:solidFill>
          </w14:textFill>
        </w:rPr>
        <w:t>：</w:t>
      </w:r>
    </w:p>
    <w:p w14:paraId="1C983854">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同品种器械宜优先选择与申报产品适用范围相同、技术</w:t>
      </w:r>
      <w:r>
        <w:rPr>
          <w:rFonts w:eastAsia="仿宋_GB2312"/>
          <w:color w:val="000000" w:themeColor="text1"/>
          <w:sz w:val="32"/>
          <w:szCs w:val="32"/>
          <w14:textFill>
            <w14:solidFill>
              <w14:schemeClr w14:val="tx1"/>
            </w14:solidFill>
          </w14:textFill>
        </w:rPr>
        <w:t>特征相似</w:t>
      </w:r>
      <w:r>
        <w:rPr>
          <w:rFonts w:hint="eastAsia" w:eastAsia="仿宋_GB2312"/>
          <w:color w:val="000000" w:themeColor="text1"/>
          <w:sz w:val="32"/>
          <w:szCs w:val="32"/>
          <w14:textFill>
            <w14:solidFill>
              <w14:schemeClr w14:val="tx1"/>
            </w14:solidFill>
          </w14:textFill>
        </w:rPr>
        <w:t>的设备，必要时可选用多个同品种器械。技术特征</w:t>
      </w:r>
      <w:r>
        <w:rPr>
          <w:rFonts w:eastAsia="仿宋_GB2312"/>
          <w:color w:val="000000" w:themeColor="text1"/>
          <w:sz w:val="32"/>
          <w:szCs w:val="32"/>
          <w14:textFill>
            <w14:solidFill>
              <w14:schemeClr w14:val="tx1"/>
            </w14:solidFill>
          </w14:textFill>
        </w:rPr>
        <w:t>方面</w:t>
      </w:r>
      <w:r>
        <w:rPr>
          <w:rFonts w:hint="eastAsia" w:eastAsia="仿宋_GB2312"/>
          <w:color w:val="000000" w:themeColor="text1"/>
          <w:sz w:val="32"/>
          <w:szCs w:val="32"/>
          <w14:textFill>
            <w14:solidFill>
              <w14:schemeClr w14:val="tx1"/>
            </w14:solidFill>
          </w14:textFill>
        </w:rPr>
        <w:t>首要</w:t>
      </w:r>
      <w:r>
        <w:rPr>
          <w:rFonts w:eastAsia="仿宋_GB2312"/>
          <w:color w:val="000000" w:themeColor="text1"/>
          <w:sz w:val="32"/>
          <w:szCs w:val="32"/>
          <w14:textFill>
            <w14:solidFill>
              <w14:schemeClr w14:val="tx1"/>
            </w14:solidFill>
          </w14:textFill>
        </w:rPr>
        <w:t>考虑通气模式</w:t>
      </w:r>
      <w:r>
        <w:rPr>
          <w:rFonts w:hint="eastAsia" w:eastAsia="仿宋_GB2312"/>
          <w:color w:val="000000" w:themeColor="text1"/>
          <w:sz w:val="32"/>
          <w:szCs w:val="32"/>
          <w14:textFill>
            <w14:solidFill>
              <w14:schemeClr w14:val="tx1"/>
            </w14:solidFill>
          </w14:textFill>
        </w:rPr>
        <w:t>、基本原理</w:t>
      </w:r>
      <w:r>
        <w:rPr>
          <w:rFonts w:eastAsia="仿宋_GB2312"/>
          <w:color w:val="000000" w:themeColor="text1"/>
          <w:sz w:val="32"/>
          <w:szCs w:val="32"/>
          <w14:textFill>
            <w14:solidFill>
              <w14:schemeClr w14:val="tx1"/>
            </w14:solidFill>
          </w14:textFill>
        </w:rPr>
        <w:t>等要素，</w:t>
      </w:r>
      <w:r>
        <w:rPr>
          <w:rFonts w:hint="eastAsia" w:eastAsia="仿宋_GB2312"/>
          <w:color w:val="000000" w:themeColor="text1"/>
          <w:sz w:val="32"/>
          <w:szCs w:val="32"/>
          <w14:textFill>
            <w14:solidFill>
              <w14:schemeClr w14:val="tx1"/>
            </w14:solidFill>
          </w14:textFill>
        </w:rPr>
        <w:t>建议选择包含相同</w:t>
      </w:r>
      <w:r>
        <w:rPr>
          <w:rFonts w:eastAsia="仿宋_GB2312"/>
          <w:color w:val="000000" w:themeColor="text1"/>
          <w:sz w:val="32"/>
          <w:szCs w:val="32"/>
          <w14:textFill>
            <w14:solidFill>
              <w14:schemeClr w14:val="tx1"/>
            </w14:solidFill>
          </w14:textFill>
        </w:rPr>
        <w:t>的</w:t>
      </w:r>
      <w:r>
        <w:rPr>
          <w:rFonts w:hint="eastAsia" w:eastAsia="仿宋_GB2312"/>
          <w:color w:val="000000" w:themeColor="text1"/>
          <w:sz w:val="32"/>
          <w:szCs w:val="32"/>
          <w14:textFill>
            <w14:solidFill>
              <w14:schemeClr w14:val="tx1"/>
            </w14:solidFill>
          </w14:textFill>
        </w:rPr>
        <w:t>通气模式或原理、通气波形基本等同的通气模式的</w:t>
      </w:r>
      <w:r>
        <w:rPr>
          <w:rFonts w:eastAsia="仿宋_GB2312"/>
          <w:color w:val="000000" w:themeColor="text1"/>
          <w:sz w:val="32"/>
          <w:szCs w:val="32"/>
          <w14:textFill>
            <w14:solidFill>
              <w14:schemeClr w14:val="tx1"/>
            </w14:solidFill>
          </w14:textFill>
        </w:rPr>
        <w:t>产品</w:t>
      </w:r>
      <w:r>
        <w:rPr>
          <w:rFonts w:hint="eastAsia" w:eastAsia="仿宋_GB2312"/>
          <w:color w:val="000000" w:themeColor="text1"/>
          <w:sz w:val="32"/>
          <w:szCs w:val="32"/>
          <w14:textFill>
            <w14:solidFill>
              <w14:schemeClr w14:val="tx1"/>
            </w14:solidFill>
          </w14:textFill>
        </w:rPr>
        <w:t>进行同品种对比；工作原理和作用机理存在较大差异的通气模式不宜直接对比，如高频振荡通气与常规通气模式。</w:t>
      </w:r>
    </w:p>
    <w:p w14:paraId="6997C9AE">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申报产品包含多个型号时，可选择一个或多个通气模式、适用人群、功能参数最为全面的型号作为代表型号开展临床评价，若不能选出代表型号需分别开展评价。</w:t>
      </w:r>
    </w:p>
    <w:bookmarkEnd w:id="3"/>
    <w:bookmarkEnd w:id="4"/>
    <w:p w14:paraId="77ED8E89">
      <w:pPr>
        <w:pStyle w:val="4"/>
        <w:spacing w:before="0" w:after="0" w:line="520" w:lineRule="exact"/>
        <w:ind w:firstLine="640" w:firstLineChars="200"/>
        <w:rPr>
          <w:rFonts w:ascii="Times New Roman" w:hAnsi="Times New Roman" w:eastAsia="楷体_GB2312" w:cs="Times New Roman"/>
          <w:b w:val="0"/>
          <w:color w:val="000000" w:themeColor="text1"/>
          <w14:textFill>
            <w14:solidFill>
              <w14:schemeClr w14:val="tx1"/>
            </w14:solidFill>
          </w14:textFill>
        </w:rPr>
      </w:pPr>
      <w:r>
        <w:rPr>
          <w:rFonts w:hint="eastAsia" w:ascii="Times New Roman" w:hAnsi="Times New Roman" w:eastAsia="楷体_GB2312" w:cs="Times New Roman"/>
          <w:b w:val="0"/>
          <w:color w:val="000000" w:themeColor="text1"/>
          <w14:textFill>
            <w14:solidFill>
              <w14:schemeClr w14:val="tx1"/>
            </w14:solidFill>
          </w14:textFill>
        </w:rPr>
        <w:t>（二）适用范围及临床使用相关信息的对比</w:t>
      </w:r>
    </w:p>
    <w:p w14:paraId="197783BE">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bookmarkStart w:id="6" w:name="_Toc82094041"/>
      <w:r>
        <w:rPr>
          <w:rFonts w:hint="eastAsia" w:ascii="仿宋_GB2312" w:eastAsia="仿宋_GB2312"/>
          <w:color w:val="000000" w:themeColor="text1"/>
          <w:sz w:val="32"/>
          <w:szCs w:val="32"/>
          <w14:textFill>
            <w14:solidFill>
              <w14:schemeClr w14:val="tx1"/>
            </w14:solidFill>
          </w14:textFill>
        </w:rPr>
        <w:t>呼吸机产品的适用范围通常为预期在专业医疗机构内部的重症监护环境使用或在专业医疗机构内部进行转运时使用。用于对成人/小儿/婴幼儿/新生儿进行通气辅助及呼吸支持。本产品应由经过良好培训的且获授权医务人员进行操作。</w:t>
      </w:r>
    </w:p>
    <w:p w14:paraId="7C46895B">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对比申报产品和同品种产品在适用范围以及临床使用相关信息的相同性和差异性，建议考虑以下内容（包括但不限于）：</w:t>
      </w:r>
    </w:p>
    <w:p w14:paraId="29D10137">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1.适应症</w:t>
      </w:r>
    </w:p>
    <w:p w14:paraId="1F0E6CAD">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2.适用人群（可依据体重或年龄划分）</w:t>
      </w:r>
    </w:p>
    <w:p w14:paraId="14F57C43">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使用环境（医院、院内转运等）</w:t>
      </w:r>
    </w:p>
    <w:p w14:paraId="5FB839C3">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磁共振兼容性能（如有）。</w:t>
      </w:r>
    </w:p>
    <w:p w14:paraId="668C69ED">
      <w:pPr>
        <w:overflowPunct w:val="0"/>
        <w:spacing w:line="520" w:lineRule="exact"/>
        <w:ind w:firstLine="640" w:firstLineChars="200"/>
        <w:rPr>
          <w:rFonts w:ascii="仿宋_GB2312" w:eastAsia="仿宋_GB2312"/>
          <w:sz w:val="32"/>
          <w:szCs w:val="32"/>
        </w:rPr>
      </w:pPr>
      <w:r>
        <w:rPr>
          <w:rFonts w:hint="eastAsia" w:ascii="仿宋_GB2312" w:eastAsia="仿宋_GB2312"/>
          <w:sz w:val="32"/>
          <w:szCs w:val="32"/>
        </w:rPr>
        <w:t>5.产品</w:t>
      </w:r>
      <w:r>
        <w:rPr>
          <w:rFonts w:ascii="仿宋_GB2312" w:eastAsia="仿宋_GB2312"/>
          <w:sz w:val="32"/>
          <w:szCs w:val="32"/>
        </w:rPr>
        <w:t>包含的临床功能</w:t>
      </w:r>
      <w:r>
        <w:rPr>
          <w:rFonts w:hint="eastAsia" w:ascii="仿宋_GB2312" w:eastAsia="仿宋_GB2312"/>
          <w:sz w:val="32"/>
          <w:szCs w:val="32"/>
        </w:rPr>
        <w:t>（如</w:t>
      </w:r>
      <w:r>
        <w:rPr>
          <w:rFonts w:ascii="仿宋_GB2312" w:eastAsia="仿宋_GB2312"/>
          <w:sz w:val="32"/>
          <w:szCs w:val="32"/>
        </w:rPr>
        <w:t>预设体重</w:t>
      </w:r>
      <w:r>
        <w:rPr>
          <w:rFonts w:hint="eastAsia" w:ascii="仿宋_GB2312" w:eastAsia="仿宋_GB2312"/>
          <w:sz w:val="32"/>
          <w:szCs w:val="32"/>
        </w:rPr>
        <w:t>计算</w:t>
      </w:r>
      <w:r>
        <w:rPr>
          <w:rFonts w:ascii="仿宋_GB2312" w:eastAsia="仿宋_GB2312"/>
          <w:sz w:val="32"/>
          <w:szCs w:val="32"/>
        </w:rPr>
        <w:t>潮气量</w:t>
      </w:r>
      <w:r>
        <w:rPr>
          <w:rFonts w:hint="eastAsia" w:ascii="仿宋_GB2312" w:eastAsia="仿宋_GB2312"/>
          <w:sz w:val="32"/>
          <w:szCs w:val="32"/>
        </w:rPr>
        <w:t>、</w:t>
      </w:r>
      <w:r>
        <w:rPr>
          <w:rFonts w:ascii="仿宋_GB2312" w:eastAsia="仿宋_GB2312"/>
          <w:sz w:val="32"/>
          <w:szCs w:val="32"/>
        </w:rPr>
        <w:t>肺顺应性估计等</w:t>
      </w:r>
      <w:r>
        <w:rPr>
          <w:rFonts w:hint="eastAsia" w:ascii="仿宋_GB2312" w:eastAsia="仿宋_GB2312"/>
          <w:sz w:val="32"/>
          <w:szCs w:val="32"/>
        </w:rPr>
        <w:t>）</w:t>
      </w:r>
    </w:p>
    <w:p w14:paraId="286AF2AF">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sz w:val="32"/>
          <w:szCs w:val="32"/>
        </w:rPr>
        <w:t>6.</w:t>
      </w:r>
      <w:r>
        <w:rPr>
          <w:rFonts w:hint="eastAsia" w:ascii="仿宋_GB2312" w:eastAsia="仿宋_GB2312"/>
          <w:sz w:val="32"/>
          <w:szCs w:val="32"/>
        </w:rPr>
        <w:t>禁忌症、防范措施和警告</w:t>
      </w:r>
    </w:p>
    <w:p w14:paraId="643DB470">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.高频振荡模式还需对比宣称的生理功能。</w:t>
      </w:r>
    </w:p>
    <w:p w14:paraId="5E2B71B4">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其中</w:t>
      </w:r>
      <w:r>
        <w:rPr>
          <w:rFonts w:ascii="仿宋_GB2312" w:eastAsia="仿宋_GB2312"/>
          <w:color w:val="000000" w:themeColor="text1"/>
          <w:sz w:val="32"/>
          <w:szCs w:val="32"/>
          <w14:textFill>
            <w14:solidFill>
              <w14:schemeClr w14:val="tx1"/>
            </w14:solidFill>
          </w14:textFill>
        </w:rPr>
        <w:t>适用人群</w:t>
      </w:r>
      <w:r>
        <w:rPr>
          <w:rFonts w:hint="eastAsia" w:ascii="仿宋_GB2312" w:eastAsia="仿宋_GB2312"/>
          <w:color w:val="000000" w:themeColor="text1"/>
          <w:sz w:val="32"/>
          <w:szCs w:val="32"/>
          <w14:textFill>
            <w14:solidFill>
              <w14:schemeClr w14:val="tx1"/>
            </w14:solidFill>
          </w14:textFill>
        </w:rPr>
        <w:t>、适应症与</w:t>
      </w:r>
      <w:r>
        <w:rPr>
          <w:rFonts w:ascii="仿宋_GB2312" w:eastAsia="仿宋_GB2312"/>
          <w:color w:val="000000" w:themeColor="text1"/>
          <w:sz w:val="32"/>
          <w:szCs w:val="32"/>
          <w14:textFill>
            <w14:solidFill>
              <w14:schemeClr w14:val="tx1"/>
            </w14:solidFill>
          </w14:textFill>
        </w:rPr>
        <w:t>宣称的生理功能是重点考虑项目。</w:t>
      </w:r>
    </w:p>
    <w:p w14:paraId="546FEC2E">
      <w:pPr>
        <w:pStyle w:val="4"/>
        <w:spacing w:before="0" w:after="0" w:line="520" w:lineRule="exact"/>
        <w:ind w:firstLine="640" w:firstLineChars="200"/>
        <w:rPr>
          <w:rFonts w:ascii="Times New Roman" w:hAnsi="Times New Roman" w:eastAsia="楷体_GB2312" w:cs="Times New Roman"/>
          <w:b w:val="0"/>
          <w:color w:val="000000" w:themeColor="text1"/>
          <w14:textFill>
            <w14:solidFill>
              <w14:schemeClr w14:val="tx1"/>
            </w14:solidFill>
          </w14:textFill>
        </w:rPr>
      </w:pPr>
      <w:r>
        <w:rPr>
          <w:rFonts w:hint="eastAsia" w:ascii="Times New Roman" w:hAnsi="Times New Roman" w:eastAsia="楷体_GB2312" w:cs="Times New Roman"/>
          <w:b w:val="0"/>
          <w:color w:val="000000" w:themeColor="text1"/>
          <w14:textFill>
            <w14:solidFill>
              <w14:schemeClr w14:val="tx1"/>
            </w14:solidFill>
          </w14:textFill>
        </w:rPr>
        <w:t>（三）技术特征的对比</w:t>
      </w:r>
    </w:p>
    <w:p w14:paraId="227E8A2D">
      <w:pPr>
        <w:pStyle w:val="4"/>
        <w:spacing w:before="0" w:after="0" w:line="520" w:lineRule="exact"/>
        <w:ind w:firstLine="640" w:firstLineChars="200"/>
        <w:rPr>
          <w:rFonts w:ascii="仿宋_GB2312" w:hAnsi="Times New Roman" w:eastAsia="仿宋_GB2312" w:cs="Times New Roman"/>
          <w:b w:val="0"/>
          <w:color w:val="000000" w:themeColor="text1"/>
          <w14:textFill>
            <w14:solidFill>
              <w14:schemeClr w14:val="tx1"/>
            </w14:solidFill>
          </w14:textFill>
        </w:rPr>
      </w:pPr>
      <w:r>
        <w:rPr>
          <w:rFonts w:ascii="仿宋_GB2312" w:hAnsi="Times New Roman" w:eastAsia="仿宋_GB2312" w:cs="Times New Roman"/>
          <w:b w:val="0"/>
          <w:color w:val="000000" w:themeColor="text1"/>
          <w14:textFill>
            <w14:solidFill>
              <w14:schemeClr w14:val="tx1"/>
            </w14:solidFill>
          </w14:textFill>
        </w:rPr>
        <w:t>1</w:t>
      </w:r>
      <w:r>
        <w:rPr>
          <w:rFonts w:hint="eastAsia" w:ascii="仿宋_GB2312" w:hAnsi="Times New Roman" w:eastAsia="仿宋_GB2312" w:cs="Times New Roman"/>
          <w:b w:val="0"/>
          <w:color w:val="000000" w:themeColor="text1"/>
          <w14:textFill>
            <w14:solidFill>
              <w14:schemeClr w14:val="tx1"/>
            </w14:solidFill>
          </w14:textFill>
        </w:rPr>
        <w:t>.基本原理</w:t>
      </w:r>
      <w:bookmarkEnd w:id="6"/>
    </w:p>
    <w:p w14:paraId="2031A9CB">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明确申报产品与同品种产品的控制类型（如电控型、气控型），驱动类型（如气动型、电动型）、通气类型（如无创通气、有创通气等）、气动原理图等。包含高频振荡功能的，需说明振荡原理和相应的生物学效应及作用机理。</w:t>
      </w:r>
    </w:p>
    <w:p w14:paraId="40BFC148">
      <w:pPr>
        <w:pStyle w:val="4"/>
        <w:spacing w:before="0" w:after="0" w:line="520" w:lineRule="exact"/>
        <w:ind w:firstLine="640" w:firstLineChars="200"/>
        <w:rPr>
          <w:rFonts w:ascii="仿宋_GB2312" w:hAnsi="Times New Roman" w:eastAsia="仿宋_GB2312" w:cs="Times New Roman"/>
          <w:b w:val="0"/>
          <w:color w:val="000000" w:themeColor="text1"/>
          <w14:textFill>
            <w14:solidFill>
              <w14:schemeClr w14:val="tx1"/>
            </w14:solidFill>
          </w14:textFill>
        </w:rPr>
      </w:pPr>
      <w:bookmarkStart w:id="7" w:name="_Toc82094042"/>
      <w:r>
        <w:rPr>
          <w:rFonts w:ascii="仿宋_GB2312" w:hAnsi="Times New Roman" w:eastAsia="仿宋_GB2312" w:cs="Times New Roman"/>
          <w:b w:val="0"/>
          <w:color w:val="000000" w:themeColor="text1"/>
          <w14:textFill>
            <w14:solidFill>
              <w14:schemeClr w14:val="tx1"/>
            </w14:solidFill>
          </w14:textFill>
        </w:rPr>
        <w:t>2.</w:t>
      </w:r>
      <w:r>
        <w:rPr>
          <w:rFonts w:hint="eastAsia" w:ascii="仿宋_GB2312" w:hAnsi="Times New Roman" w:eastAsia="仿宋_GB2312" w:cs="Times New Roman"/>
          <w:b w:val="0"/>
          <w:color w:val="000000" w:themeColor="text1"/>
          <w14:textFill>
            <w14:solidFill>
              <w14:schemeClr w14:val="tx1"/>
            </w14:solidFill>
          </w14:textFill>
        </w:rPr>
        <w:t>结构组成</w:t>
      </w:r>
      <w:bookmarkEnd w:id="7"/>
    </w:p>
    <w:p w14:paraId="4F498E6D">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明确申报产品与同品种产品的结构组成。一般呼吸机结构组成可包括气路模块（如涡轮驱动或压缩机供气、压力传感器、流量传感器等），功能模块（如二氧化碳模块、呼吸力学模块、血氧模块），功能附件（如脉搏血氧探头、食道压测量组件、CO</w:t>
      </w:r>
      <w:r>
        <w:rPr>
          <w:rFonts w:hint="eastAsia" w:ascii="仿宋_GB2312" w:eastAsia="仿宋_GB2312"/>
          <w:color w:val="000000" w:themeColor="text1"/>
          <w:sz w:val="32"/>
          <w:szCs w:val="32"/>
          <w:vertAlign w:val="subscript"/>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传感器、顺磁氧传感器），供电组件（例如电池、电源适配器、网电源线），电子系统，显示器，机械机构等，产品还可配有台车、支撑臂等机械附件。高频振荡呼吸机还需明确实现振荡的元器件，振荡膜片或电磁阀。</w:t>
      </w:r>
    </w:p>
    <w:p w14:paraId="7E1B38C7">
      <w:pPr>
        <w:pStyle w:val="4"/>
        <w:spacing w:before="0" w:after="0" w:line="520" w:lineRule="exact"/>
        <w:ind w:firstLine="640" w:firstLineChars="200"/>
        <w:rPr>
          <w:rFonts w:ascii="仿宋_GB2312" w:hAnsi="Times New Roman" w:eastAsia="仿宋_GB2312" w:cs="Times New Roman"/>
          <w:b w:val="0"/>
          <w:color w:val="000000" w:themeColor="text1"/>
          <w14:textFill>
            <w14:solidFill>
              <w14:schemeClr w14:val="tx1"/>
            </w14:solidFill>
          </w14:textFill>
        </w:rPr>
      </w:pPr>
      <w:bookmarkStart w:id="8" w:name="_Toc82094043"/>
      <w:r>
        <w:rPr>
          <w:rFonts w:hint="eastAsia" w:ascii="仿宋_GB2312" w:hAnsi="Times New Roman" w:eastAsia="仿宋_GB2312" w:cs="Times New Roman"/>
          <w:b w:val="0"/>
          <w:color w:val="000000" w:themeColor="text1"/>
          <w14:textFill>
            <w14:solidFill>
              <w14:schemeClr w14:val="tx1"/>
            </w14:solidFill>
          </w14:textFill>
        </w:rPr>
        <w:t>4</w:t>
      </w:r>
      <w:r>
        <w:rPr>
          <w:rFonts w:ascii="仿宋_GB2312" w:hAnsi="Times New Roman" w:eastAsia="仿宋_GB2312" w:cs="Times New Roman"/>
          <w:b w:val="0"/>
          <w:color w:val="000000" w:themeColor="text1"/>
          <w14:textFill>
            <w14:solidFill>
              <w14:schemeClr w14:val="tx1"/>
            </w14:solidFill>
          </w14:textFill>
        </w:rPr>
        <w:t>.</w:t>
      </w:r>
      <w:r>
        <w:rPr>
          <w:rFonts w:hint="eastAsia" w:ascii="仿宋_GB2312" w:hAnsi="Times New Roman" w:eastAsia="仿宋_GB2312" w:cs="Times New Roman"/>
          <w:b w:val="0"/>
          <w:color w:val="000000" w:themeColor="text1"/>
          <w14:textFill>
            <w14:solidFill>
              <w14:schemeClr w14:val="tx1"/>
            </w14:solidFill>
          </w14:textFill>
        </w:rPr>
        <w:t>性能要求</w:t>
      </w:r>
      <w:bookmarkEnd w:id="8"/>
    </w:p>
    <w:p w14:paraId="50973ABE">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将临床使用相关的所有性能参数与同品种产品进行对比。根据申报产品特点及具体设计特征等，可从以下方面进行考虑：</w:t>
      </w:r>
    </w:p>
    <w:p w14:paraId="3458EF11">
      <w:pPr>
        <w:pStyle w:val="5"/>
        <w:spacing w:before="0" w:after="0" w:line="520" w:lineRule="exact"/>
        <w:ind w:firstLine="640" w:firstLineChars="200"/>
        <w:rPr>
          <w:rFonts w:ascii="仿宋_GB2312" w:eastAsia="仿宋_GB2312"/>
          <w:b w:val="0"/>
          <w:sz w:val="32"/>
          <w:szCs w:val="32"/>
        </w:rPr>
      </w:pPr>
      <w:r>
        <w:rPr>
          <w:rFonts w:hint="eastAsia" w:ascii="仿宋_GB2312" w:eastAsia="仿宋_GB2312"/>
          <w:b w:val="0"/>
          <w:sz w:val="32"/>
          <w:szCs w:val="32"/>
        </w:rPr>
        <w:t>（1）通气模式</w:t>
      </w:r>
    </w:p>
    <w:p w14:paraId="13B0E6D6">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呼吸机产品按照通气类型划分包括无创通气类型和有创通气类型等，不同通气类型可以包含多种通气模式。通气模式常规包括容量控制通气、压力控制通气、高频振荡模式；还可包括一些混合通气模式或添加</w:t>
      </w:r>
      <w:r>
        <w:rPr>
          <w:rFonts w:ascii="仿宋_GB2312" w:eastAsia="仿宋_GB2312"/>
          <w:color w:val="000000" w:themeColor="text1"/>
          <w:sz w:val="32"/>
          <w:szCs w:val="32"/>
          <w14:textFill>
            <w14:solidFill>
              <w14:schemeClr w14:val="tx1"/>
            </w14:solidFill>
          </w14:textFill>
        </w:rPr>
        <w:t>呼吸触发的通气模式</w:t>
      </w:r>
      <w:r>
        <w:rPr>
          <w:rFonts w:hint="eastAsia" w:ascii="仿宋_GB2312" w:eastAsia="仿宋_GB2312"/>
          <w:color w:val="000000" w:themeColor="text1"/>
          <w:sz w:val="32"/>
          <w:szCs w:val="32"/>
          <w14:textFill>
            <w14:solidFill>
              <w14:schemeClr w14:val="tx1"/>
            </w14:solidFill>
          </w14:textFill>
        </w:rPr>
        <w:t>，常见的有双水平通气、同步间歇指令通气、</w:t>
      </w:r>
      <w:r>
        <w:rPr>
          <w:rFonts w:ascii="仿宋_GB2312" w:eastAsia="仿宋_GB2312"/>
          <w:color w:val="000000" w:themeColor="text1"/>
          <w:sz w:val="32"/>
          <w:szCs w:val="32"/>
          <w14:textFill>
            <w14:solidFill>
              <w14:schemeClr w14:val="tx1"/>
            </w14:solidFill>
          </w14:textFill>
        </w:rPr>
        <w:t>压力支持通气</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以</w:t>
      </w:r>
      <w:r>
        <w:rPr>
          <w:rFonts w:hint="eastAsia" w:ascii="仿宋_GB2312" w:eastAsia="仿宋_GB2312"/>
          <w:color w:val="000000" w:themeColor="text1"/>
          <w:sz w:val="32"/>
          <w:szCs w:val="32"/>
          <w14:textFill>
            <w14:solidFill>
              <w14:schemeClr w14:val="tx1"/>
            </w14:solidFill>
          </w14:textFill>
        </w:rPr>
        <w:t>容量</w:t>
      </w:r>
      <w:r>
        <w:rPr>
          <w:rFonts w:ascii="仿宋_GB2312" w:eastAsia="仿宋_GB2312"/>
          <w:color w:val="000000" w:themeColor="text1"/>
          <w:sz w:val="32"/>
          <w:szCs w:val="32"/>
          <w14:textFill>
            <w14:solidFill>
              <w14:schemeClr w14:val="tx1"/>
            </w14:solidFill>
          </w14:textFill>
        </w:rPr>
        <w:t>为目标</w:t>
      </w:r>
      <w:r>
        <w:rPr>
          <w:rFonts w:hint="eastAsia" w:ascii="仿宋_GB2312" w:eastAsia="仿宋_GB2312"/>
          <w:color w:val="000000" w:themeColor="text1"/>
          <w:sz w:val="32"/>
          <w:szCs w:val="32"/>
          <w14:textFill>
            <w14:solidFill>
              <w14:schemeClr w14:val="tx1"/>
            </w14:solidFill>
          </w14:textFill>
        </w:rPr>
        <w:t>压力控制</w:t>
      </w:r>
      <w:r>
        <w:rPr>
          <w:rFonts w:ascii="仿宋_GB2312" w:eastAsia="仿宋_GB2312"/>
          <w:color w:val="000000" w:themeColor="text1"/>
          <w:sz w:val="32"/>
          <w:szCs w:val="32"/>
          <w14:textFill>
            <w14:solidFill>
              <w14:schemeClr w14:val="tx1"/>
            </w14:solidFill>
          </w14:textFill>
        </w:rPr>
        <w:t>的通气模式</w:t>
      </w:r>
      <w:r>
        <w:rPr>
          <w:rFonts w:hint="eastAsia" w:ascii="仿宋_GB2312" w:eastAsia="仿宋_GB2312"/>
          <w:color w:val="000000" w:themeColor="text1"/>
          <w:sz w:val="32"/>
          <w:szCs w:val="32"/>
          <w14:textFill>
            <w14:solidFill>
              <w14:schemeClr w14:val="tx1"/>
            </w14:solidFill>
          </w14:textFill>
        </w:rPr>
        <w:t>等类别。</w:t>
      </w:r>
    </w:p>
    <w:p w14:paraId="2F48BD22">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各通气类型下的通气模式需分别进行对比，通气模式对比包括其原理，通气模式的原理图波形，实测波形。原理图波形与实测波形均需包括流速—时间波形、压力—时间、容量—时间波形等。实测波形的对比要求及测试报告模板可参考附录的相关要求。</w:t>
      </w:r>
    </w:p>
    <w:p w14:paraId="1EF61271">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鉴于不同类型的通气模式在波形原理、生理学效应等方面可能存在一定差异，建议选择原理、通气波形最为接近的通气模式产品作为同品种进行对比。</w:t>
      </w:r>
    </w:p>
    <w:p w14:paraId="43DD2D42">
      <w:pPr>
        <w:pStyle w:val="5"/>
        <w:spacing w:before="0" w:after="0"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val="0"/>
          <w:sz w:val="32"/>
          <w:szCs w:val="32"/>
        </w:rPr>
        <w:t>（2）控制参数</w:t>
      </w:r>
    </w:p>
    <w:p w14:paraId="52DEF9A0">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控制参数一般需考虑如下项目中的适用内容：</w:t>
      </w:r>
    </w:p>
    <w:p w14:paraId="537364D9">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一是输出控制参数，如平台压力、潮气量、呼吸频率、吸呼比、呼吸末正压等，一般可由医生设置、调整。此类参数需对比调节范围、误差要求及初始默认值；</w:t>
      </w:r>
    </w:p>
    <w:p w14:paraId="016D62BE">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二是预设的触发参数，如支持/辅助通气中的吸气、呼吸触发功能，需对比触发方式（包括原理公式、灵敏度等参数）、触发信号类型及精度要求、触发阈值的设置范围、默认值和调节步进、触发的延迟等。</w:t>
      </w:r>
    </w:p>
    <w:p w14:paraId="44AB1A81">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三是漏气补偿的相关参数（如有），如补偿方式（压力调节、容量调节、氧气浓度调节）、触发方式（包括阈值设定的范围、灵敏度等参数）、漏气估计、补偿效果和延迟、过补偿、欠补偿的评估等。</w:t>
      </w:r>
    </w:p>
    <w:p w14:paraId="32AF03B0">
      <w:pPr>
        <w:pStyle w:val="5"/>
        <w:spacing w:before="0" w:after="0" w:line="520" w:lineRule="exact"/>
        <w:ind w:firstLine="640" w:firstLineChars="200"/>
        <w:rPr>
          <w:rFonts w:ascii="仿宋_GB2312" w:eastAsia="仿宋_GB2312"/>
          <w:b w:val="0"/>
          <w:sz w:val="32"/>
          <w:szCs w:val="32"/>
        </w:rPr>
      </w:pPr>
      <w:r>
        <w:rPr>
          <w:rFonts w:hint="eastAsia" w:ascii="仿宋_GB2312" w:eastAsia="仿宋_GB2312"/>
          <w:b w:val="0"/>
          <w:sz w:val="32"/>
          <w:szCs w:val="32"/>
        </w:rPr>
        <w:t>（3）监测参数</w:t>
      </w:r>
    </w:p>
    <w:p w14:paraId="5D3FD6A3">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监测参数一般需考虑如下项目中的适用内容：</w:t>
      </w:r>
    </w:p>
    <w:p w14:paraId="137D6252">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一是可直接测量显示的参数，如流量/流速、CO</w:t>
      </w:r>
      <w:r>
        <w:rPr>
          <w:rFonts w:hint="eastAsia" w:ascii="仿宋_GB2312" w:eastAsia="仿宋_GB2312"/>
          <w:color w:val="000000" w:themeColor="text1"/>
          <w:sz w:val="32"/>
          <w:szCs w:val="32"/>
          <w:vertAlign w:val="subscript"/>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浓度、血氧水平、食道压等，一般需对比监测范围、监测精度；</w:t>
      </w:r>
    </w:p>
    <w:p w14:paraId="2C1CED68">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二是由其他参数计算获得的参数，如顺应性、肺牵张指数、呼吸功、浅快呼吸指数等，一般需对比输入参数来源与精度要求、计算原理/公式。</w:t>
      </w:r>
    </w:p>
    <w:p w14:paraId="219C95BD">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其中，某些监测参数（如食道压、顺应性、肺牵张指数等）可以表征患者呼吸器官状态或呼吸障碍情况，并对医师评估患者自主呼吸功能或调节呼吸机治疗参数起到指示或参考作用，此类监测参数还需明确其临床意义及公认性。</w:t>
      </w:r>
    </w:p>
    <w:p w14:paraId="288DB23B">
      <w:pPr>
        <w:pStyle w:val="5"/>
        <w:spacing w:before="0" w:after="0" w:line="520" w:lineRule="exact"/>
        <w:ind w:firstLine="640" w:firstLineChars="200"/>
        <w:rPr>
          <w:rFonts w:ascii="仿宋_GB2312" w:eastAsia="仿宋_GB2312"/>
          <w:b w:val="0"/>
          <w:sz w:val="32"/>
          <w:szCs w:val="32"/>
        </w:rPr>
      </w:pPr>
      <w:r>
        <w:rPr>
          <w:rFonts w:hint="eastAsia" w:ascii="仿宋_GB2312" w:eastAsia="仿宋_GB2312"/>
          <w:b w:val="0"/>
          <w:sz w:val="32"/>
          <w:szCs w:val="32"/>
        </w:rPr>
        <w:t>（4）报警及其他参数</w:t>
      </w:r>
    </w:p>
    <w:p w14:paraId="1C2B6604">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一般考虑如下参数中适用项目：（1）报警参数的设置范围、默认值；（2）呼吸系统泄漏量、吸气阀峰值流速等其他参数。</w:t>
      </w:r>
    </w:p>
    <w:p w14:paraId="4333545A">
      <w:pPr>
        <w:pStyle w:val="4"/>
        <w:spacing w:before="0" w:after="0" w:line="520" w:lineRule="exact"/>
        <w:ind w:firstLine="640" w:firstLineChars="200"/>
        <w:rPr>
          <w:rFonts w:ascii="仿宋_GB2312" w:hAnsi="Times New Roman" w:eastAsia="仿宋_GB2312" w:cs="Times New Roman"/>
          <w:b w:val="0"/>
          <w:color w:val="000000" w:themeColor="text1"/>
          <w14:textFill>
            <w14:solidFill>
              <w14:schemeClr w14:val="tx1"/>
            </w14:solidFill>
          </w14:textFill>
        </w:rPr>
      </w:pPr>
      <w:bookmarkStart w:id="9" w:name="_Toc82094044"/>
      <w:r>
        <w:rPr>
          <w:rFonts w:hint="eastAsia" w:ascii="仿宋_GB2312" w:hAnsi="Times New Roman" w:eastAsia="仿宋_GB2312" w:cs="Times New Roman"/>
          <w:b w:val="0"/>
          <w:color w:val="000000" w:themeColor="text1"/>
          <w14:textFill>
            <w14:solidFill>
              <w14:schemeClr w14:val="tx1"/>
            </w14:solidFill>
          </w14:textFill>
        </w:rPr>
        <w:t>5</w:t>
      </w:r>
      <w:r>
        <w:rPr>
          <w:rFonts w:ascii="仿宋_GB2312" w:hAnsi="Times New Roman" w:eastAsia="仿宋_GB2312" w:cs="Times New Roman"/>
          <w:b w:val="0"/>
          <w:color w:val="000000" w:themeColor="text1"/>
          <w14:textFill>
            <w14:solidFill>
              <w14:schemeClr w14:val="tx1"/>
            </w14:solidFill>
          </w14:textFill>
        </w:rPr>
        <w:t>.</w:t>
      </w:r>
      <w:r>
        <w:rPr>
          <w:rFonts w:hint="eastAsia" w:ascii="仿宋_GB2312" w:hAnsi="Times New Roman" w:eastAsia="仿宋_GB2312" w:cs="Times New Roman"/>
          <w:b w:val="0"/>
          <w:color w:val="000000" w:themeColor="text1"/>
          <w14:textFill>
            <w14:solidFill>
              <w14:schemeClr w14:val="tx1"/>
            </w14:solidFill>
          </w14:textFill>
        </w:rPr>
        <w:t>其他</w:t>
      </w:r>
      <w:bookmarkEnd w:id="9"/>
    </w:p>
    <w:p w14:paraId="55BCC7ED">
      <w:pPr>
        <w:pStyle w:val="5"/>
        <w:spacing w:before="0" w:after="0" w:line="520" w:lineRule="exact"/>
        <w:ind w:firstLine="640" w:firstLineChars="200"/>
        <w:rPr>
          <w:rFonts w:ascii="仿宋_GB2312" w:eastAsia="仿宋_GB2312"/>
          <w:b w:val="0"/>
          <w:sz w:val="32"/>
          <w:szCs w:val="32"/>
        </w:rPr>
      </w:pPr>
      <w:r>
        <w:rPr>
          <w:rFonts w:hint="eastAsia" w:ascii="仿宋_GB2312" w:eastAsia="仿宋_GB2312"/>
          <w:b w:val="0"/>
          <w:sz w:val="32"/>
          <w:szCs w:val="32"/>
        </w:rPr>
        <w:t>（1）软件核心功能</w:t>
      </w:r>
    </w:p>
    <w:p w14:paraId="05524656">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呼吸机软件一般用来控制呼吸机的运行或反馈患者相关生理参数，其核心功能包含对各项参数的控制、监测和报警，还可以包含各种临床功能模块，例如自动流速调节、预设体重计算潮气量、快速充氧等功能。一般需重点对比与控制参数、临床功能和具有临床诊断意义的监测参数相关的软件功能的算法原理、输出原则和输出形式，必要时还需考虑对比输入参数的条件要求（针对原理较新的核心功能）。</w:t>
      </w:r>
    </w:p>
    <w:p w14:paraId="1B11B73C">
      <w:pPr>
        <w:pStyle w:val="5"/>
        <w:spacing w:before="0" w:after="0" w:line="520" w:lineRule="exact"/>
        <w:ind w:firstLine="640" w:firstLineChars="200"/>
        <w:rPr>
          <w:rFonts w:ascii="仿宋_GB2312" w:eastAsia="仿宋_GB2312"/>
          <w:b w:val="0"/>
          <w:sz w:val="32"/>
          <w:szCs w:val="32"/>
        </w:rPr>
      </w:pPr>
      <w:r>
        <w:rPr>
          <w:rFonts w:hint="eastAsia" w:ascii="仿宋_GB2312" w:eastAsia="仿宋_GB2312"/>
          <w:b w:val="0"/>
          <w:sz w:val="32"/>
          <w:szCs w:val="32"/>
        </w:rPr>
        <w:t>（</w:t>
      </w:r>
      <w:r>
        <w:rPr>
          <w:rFonts w:ascii="仿宋_GB2312" w:eastAsia="仿宋_GB2312"/>
          <w:b w:val="0"/>
          <w:sz w:val="32"/>
          <w:szCs w:val="32"/>
        </w:rPr>
        <w:t>2</w:t>
      </w:r>
      <w:r>
        <w:rPr>
          <w:rFonts w:hint="eastAsia" w:ascii="仿宋_GB2312" w:eastAsia="仿宋_GB2312"/>
          <w:b w:val="0"/>
          <w:sz w:val="32"/>
          <w:szCs w:val="32"/>
        </w:rPr>
        <w:t>）使用方法</w:t>
      </w:r>
    </w:p>
    <w:p w14:paraId="7CB2305D">
      <w:pPr>
        <w:overflowPunct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对比使用方法，重点关注特殊功能应用。</w:t>
      </w:r>
    </w:p>
    <w:p w14:paraId="3A00641B">
      <w:pPr>
        <w:pStyle w:val="5"/>
        <w:spacing w:before="0" w:after="0" w:line="520" w:lineRule="exact"/>
        <w:ind w:firstLine="640" w:firstLineChars="200"/>
        <w:rPr>
          <w:rFonts w:ascii="仿宋_GB2312" w:eastAsia="仿宋_GB2312"/>
          <w:b w:val="0"/>
          <w:sz w:val="32"/>
          <w:szCs w:val="32"/>
        </w:rPr>
      </w:pPr>
      <w:r>
        <w:rPr>
          <w:rFonts w:hint="eastAsia" w:ascii="仿宋_GB2312" w:eastAsia="仿宋_GB2312"/>
          <w:b w:val="0"/>
          <w:sz w:val="32"/>
          <w:szCs w:val="32"/>
        </w:rPr>
        <w:t>（</w:t>
      </w:r>
      <w:r>
        <w:rPr>
          <w:rFonts w:ascii="仿宋_GB2312" w:eastAsia="仿宋_GB2312"/>
          <w:b w:val="0"/>
          <w:sz w:val="32"/>
          <w:szCs w:val="32"/>
        </w:rPr>
        <w:t>3</w:t>
      </w:r>
      <w:r>
        <w:rPr>
          <w:rFonts w:hint="eastAsia" w:ascii="仿宋_GB2312" w:eastAsia="仿宋_GB2312"/>
          <w:b w:val="0"/>
          <w:sz w:val="32"/>
          <w:szCs w:val="32"/>
        </w:rPr>
        <w:t>）禁忌症、防范措施和警告</w:t>
      </w:r>
    </w:p>
    <w:p w14:paraId="3FED6953">
      <w:pPr>
        <w:overflowPunct w:val="0"/>
        <w:spacing w:line="520" w:lineRule="exact"/>
        <w:ind w:firstLine="640" w:firstLineChars="200"/>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使用方法、禁忌症、防范措施和警告等内容，主要考虑参考同品种等已批准产品进行规范描述，如存在差异的应当分析说明原因。</w:t>
      </w:r>
    </w:p>
    <w:p w14:paraId="230814C4">
      <w:pPr>
        <w:overflowPunct w:val="0"/>
        <w:spacing w:line="560" w:lineRule="exact"/>
        <w:ind w:firstLine="640" w:firstLineChars="200"/>
        <w:outlineLvl w:val="0"/>
        <w:rPr>
          <w:rFonts w:ascii="楷体" w:hAnsi="楷体" w:eastAsia="楷体"/>
          <w:color w:val="000000" w:themeColor="text1"/>
          <w:sz w:val="32"/>
          <w:szCs w:val="32"/>
          <w14:textFill>
            <w14:solidFill>
              <w14:schemeClr w14:val="tx1"/>
            </w14:solidFill>
          </w14:textFill>
        </w:rPr>
      </w:pPr>
      <w:bookmarkStart w:id="10" w:name="_Toc82094045"/>
      <w:r>
        <w:rPr>
          <w:rFonts w:hint="eastAsia" w:ascii="楷体" w:hAnsi="楷体" w:eastAsia="楷体"/>
          <w:color w:val="000000" w:themeColor="text1"/>
          <w:sz w:val="32"/>
          <w:szCs w:val="32"/>
          <w14:textFill>
            <w14:solidFill>
              <w14:schemeClr w14:val="tx1"/>
            </w14:solidFill>
          </w14:textFill>
        </w:rPr>
        <w:t>（三）</w:t>
      </w:r>
      <w:r>
        <w:rPr>
          <w:rFonts w:ascii="楷体" w:hAnsi="楷体" w:eastAsia="楷体"/>
          <w:color w:val="000000" w:themeColor="text1"/>
          <w:sz w:val="32"/>
          <w:szCs w:val="32"/>
          <w14:textFill>
            <w14:solidFill>
              <w14:schemeClr w14:val="tx1"/>
            </w14:solidFill>
          </w14:textFill>
        </w:rPr>
        <w:t>差异部分安全有效性</w:t>
      </w:r>
      <w:r>
        <w:rPr>
          <w:rFonts w:hint="eastAsia" w:ascii="楷体" w:hAnsi="楷体" w:eastAsia="楷体"/>
          <w:color w:val="000000" w:themeColor="text1"/>
          <w:sz w:val="32"/>
          <w:szCs w:val="32"/>
          <w14:textFill>
            <w14:solidFill>
              <w14:schemeClr w14:val="tx1"/>
            </w14:solidFill>
          </w14:textFill>
        </w:rPr>
        <w:t>分析与</w:t>
      </w:r>
      <w:r>
        <w:rPr>
          <w:rFonts w:ascii="楷体" w:hAnsi="楷体" w:eastAsia="楷体"/>
          <w:color w:val="000000" w:themeColor="text1"/>
          <w:sz w:val="32"/>
          <w:szCs w:val="32"/>
          <w14:textFill>
            <w14:solidFill>
              <w14:schemeClr w14:val="tx1"/>
            </w14:solidFill>
          </w14:textFill>
        </w:rPr>
        <w:t>证据举例</w:t>
      </w:r>
      <w:bookmarkEnd w:id="10"/>
    </w:p>
    <w:p w14:paraId="11930198">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呼吸机</w:t>
      </w:r>
      <w:r>
        <w:rPr>
          <w:rFonts w:eastAsia="仿宋_GB2312"/>
          <w:color w:val="000000" w:themeColor="text1"/>
          <w:sz w:val="32"/>
          <w:szCs w:val="32"/>
          <w14:textFill>
            <w14:solidFill>
              <w14:schemeClr w14:val="tx1"/>
            </w14:solidFill>
          </w14:textFill>
        </w:rPr>
        <w:t>产品可能存在不同</w:t>
      </w:r>
      <w:r>
        <w:rPr>
          <w:rFonts w:hint="eastAsia" w:eastAsia="仿宋_GB2312"/>
          <w:color w:val="000000" w:themeColor="text1"/>
          <w:sz w:val="32"/>
          <w:szCs w:val="32"/>
          <w14:textFill>
            <w14:solidFill>
              <w14:schemeClr w14:val="tx1"/>
            </w14:solidFill>
          </w14:textFill>
        </w:rPr>
        <w:t>通气</w:t>
      </w:r>
      <w:r>
        <w:rPr>
          <w:rFonts w:eastAsia="仿宋_GB2312"/>
          <w:color w:val="000000" w:themeColor="text1"/>
          <w:sz w:val="32"/>
          <w:szCs w:val="32"/>
          <w14:textFill>
            <w14:solidFill>
              <w14:schemeClr w14:val="tx1"/>
            </w14:solidFill>
          </w14:textFill>
        </w:rPr>
        <w:t>模式、适用</w:t>
      </w:r>
      <w:r>
        <w:rPr>
          <w:rFonts w:hint="eastAsia" w:eastAsia="仿宋_GB2312"/>
          <w:color w:val="000000" w:themeColor="text1"/>
          <w:sz w:val="32"/>
          <w:szCs w:val="32"/>
          <w14:textFill>
            <w14:solidFill>
              <w14:schemeClr w14:val="tx1"/>
            </w14:solidFill>
          </w14:textFill>
        </w:rPr>
        <w:t>人群</w:t>
      </w:r>
      <w:r>
        <w:rPr>
          <w:rFonts w:eastAsia="仿宋_GB2312"/>
          <w:color w:val="000000" w:themeColor="text1"/>
          <w:sz w:val="32"/>
          <w:szCs w:val="32"/>
          <w14:textFill>
            <w14:solidFill>
              <w14:schemeClr w14:val="tx1"/>
            </w14:solidFill>
          </w14:textFill>
        </w:rPr>
        <w:t>等</w:t>
      </w:r>
      <w:r>
        <w:rPr>
          <w:rFonts w:hint="eastAsia" w:eastAsia="仿宋_GB2312"/>
          <w:color w:val="000000" w:themeColor="text1"/>
          <w:sz w:val="32"/>
          <w:szCs w:val="32"/>
          <w14:textFill>
            <w14:solidFill>
              <w14:schemeClr w14:val="tx1"/>
            </w14:solidFill>
          </w14:textFill>
        </w:rPr>
        <w:t>要素</w:t>
      </w:r>
      <w:r>
        <w:rPr>
          <w:rFonts w:eastAsia="仿宋_GB2312"/>
          <w:color w:val="000000" w:themeColor="text1"/>
          <w:sz w:val="32"/>
          <w:szCs w:val="32"/>
          <w14:textFill>
            <w14:solidFill>
              <w14:schemeClr w14:val="tx1"/>
            </w14:solidFill>
          </w14:textFill>
        </w:rPr>
        <w:t>的</w:t>
      </w:r>
      <w:r>
        <w:rPr>
          <w:rFonts w:hint="eastAsia" w:eastAsia="仿宋_GB2312"/>
          <w:color w:val="000000" w:themeColor="text1"/>
          <w:sz w:val="32"/>
          <w:szCs w:val="32"/>
          <w14:textFill>
            <w14:solidFill>
              <w14:schemeClr w14:val="tx1"/>
            </w14:solidFill>
          </w14:textFill>
        </w:rPr>
        <w:t>组合，通气波形是机械通气输出的关键因素，不同类型的通气模式在波形原理、生理学效应等方面可能存在较大差异，而不同人群（如成人与新生儿之间），潮气量、压力值的设置原则存在很大差异，且新生儿人群对于压力/潮气量的峰值要求更为严格，呼吸机的</w:t>
      </w:r>
      <w:r>
        <w:rPr>
          <w:rFonts w:eastAsia="仿宋_GB2312"/>
          <w:color w:val="000000" w:themeColor="text1"/>
          <w:sz w:val="32"/>
          <w:szCs w:val="32"/>
          <w14:textFill>
            <w14:solidFill>
              <w14:schemeClr w14:val="tx1"/>
            </w14:solidFill>
          </w14:textFill>
        </w:rPr>
        <w:t>安全有效性一般通过</w:t>
      </w:r>
      <w:r>
        <w:rPr>
          <w:rFonts w:hint="eastAsia" w:eastAsia="仿宋_GB2312"/>
          <w:color w:val="000000" w:themeColor="text1"/>
          <w:sz w:val="32"/>
          <w:szCs w:val="32"/>
          <w14:textFill>
            <w14:solidFill>
              <w14:schemeClr w14:val="tx1"/>
            </w14:solidFill>
          </w14:textFill>
        </w:rPr>
        <w:t>相同</w:t>
      </w:r>
      <w:r>
        <w:rPr>
          <w:rFonts w:eastAsia="仿宋_GB2312"/>
          <w:color w:val="000000" w:themeColor="text1"/>
          <w:sz w:val="32"/>
          <w:szCs w:val="32"/>
          <w14:textFill>
            <w14:solidFill>
              <w14:schemeClr w14:val="tx1"/>
            </w14:solidFill>
          </w14:textFill>
        </w:rPr>
        <w:t>适用</w:t>
      </w:r>
      <w:r>
        <w:rPr>
          <w:rFonts w:hint="eastAsia" w:eastAsia="仿宋_GB2312"/>
          <w:color w:val="000000" w:themeColor="text1"/>
          <w:sz w:val="32"/>
          <w:szCs w:val="32"/>
          <w14:textFill>
            <w14:solidFill>
              <w14:schemeClr w14:val="tx1"/>
            </w14:solidFill>
          </w14:textFill>
        </w:rPr>
        <w:t>人群下</w:t>
      </w:r>
      <w:r>
        <w:rPr>
          <w:rFonts w:eastAsia="仿宋_GB2312"/>
          <w:color w:val="000000" w:themeColor="text1"/>
          <w:sz w:val="32"/>
          <w:szCs w:val="32"/>
          <w14:textFill>
            <w14:solidFill>
              <w14:schemeClr w14:val="tx1"/>
            </w14:solidFill>
          </w14:textFill>
        </w:rPr>
        <w:t>波形对比</w:t>
      </w:r>
      <w:r>
        <w:rPr>
          <w:rFonts w:hint="eastAsia" w:eastAsia="仿宋_GB2312"/>
          <w:color w:val="000000" w:themeColor="text1"/>
          <w:sz w:val="32"/>
          <w:szCs w:val="32"/>
          <w14:textFill>
            <w14:solidFill>
              <w14:schemeClr w14:val="tx1"/>
            </w14:solidFill>
          </w14:textFill>
        </w:rPr>
        <w:t>等同</w:t>
      </w:r>
      <w:r>
        <w:rPr>
          <w:rFonts w:eastAsia="仿宋_GB2312"/>
          <w:color w:val="000000" w:themeColor="text1"/>
          <w:sz w:val="32"/>
          <w:szCs w:val="32"/>
          <w14:textFill>
            <w14:solidFill>
              <w14:schemeClr w14:val="tx1"/>
            </w14:solidFill>
          </w14:textFill>
        </w:rPr>
        <w:t>予以确认</w:t>
      </w:r>
      <w:r>
        <w:rPr>
          <w:rFonts w:hint="eastAsia" w:eastAsia="仿宋_GB2312"/>
          <w:color w:val="000000" w:themeColor="text1"/>
          <w:sz w:val="32"/>
          <w:szCs w:val="32"/>
          <w14:textFill>
            <w14:solidFill>
              <w14:schemeClr w14:val="tx1"/>
            </w14:solidFill>
          </w14:textFill>
        </w:rPr>
        <w:t>。在</w:t>
      </w:r>
      <w:r>
        <w:rPr>
          <w:rFonts w:eastAsia="仿宋_GB2312"/>
          <w:color w:val="000000" w:themeColor="text1"/>
          <w:sz w:val="32"/>
          <w:szCs w:val="32"/>
          <w14:textFill>
            <w14:solidFill>
              <w14:schemeClr w14:val="tx1"/>
            </w14:solidFill>
          </w14:textFill>
        </w:rPr>
        <w:t>进行临床评价时，可考虑选取</w:t>
      </w:r>
      <w:r>
        <w:rPr>
          <w:rFonts w:hint="eastAsia" w:eastAsia="仿宋_GB2312"/>
          <w:color w:val="000000" w:themeColor="text1"/>
          <w:sz w:val="32"/>
          <w:szCs w:val="32"/>
          <w14:textFill>
            <w14:solidFill>
              <w14:schemeClr w14:val="tx1"/>
            </w14:solidFill>
          </w14:textFill>
        </w:rPr>
        <w:t>多个</w:t>
      </w:r>
      <w:r>
        <w:rPr>
          <w:rFonts w:eastAsia="仿宋_GB2312"/>
          <w:color w:val="000000" w:themeColor="text1"/>
          <w:sz w:val="32"/>
          <w:szCs w:val="32"/>
          <w14:textFill>
            <w14:solidFill>
              <w14:schemeClr w14:val="tx1"/>
            </w14:solidFill>
          </w14:textFill>
        </w:rPr>
        <w:t>已上市产品作为同品种，最大程度覆盖</w:t>
      </w:r>
      <w:r>
        <w:rPr>
          <w:rFonts w:hint="eastAsia" w:eastAsia="仿宋_GB2312"/>
          <w:color w:val="000000" w:themeColor="text1"/>
          <w:sz w:val="32"/>
          <w:szCs w:val="32"/>
          <w14:textFill>
            <w14:solidFill>
              <w14:schemeClr w14:val="tx1"/>
            </w14:solidFill>
          </w14:textFill>
        </w:rPr>
        <w:t>申报</w:t>
      </w:r>
      <w:r>
        <w:rPr>
          <w:rFonts w:eastAsia="仿宋_GB2312"/>
          <w:color w:val="000000" w:themeColor="text1"/>
          <w:sz w:val="32"/>
          <w:szCs w:val="32"/>
          <w14:textFill>
            <w14:solidFill>
              <w14:schemeClr w14:val="tx1"/>
            </w14:solidFill>
          </w14:textFill>
        </w:rPr>
        <w:t>产品的技术特征</w:t>
      </w:r>
      <w:r>
        <w:rPr>
          <w:rFonts w:hint="eastAsia" w:eastAsia="仿宋_GB2312"/>
          <w:color w:val="000000" w:themeColor="text1"/>
          <w:sz w:val="32"/>
          <w:szCs w:val="32"/>
          <w14:textFill>
            <w14:solidFill>
              <w14:schemeClr w14:val="tx1"/>
            </w14:solidFill>
          </w14:textFill>
        </w:rPr>
        <w:t>。以</w:t>
      </w:r>
      <w:r>
        <w:rPr>
          <w:rFonts w:eastAsia="仿宋_GB2312"/>
          <w:color w:val="000000" w:themeColor="text1"/>
          <w:sz w:val="32"/>
          <w:szCs w:val="32"/>
          <w14:textFill>
            <w14:solidFill>
              <w14:schemeClr w14:val="tx1"/>
            </w14:solidFill>
          </w14:textFill>
        </w:rPr>
        <w:t>下列</w:t>
      </w:r>
      <w:r>
        <w:rPr>
          <w:rFonts w:hint="eastAsia" w:eastAsia="仿宋_GB2312"/>
          <w:color w:val="000000" w:themeColor="text1"/>
          <w:sz w:val="32"/>
          <w:szCs w:val="32"/>
          <w14:textFill>
            <w14:solidFill>
              <w14:schemeClr w14:val="tx1"/>
            </w14:solidFill>
          </w14:textFill>
        </w:rPr>
        <w:t>常见</w:t>
      </w:r>
      <w:r>
        <w:rPr>
          <w:rFonts w:eastAsia="仿宋_GB2312"/>
          <w:color w:val="000000" w:themeColor="text1"/>
          <w:sz w:val="32"/>
          <w:szCs w:val="32"/>
          <w14:textFill>
            <w14:solidFill>
              <w14:schemeClr w14:val="tx1"/>
            </w14:solidFill>
          </w14:textFill>
        </w:rPr>
        <w:t>的差异类型为例</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说明可供参考的</w:t>
      </w:r>
      <w:r>
        <w:rPr>
          <w:rFonts w:hint="eastAsia" w:eastAsia="仿宋_GB2312"/>
          <w:color w:val="000000" w:themeColor="text1"/>
          <w:sz w:val="32"/>
          <w:szCs w:val="32"/>
          <w14:textFill>
            <w14:solidFill>
              <w14:schemeClr w14:val="tx1"/>
            </w14:solidFill>
          </w14:textFill>
        </w:rPr>
        <w:t>安全有效</w:t>
      </w:r>
      <w:r>
        <w:rPr>
          <w:rFonts w:eastAsia="仿宋_GB2312"/>
          <w:color w:val="000000" w:themeColor="text1"/>
          <w:sz w:val="32"/>
          <w:szCs w:val="32"/>
          <w14:textFill>
            <w14:solidFill>
              <w14:schemeClr w14:val="tx1"/>
            </w14:solidFill>
          </w14:textFill>
        </w:rPr>
        <w:t>证据</w:t>
      </w:r>
      <w:r>
        <w:rPr>
          <w:rFonts w:hint="eastAsia" w:eastAsia="仿宋_GB2312"/>
          <w:color w:val="000000" w:themeColor="text1"/>
          <w:sz w:val="32"/>
          <w:szCs w:val="32"/>
          <w14:textFill>
            <w14:solidFill>
              <w14:schemeClr w14:val="tx1"/>
            </w14:solidFill>
          </w14:textFill>
        </w:rPr>
        <w:t>。</w:t>
      </w:r>
    </w:p>
    <w:p w14:paraId="11833838">
      <w:pPr>
        <w:pStyle w:val="4"/>
        <w:spacing w:before="0" w:after="0" w:line="520" w:lineRule="exact"/>
        <w:ind w:firstLine="640" w:firstLineChars="200"/>
        <w:rPr>
          <w:rFonts w:ascii="Times New Roman" w:hAnsi="Times New Roman" w:eastAsia="楷体_GB2312" w:cs="Times New Roman"/>
          <w:b w:val="0"/>
          <w:color w:val="000000" w:themeColor="text1"/>
          <w14:textFill>
            <w14:solidFill>
              <w14:schemeClr w14:val="tx1"/>
            </w14:solidFill>
          </w14:textFill>
        </w:rPr>
      </w:pPr>
      <w:r>
        <w:rPr>
          <w:rFonts w:hint="eastAsia" w:ascii="Times New Roman" w:hAnsi="Times New Roman" w:eastAsia="楷体_GB2312" w:cs="Times New Roman"/>
          <w:b w:val="0"/>
          <w:color w:val="000000" w:themeColor="text1"/>
          <w14:textFill>
            <w14:solidFill>
              <w14:schemeClr w14:val="tx1"/>
            </w14:solidFill>
          </w14:textFill>
        </w:rPr>
        <w:t>1</w:t>
      </w:r>
      <w:r>
        <w:rPr>
          <w:rFonts w:ascii="Times New Roman" w:hAnsi="Times New Roman" w:eastAsia="楷体_GB2312" w:cs="Times New Roman"/>
          <w:b w:val="0"/>
          <w:color w:val="000000" w:themeColor="text1"/>
          <w14:textFill>
            <w14:solidFill>
              <w14:schemeClr w14:val="tx1"/>
            </w14:solidFill>
          </w14:textFill>
        </w:rPr>
        <w:t>.</w:t>
      </w:r>
      <w:r>
        <w:rPr>
          <w:rFonts w:hint="eastAsia" w:ascii="Times New Roman" w:hAnsi="Times New Roman" w:eastAsia="楷体_GB2312" w:cs="Times New Roman"/>
          <w:b w:val="0"/>
          <w:color w:val="000000" w:themeColor="text1"/>
          <w14:textFill>
            <w14:solidFill>
              <w14:schemeClr w14:val="tx1"/>
            </w14:solidFill>
          </w14:textFill>
        </w:rPr>
        <w:t>可采用台架测试可论证差异部分</w:t>
      </w:r>
      <w:r>
        <w:rPr>
          <w:rFonts w:ascii="Times New Roman" w:hAnsi="Times New Roman" w:eastAsia="楷体_GB2312" w:cs="Times New Roman"/>
          <w:b w:val="0"/>
          <w:color w:val="000000" w:themeColor="text1"/>
          <w14:textFill>
            <w14:solidFill>
              <w14:schemeClr w14:val="tx1"/>
            </w14:solidFill>
          </w14:textFill>
        </w:rPr>
        <w:t>安全有效性</w:t>
      </w:r>
      <w:r>
        <w:rPr>
          <w:rFonts w:hint="eastAsia" w:ascii="Times New Roman" w:hAnsi="Times New Roman" w:eastAsia="楷体_GB2312" w:cs="Times New Roman"/>
          <w:b w:val="0"/>
          <w:color w:val="000000" w:themeColor="text1"/>
          <w14:textFill>
            <w14:solidFill>
              <w14:schemeClr w14:val="tx1"/>
            </w14:solidFill>
          </w14:textFill>
        </w:rPr>
        <w:t>的情形</w:t>
      </w:r>
    </w:p>
    <w:p w14:paraId="60C4D08B">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当申报产品</w:t>
      </w:r>
      <w:r>
        <w:rPr>
          <w:rFonts w:eastAsia="仿宋_GB2312"/>
          <w:color w:val="000000" w:themeColor="text1"/>
          <w:sz w:val="32"/>
          <w:szCs w:val="32"/>
          <w14:textFill>
            <w14:solidFill>
              <w14:schemeClr w14:val="tx1"/>
            </w14:solidFill>
          </w14:textFill>
        </w:rPr>
        <w:t>与同品种产品</w:t>
      </w:r>
      <w:r>
        <w:rPr>
          <w:rFonts w:hint="eastAsia" w:eastAsia="仿宋_GB2312"/>
          <w:color w:val="000000" w:themeColor="text1"/>
          <w:sz w:val="32"/>
          <w:szCs w:val="32"/>
          <w14:textFill>
            <w14:solidFill>
              <w14:schemeClr w14:val="tx1"/>
            </w14:solidFill>
          </w14:textFill>
        </w:rPr>
        <w:t>存在</w:t>
      </w:r>
      <w:r>
        <w:rPr>
          <w:rFonts w:eastAsia="仿宋_GB2312"/>
          <w:color w:val="000000" w:themeColor="text1"/>
          <w:sz w:val="32"/>
          <w:szCs w:val="32"/>
          <w14:textFill>
            <w14:solidFill>
              <w14:schemeClr w14:val="tx1"/>
            </w14:solidFill>
          </w14:textFill>
        </w:rPr>
        <w:t>如下差异时，</w:t>
      </w:r>
      <w:r>
        <w:rPr>
          <w:rFonts w:hint="eastAsia" w:eastAsia="仿宋_GB2312"/>
          <w:color w:val="000000" w:themeColor="text1"/>
          <w:sz w:val="32"/>
          <w:szCs w:val="32"/>
          <w14:textFill>
            <w14:solidFill>
              <w14:schemeClr w14:val="tx1"/>
            </w14:solidFill>
          </w14:textFill>
        </w:rPr>
        <w:t>一般</w:t>
      </w:r>
      <w:r>
        <w:rPr>
          <w:rFonts w:eastAsia="仿宋_GB2312"/>
          <w:color w:val="000000" w:themeColor="text1"/>
          <w:sz w:val="32"/>
          <w:szCs w:val="32"/>
          <w14:textFill>
            <w14:solidFill>
              <w14:schemeClr w14:val="tx1"/>
            </w14:solidFill>
          </w14:textFill>
        </w:rPr>
        <w:t>可考虑通过</w:t>
      </w:r>
      <w:r>
        <w:rPr>
          <w:rFonts w:hint="eastAsia" w:eastAsia="仿宋_GB2312"/>
          <w:color w:val="000000" w:themeColor="text1"/>
          <w:sz w:val="32"/>
          <w:szCs w:val="32"/>
          <w14:textFill>
            <w14:solidFill>
              <w14:schemeClr w14:val="tx1"/>
            </w14:solidFill>
          </w14:textFill>
        </w:rPr>
        <w:t>台架测试（含体模试验）等方式证明差异部分</w:t>
      </w:r>
      <w:r>
        <w:rPr>
          <w:rFonts w:eastAsia="仿宋_GB2312"/>
          <w:color w:val="000000" w:themeColor="text1"/>
          <w:sz w:val="32"/>
          <w:szCs w:val="32"/>
          <w14:textFill>
            <w14:solidFill>
              <w14:schemeClr w14:val="tx1"/>
            </w14:solidFill>
          </w14:textFill>
        </w:rPr>
        <w:t>的安全有效性</w:t>
      </w:r>
      <w:r>
        <w:rPr>
          <w:rFonts w:hint="eastAsia" w:eastAsia="仿宋_GB2312"/>
          <w:color w:val="000000" w:themeColor="text1"/>
          <w:sz w:val="32"/>
          <w:szCs w:val="32"/>
          <w14:textFill>
            <w14:solidFill>
              <w14:schemeClr w14:val="tx1"/>
            </w14:solidFill>
          </w14:textFill>
        </w:rPr>
        <w:t>。</w:t>
      </w:r>
    </w:p>
    <w:p w14:paraId="7AB695AA">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（1）气动原理图、气路设计存在差异的，需考虑分析论证气动原理图的等同性，或提供申报产品气动原理的计算机/数学模型结果论证设计的合理性。</w:t>
      </w:r>
    </w:p>
    <w:p w14:paraId="180373B6">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）气体驱动类型（如</w:t>
      </w:r>
      <w:r>
        <w:rPr>
          <w:rFonts w:eastAsia="仿宋_GB2312"/>
          <w:sz w:val="32"/>
          <w:szCs w:val="32"/>
        </w:rPr>
        <w:t>高压气体驱动</w:t>
      </w:r>
      <w:r>
        <w:rPr>
          <w:rFonts w:hint="eastAsia" w:eastAsia="仿宋_GB2312"/>
          <w:sz w:val="32"/>
          <w:szCs w:val="32"/>
        </w:rPr>
        <w:t>与</w:t>
      </w:r>
      <w:r>
        <w:rPr>
          <w:rFonts w:eastAsia="仿宋_GB2312"/>
          <w:sz w:val="32"/>
          <w:szCs w:val="32"/>
        </w:rPr>
        <w:t>内部涡轮或者</w:t>
      </w:r>
      <w:r>
        <w:rPr>
          <w:rFonts w:hint="eastAsia" w:eastAsia="仿宋_GB2312"/>
          <w:sz w:val="32"/>
          <w:szCs w:val="32"/>
        </w:rPr>
        <w:t>压缩机</w:t>
      </w:r>
      <w:r>
        <w:rPr>
          <w:rFonts w:eastAsia="仿宋_GB2312"/>
          <w:sz w:val="32"/>
          <w:szCs w:val="32"/>
        </w:rPr>
        <w:t>驱动</w:t>
      </w:r>
      <w:r>
        <w:rPr>
          <w:rFonts w:hint="eastAsia" w:eastAsia="仿宋_GB2312"/>
          <w:color w:val="000000" w:themeColor="text1"/>
          <w:sz w:val="32"/>
          <w:szCs w:val="32"/>
          <w14:textFill>
            <w14:solidFill>
              <w14:schemeClr w14:val="tx1"/>
            </w14:solidFill>
          </w14:textFill>
        </w:rPr>
        <w:t>）的差别需提供申报产品气流稳定性测试，输出压力范围对比等论证安全有效性。</w:t>
      </w:r>
    </w:p>
    <w:p w14:paraId="5FAF4434">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）报警参数的差异一般可结合临床</w:t>
      </w:r>
      <w:r>
        <w:rPr>
          <w:rFonts w:eastAsia="仿宋_GB2312"/>
          <w:color w:val="000000" w:themeColor="text1"/>
          <w:sz w:val="32"/>
          <w:szCs w:val="32"/>
          <w14:textFill>
            <w14:solidFill>
              <w14:schemeClr w14:val="tx1"/>
            </w14:solidFill>
          </w14:textFill>
        </w:rPr>
        <w:t>指南、</w:t>
      </w:r>
      <w:r>
        <w:rPr>
          <w:rFonts w:hint="eastAsia" w:eastAsia="仿宋_GB2312"/>
          <w:color w:val="000000" w:themeColor="text1"/>
          <w:sz w:val="32"/>
          <w:szCs w:val="32"/>
          <w14:textFill>
            <w14:solidFill>
              <w14:schemeClr w14:val="tx1"/>
            </w14:solidFill>
          </w14:textFill>
        </w:rPr>
        <w:t>专家共识、临床文献等方式说明其设置的安全有效性。</w:t>
      </w:r>
    </w:p>
    <w:p w14:paraId="7AB7708D">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）参数名称</w:t>
      </w:r>
      <w:r>
        <w:rPr>
          <w:rFonts w:eastAsia="仿宋_GB2312"/>
          <w:color w:val="000000" w:themeColor="text1"/>
          <w:sz w:val="32"/>
          <w:szCs w:val="32"/>
          <w14:textFill>
            <w14:solidFill>
              <w14:schemeClr w14:val="tx1"/>
            </w14:solidFill>
          </w14:textFill>
        </w:rPr>
        <w:t>存在</w:t>
      </w:r>
      <w:r>
        <w:rPr>
          <w:rFonts w:hint="eastAsia" w:eastAsia="仿宋_GB2312"/>
          <w:color w:val="000000" w:themeColor="text1"/>
          <w:sz w:val="32"/>
          <w:szCs w:val="32"/>
          <w14:textFill>
            <w14:solidFill>
              <w14:schemeClr w14:val="tx1"/>
            </w14:solidFill>
          </w14:textFill>
        </w:rPr>
        <w:t>差异</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但其类型、定义和计算原理相同（如窒息通气时间和吸气时间）或者两参数间为学术界公认的等同变体（如吸气暂停和吸气流速），可提供相关说明论证</w:t>
      </w:r>
      <w:r>
        <w:rPr>
          <w:rFonts w:eastAsia="仿宋_GB2312"/>
          <w:color w:val="000000" w:themeColor="text1"/>
          <w:sz w:val="32"/>
          <w:szCs w:val="32"/>
          <w14:textFill>
            <w14:solidFill>
              <w14:schemeClr w14:val="tx1"/>
            </w14:solidFill>
          </w14:textFill>
        </w:rPr>
        <w:t>安全有效性</w:t>
      </w:r>
      <w:r>
        <w:rPr>
          <w:rFonts w:hint="eastAsia" w:eastAsia="仿宋_GB2312"/>
          <w:color w:val="000000" w:themeColor="text1"/>
          <w:sz w:val="32"/>
          <w:szCs w:val="32"/>
          <w14:textFill>
            <w14:solidFill>
              <w14:schemeClr w14:val="tx1"/>
            </w14:solidFill>
          </w14:textFill>
        </w:rPr>
        <w:t>（如解释说明和计算公式）。</w:t>
      </w:r>
    </w:p>
    <w:p w14:paraId="6053A66E">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）参数定义</w:t>
      </w:r>
      <w:r>
        <w:rPr>
          <w:rFonts w:eastAsia="仿宋_GB2312"/>
          <w:color w:val="000000" w:themeColor="text1"/>
          <w:sz w:val="32"/>
          <w:szCs w:val="32"/>
          <w14:textFill>
            <w14:solidFill>
              <w14:schemeClr w14:val="tx1"/>
            </w14:solidFill>
          </w14:textFill>
        </w:rPr>
        <w:t>存在差异，但</w:t>
      </w:r>
      <w:r>
        <w:rPr>
          <w:rFonts w:hint="eastAsia" w:eastAsia="仿宋_GB2312"/>
          <w:color w:val="000000" w:themeColor="text1"/>
          <w:sz w:val="32"/>
          <w:szCs w:val="32"/>
          <w14:textFill>
            <w14:solidFill>
              <w14:schemeClr w14:val="tx1"/>
            </w14:solidFill>
          </w14:textFill>
        </w:rPr>
        <w:t>申报产品</w:t>
      </w:r>
      <w:r>
        <w:rPr>
          <w:rFonts w:eastAsia="仿宋_GB2312"/>
          <w:color w:val="000000" w:themeColor="text1"/>
          <w:sz w:val="32"/>
          <w:szCs w:val="32"/>
          <w14:textFill>
            <w14:solidFill>
              <w14:schemeClr w14:val="tx1"/>
            </w14:solidFill>
          </w14:textFill>
        </w:rPr>
        <w:t>参数</w:t>
      </w:r>
      <w:r>
        <w:rPr>
          <w:rFonts w:hint="eastAsia" w:eastAsia="仿宋_GB2312"/>
          <w:color w:val="000000" w:themeColor="text1"/>
          <w:sz w:val="32"/>
          <w:szCs w:val="32"/>
          <w14:textFill>
            <w14:solidFill>
              <w14:schemeClr w14:val="tx1"/>
            </w14:solidFill>
          </w14:textFill>
        </w:rPr>
        <w:t>由同品种产品的某些参数计算而来，且已有临床应用中采用相关参数进行呼吸机的控制和报警（如时间常数由阻力和顺应性计算而来） 或者参数计算公式为公认且得到已有临床实践认可 （如肺过度膨胀系数、肺牵张指数Stress Index等），可提交相关参数用于呼吸机控制的合法获得临床文献数据论证其安全有效性。</w:t>
      </w:r>
    </w:p>
    <w:p w14:paraId="5056C065">
      <w:pPr>
        <w:pStyle w:val="4"/>
        <w:spacing w:before="0" w:after="0" w:line="520" w:lineRule="exact"/>
        <w:ind w:firstLine="640" w:firstLineChars="200"/>
        <w:rPr>
          <w:rFonts w:ascii="Times New Roman" w:hAnsi="Times New Roman" w:eastAsia="楷体_GB2312" w:cs="Times New Roman"/>
          <w:b w:val="0"/>
          <w:color w:val="000000" w:themeColor="text1"/>
          <w14:textFill>
            <w14:solidFill>
              <w14:schemeClr w14:val="tx1"/>
            </w14:solidFill>
          </w14:textFill>
        </w:rPr>
      </w:pPr>
      <w:r>
        <w:rPr>
          <w:rFonts w:hint="eastAsia" w:ascii="Times New Roman" w:hAnsi="Times New Roman" w:eastAsia="楷体_GB2312" w:cs="Times New Roman"/>
          <w:b w:val="0"/>
          <w:color w:val="000000" w:themeColor="text1"/>
          <w14:textFill>
            <w14:solidFill>
              <w14:schemeClr w14:val="tx1"/>
            </w14:solidFill>
          </w14:textFill>
        </w:rPr>
        <w:t>2</w:t>
      </w:r>
      <w:r>
        <w:rPr>
          <w:rFonts w:ascii="Times New Roman" w:hAnsi="Times New Roman" w:eastAsia="楷体_GB2312" w:cs="Times New Roman"/>
          <w:b w:val="0"/>
          <w:color w:val="000000" w:themeColor="text1"/>
          <w14:textFill>
            <w14:solidFill>
              <w14:schemeClr w14:val="tx1"/>
            </w14:solidFill>
          </w14:textFill>
        </w:rPr>
        <w:t>.</w:t>
      </w:r>
      <w:r>
        <w:rPr>
          <w:rFonts w:hint="eastAsia" w:ascii="Times New Roman" w:hAnsi="Times New Roman" w:eastAsia="楷体_GB2312" w:cs="Times New Roman"/>
          <w:b w:val="0"/>
          <w:color w:val="000000" w:themeColor="text1"/>
          <w14:textFill>
            <w14:solidFill>
              <w14:schemeClr w14:val="tx1"/>
            </w14:solidFill>
          </w14:textFill>
        </w:rPr>
        <w:t>需考虑</w:t>
      </w:r>
      <w:r>
        <w:rPr>
          <w:rFonts w:ascii="Times New Roman" w:hAnsi="Times New Roman" w:eastAsia="楷体_GB2312" w:cs="Times New Roman"/>
          <w:b w:val="0"/>
          <w:color w:val="000000" w:themeColor="text1"/>
          <w14:textFill>
            <w14:solidFill>
              <w14:schemeClr w14:val="tx1"/>
            </w14:solidFill>
          </w14:textFill>
        </w:rPr>
        <w:t>动物</w:t>
      </w:r>
      <w:r>
        <w:rPr>
          <w:rFonts w:hint="eastAsia" w:ascii="Times New Roman" w:hAnsi="Times New Roman" w:eastAsia="楷体_GB2312" w:cs="Times New Roman"/>
          <w:b w:val="0"/>
          <w:color w:val="000000" w:themeColor="text1"/>
          <w14:textFill>
            <w14:solidFill>
              <w14:schemeClr w14:val="tx1"/>
            </w14:solidFill>
          </w14:textFill>
        </w:rPr>
        <w:t>试验和/或</w:t>
      </w:r>
      <w:r>
        <w:rPr>
          <w:rFonts w:ascii="Times New Roman" w:hAnsi="Times New Roman" w:eastAsia="楷体_GB2312" w:cs="Times New Roman"/>
          <w:b w:val="0"/>
          <w:color w:val="000000" w:themeColor="text1"/>
          <w14:textFill>
            <w14:solidFill>
              <w14:schemeClr w14:val="tx1"/>
            </w14:solidFill>
          </w14:textFill>
        </w:rPr>
        <w:t>自身临床数据的情形</w:t>
      </w:r>
    </w:p>
    <w:p w14:paraId="361F8E0A">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通气波形可以反映</w:t>
      </w:r>
      <w:r>
        <w:rPr>
          <w:rFonts w:eastAsia="仿宋_GB2312"/>
          <w:color w:val="000000" w:themeColor="text1"/>
          <w:sz w:val="32"/>
          <w:szCs w:val="32"/>
          <w14:textFill>
            <w14:solidFill>
              <w14:schemeClr w14:val="tx1"/>
            </w14:solidFill>
          </w14:textFill>
        </w:rPr>
        <w:t>机械通气过程中</w:t>
      </w:r>
      <w:r>
        <w:rPr>
          <w:rFonts w:hint="eastAsia" w:eastAsia="仿宋_GB2312"/>
          <w:color w:val="000000" w:themeColor="text1"/>
          <w:sz w:val="32"/>
          <w:szCs w:val="32"/>
          <w14:textFill>
            <w14:solidFill>
              <w14:schemeClr w14:val="tx1"/>
            </w14:solidFill>
          </w14:textFill>
        </w:rPr>
        <w:t>压力</w:t>
      </w:r>
      <w:r>
        <w:rPr>
          <w:rFonts w:eastAsia="仿宋_GB2312"/>
          <w:color w:val="000000" w:themeColor="text1"/>
          <w:sz w:val="32"/>
          <w:szCs w:val="32"/>
          <w14:textFill>
            <w14:solidFill>
              <w14:schemeClr w14:val="tx1"/>
            </w14:solidFill>
          </w14:textFill>
        </w:rPr>
        <w:t>、流速</w:t>
      </w:r>
      <w:r>
        <w:rPr>
          <w:rFonts w:hint="eastAsia" w:eastAsia="仿宋_GB2312"/>
          <w:color w:val="000000" w:themeColor="text1"/>
          <w:sz w:val="32"/>
          <w:szCs w:val="32"/>
          <w14:textFill>
            <w14:solidFill>
              <w14:schemeClr w14:val="tx1"/>
            </w14:solidFill>
          </w14:textFill>
        </w:rPr>
        <w:t>等关键</w:t>
      </w:r>
      <w:r>
        <w:rPr>
          <w:rFonts w:eastAsia="仿宋_GB2312"/>
          <w:color w:val="000000" w:themeColor="text1"/>
          <w:sz w:val="32"/>
          <w:szCs w:val="32"/>
          <w14:textFill>
            <w14:solidFill>
              <w14:schemeClr w14:val="tx1"/>
            </w14:solidFill>
          </w14:textFill>
        </w:rPr>
        <w:t>参数的</w:t>
      </w:r>
      <w:r>
        <w:rPr>
          <w:rFonts w:hint="eastAsia" w:eastAsia="仿宋_GB2312"/>
          <w:color w:val="000000" w:themeColor="text1"/>
          <w:sz w:val="32"/>
          <w:szCs w:val="32"/>
          <w14:textFill>
            <w14:solidFill>
              <w14:schemeClr w14:val="tx1"/>
            </w14:solidFill>
          </w14:textFill>
        </w:rPr>
        <w:t>连续</w:t>
      </w:r>
      <w:r>
        <w:rPr>
          <w:rFonts w:eastAsia="仿宋_GB2312"/>
          <w:color w:val="000000" w:themeColor="text1"/>
          <w:sz w:val="32"/>
          <w:szCs w:val="32"/>
          <w14:textFill>
            <w14:solidFill>
              <w14:schemeClr w14:val="tx1"/>
            </w14:solidFill>
          </w14:textFill>
        </w:rPr>
        <w:t>变化</w:t>
      </w:r>
      <w:r>
        <w:rPr>
          <w:rFonts w:hint="eastAsia" w:eastAsia="仿宋_GB2312"/>
          <w:color w:val="000000" w:themeColor="text1"/>
          <w:sz w:val="32"/>
          <w:szCs w:val="32"/>
          <w14:textFill>
            <w14:solidFill>
              <w14:schemeClr w14:val="tx1"/>
            </w14:solidFill>
          </w14:textFill>
        </w:rPr>
        <w:t>，通气波形对于机械</w:t>
      </w:r>
      <w:r>
        <w:rPr>
          <w:rFonts w:eastAsia="仿宋_GB2312"/>
          <w:color w:val="000000" w:themeColor="text1"/>
          <w:sz w:val="32"/>
          <w:szCs w:val="32"/>
          <w14:textFill>
            <w14:solidFill>
              <w14:schemeClr w14:val="tx1"/>
            </w14:solidFill>
          </w14:textFill>
        </w:rPr>
        <w:t>通气输出的评估至关重要</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因此</w:t>
      </w:r>
      <w:r>
        <w:rPr>
          <w:rFonts w:hint="eastAsia" w:eastAsia="仿宋_GB2312"/>
          <w:color w:val="000000" w:themeColor="text1"/>
          <w:sz w:val="32"/>
          <w:szCs w:val="32"/>
          <w14:textFill>
            <w14:solidFill>
              <w14:schemeClr w14:val="tx1"/>
            </w14:solidFill>
          </w14:textFill>
        </w:rPr>
        <w:t>，各通气模式的波形对比后和适用范围的等同性</w:t>
      </w:r>
      <w:r>
        <w:rPr>
          <w:rFonts w:eastAsia="仿宋_GB2312"/>
          <w:color w:val="000000" w:themeColor="text1"/>
          <w:sz w:val="32"/>
          <w:szCs w:val="32"/>
          <w14:textFill>
            <w14:solidFill>
              <w14:schemeClr w14:val="tx1"/>
            </w14:solidFill>
          </w14:textFill>
        </w:rPr>
        <w:t>需重点关注，若</w:t>
      </w:r>
      <w:r>
        <w:rPr>
          <w:rFonts w:hint="eastAsia" w:eastAsia="仿宋_GB2312"/>
          <w:color w:val="000000" w:themeColor="text1"/>
          <w:sz w:val="32"/>
          <w:szCs w:val="32"/>
          <w14:textFill>
            <w14:solidFill>
              <w14:schemeClr w14:val="tx1"/>
            </w14:solidFill>
          </w14:textFill>
        </w:rPr>
        <w:t>不能认定为等同的，需针对差异部分考虑提供动物实验数据，必要时还需考虑提供申报产品自身临床数据。</w:t>
      </w:r>
    </w:p>
    <w:p w14:paraId="081177E0">
      <w:pPr>
        <w:overflowPunct w:val="0"/>
        <w:spacing w:line="560" w:lineRule="exact"/>
        <w:ind w:firstLine="640" w:firstLineChars="200"/>
        <w:outlineLvl w:val="0"/>
        <w:rPr>
          <w:rFonts w:ascii="楷体" w:hAnsi="楷体" w:eastAsia="楷体"/>
          <w:color w:val="000000" w:themeColor="text1"/>
          <w:sz w:val="32"/>
          <w:szCs w:val="32"/>
          <w14:textFill>
            <w14:solidFill>
              <w14:schemeClr w14:val="tx1"/>
            </w14:solidFill>
          </w14:textFill>
        </w:rPr>
      </w:pPr>
      <w:bookmarkStart w:id="11" w:name="_Toc82094048"/>
      <w:r>
        <w:rPr>
          <w:rFonts w:hint="eastAsia" w:ascii="楷体" w:hAnsi="楷体" w:eastAsia="楷体"/>
          <w:color w:val="000000" w:themeColor="text1"/>
          <w:sz w:val="32"/>
          <w:szCs w:val="32"/>
          <w14:textFill>
            <w14:solidFill>
              <w14:schemeClr w14:val="tx1"/>
            </w14:solidFill>
          </w14:textFill>
        </w:rPr>
        <w:t>（四）同品种临床数据</w:t>
      </w:r>
      <w:bookmarkEnd w:id="11"/>
      <w:r>
        <w:rPr>
          <w:rFonts w:hint="eastAsia" w:ascii="楷体" w:hAnsi="楷体" w:eastAsia="楷体"/>
          <w:color w:val="000000" w:themeColor="text1"/>
          <w:sz w:val="32"/>
          <w:szCs w:val="32"/>
          <w14:textFill>
            <w14:solidFill>
              <w14:schemeClr w14:val="tx1"/>
            </w14:solidFill>
          </w14:textFill>
        </w:rPr>
        <w:t>总结</w:t>
      </w:r>
    </w:p>
    <w:p w14:paraId="21308998">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同品种产品在临床应用时产生的安全有效性数据，可以为申报产品提供临床证据。宜结合产品技术成熟度、风险程度、同类产品风险受益的确定与否等条件，综合考虑提供同品种产品上市前和/或上市后临床数据。风险较高或风险受益不完全确定的功能、应用，需要结合更加广泛、全面、充分的临床数据评价其安全、有效性。</w:t>
      </w:r>
    </w:p>
    <w:p w14:paraId="5E1B4F0E">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常见的同品种产品临床数据包括但不限于以下几种：</w:t>
      </w:r>
    </w:p>
    <w:p w14:paraId="58B4A6D3">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（1）不良事件；</w:t>
      </w:r>
    </w:p>
    <w:p w14:paraId="027F2527">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w:t>
      </w:r>
      <w:r>
        <w:rPr>
          <w:rFonts w:eastAsia="仿宋_GB2312"/>
          <w:color w:val="000000" w:themeColor="text1"/>
          <w:sz w:val="32"/>
          <w:szCs w:val="32"/>
          <w14:textFill>
            <w14:solidFill>
              <w14:schemeClr w14:val="tx1"/>
            </w14:solidFill>
          </w14:textFill>
        </w:rPr>
        <w:t>临床试验数据；</w:t>
      </w:r>
    </w:p>
    <w:p w14:paraId="2570C538">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（3）临床文献的数据；</w:t>
      </w:r>
    </w:p>
    <w:p w14:paraId="724AC3A4">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（4）临床经验数据；</w:t>
      </w:r>
    </w:p>
    <w:p w14:paraId="394063AA">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（5）临床风险相关的纠正措施。</w:t>
      </w:r>
    </w:p>
    <w:p w14:paraId="5037C7BD">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目前临床上对于呼吸机的不良事件已有一定认识，不良事件与并发症一般以排痰困难、气压伤、感染、死亡等较为常见。对于技术较为成熟，临床应用广泛、风险受益认知较为充分的产品/功能，需提交同品种产品上市后的不良事件及与临床相关的纠正措施数据。对于技术特征相对较新、同类产品临床应用较少、风险受益认知尚不充分的产品/功能，还需依据具体情况，提交同品种产品的临床文献数据、临床经验数据。</w:t>
      </w:r>
    </w:p>
    <w:p w14:paraId="76BFE5C9">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文献数据和临床经验数据等的检索、各数据集的整理、分析等，参照《医疗器械临床评价技术指导原则》的相关要求。</w:t>
      </w:r>
    </w:p>
    <w:p w14:paraId="3ADF55FE">
      <w:pPr>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不良事件、与临床风险相关的纠正措施数据可整机进行评价。其他数据，针对具体评价目的收集的数据，需按评价目的不同，分别进行分析。同品种数据仅需对于本次申报相关的部分进行收集，无关部分可注明。</w:t>
      </w:r>
    </w:p>
    <w:p w14:paraId="2961D067">
      <w:pPr>
        <w:spacing w:line="520" w:lineRule="exact"/>
        <w:ind w:firstLine="640" w:firstLineChars="200"/>
        <w:rPr>
          <w:rFonts w:eastAsia="仿宋_GB2312"/>
          <w:color w:val="000000" w:themeColor="text1"/>
          <w:sz w:val="32"/>
          <w:szCs w:val="32"/>
          <w14:textFill>
            <w14:solidFill>
              <w14:schemeClr w14:val="tx1"/>
            </w14:solidFill>
          </w14:textFill>
        </w:rPr>
      </w:pPr>
    </w:p>
    <w:p w14:paraId="2FFF2D80">
      <w:pPr>
        <w:spacing w:line="520" w:lineRule="exact"/>
        <w:ind w:firstLine="640" w:firstLineChars="200"/>
        <w:rPr>
          <w:rFonts w:eastAsia="仿宋_GB2312"/>
          <w:color w:val="000000" w:themeColor="text1"/>
          <w:sz w:val="32"/>
          <w:szCs w:val="32"/>
          <w14:textFill>
            <w14:solidFill>
              <w14:schemeClr w14:val="tx1"/>
            </w14:solidFill>
          </w14:textFill>
        </w:rPr>
      </w:pPr>
    </w:p>
    <w:p w14:paraId="3468D531">
      <w:pPr>
        <w:overflowPunct w:val="0"/>
        <w:spacing w:line="520" w:lineRule="exact"/>
        <w:jc w:val="left"/>
        <w:outlineLvl w:val="0"/>
        <w:rPr>
          <w:rFonts w:ascii="黑体" w:hAnsi="黑体" w:eastAsia="黑体"/>
          <w:color w:val="000000" w:themeColor="text1"/>
          <w:sz w:val="32"/>
          <w:szCs w:val="32"/>
          <w14:textFill>
            <w14:solidFill>
              <w14:schemeClr w14:val="tx1"/>
            </w14:solidFill>
          </w14:textFill>
        </w:rPr>
      </w:pPr>
      <w:bookmarkStart w:id="12" w:name="_Toc82094049"/>
      <w:r>
        <w:rPr>
          <w:rFonts w:hint="eastAsia" w:ascii="黑体" w:hAnsi="黑体" w:eastAsia="黑体"/>
          <w:color w:val="000000" w:themeColor="text1"/>
          <w:sz w:val="32"/>
          <w:szCs w:val="32"/>
          <w14:textFill>
            <w14:solidFill>
              <w14:schemeClr w14:val="tx1"/>
            </w14:solidFill>
          </w14:textFill>
        </w:rPr>
        <w:t>附录</w:t>
      </w:r>
      <w:bookmarkEnd w:id="12"/>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 xml:space="preserve">     </w:t>
      </w:r>
      <w:r>
        <w:rPr>
          <w:rFonts w:ascii="黑体" w:hAnsi="黑体" w:eastAsia="黑体"/>
          <w:color w:val="000000" w:themeColor="text1"/>
          <w:sz w:val="32"/>
          <w:szCs w:val="32"/>
          <w14:textFill>
            <w14:solidFill>
              <w14:schemeClr w14:val="tx1"/>
            </w14:solidFill>
          </w14:textFill>
        </w:rPr>
        <w:t xml:space="preserve"> </w:t>
      </w:r>
    </w:p>
    <w:p w14:paraId="303403C1">
      <w:pPr>
        <w:overflowPunct w:val="0"/>
        <w:spacing w:line="520" w:lineRule="exact"/>
        <w:jc w:val="center"/>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ascii="黑体" w:hAnsi="黑体" w:eastAsia="黑体"/>
          <w:color w:val="000000" w:themeColor="text1"/>
          <w:sz w:val="32"/>
          <w:szCs w:val="32"/>
          <w14:textFill>
            <w14:solidFill>
              <w14:schemeClr w14:val="tx1"/>
            </w14:solidFill>
          </w14:textFill>
        </w:rPr>
        <w:t xml:space="preserve"> </w:t>
      </w:r>
      <w:bookmarkStart w:id="13" w:name="_Toc82094050"/>
      <w:r>
        <w:rPr>
          <w:rFonts w:hint="eastAsia" w:ascii="黑体" w:hAnsi="黑体" w:eastAsia="黑体"/>
          <w:color w:val="000000" w:themeColor="text1"/>
          <w:sz w:val="32"/>
          <w:szCs w:val="32"/>
          <w14:textFill>
            <w14:solidFill>
              <w14:schemeClr w14:val="tx1"/>
            </w14:solidFill>
          </w14:textFill>
        </w:rPr>
        <w:t>申报产品与同品种产品在各通气模式下</w:t>
      </w:r>
      <w:bookmarkEnd w:id="13"/>
    </w:p>
    <w:p w14:paraId="04A45D62">
      <w:pPr>
        <w:spacing w:line="520" w:lineRule="exact"/>
        <w:jc w:val="center"/>
        <w:rPr>
          <w:rFonts w:ascii="黑体" w:hAnsi="黑体" w:eastAsia="黑体"/>
          <w:sz w:val="32"/>
          <w:szCs w:val="32"/>
        </w:rPr>
      </w:pP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实测波形对比要求及报告举例</w:t>
      </w:r>
    </w:p>
    <w:p w14:paraId="2E53B9A1">
      <w:pPr>
        <w:pStyle w:val="4"/>
        <w:spacing w:before="0" w:after="0" w:line="520" w:lineRule="exact"/>
        <w:ind w:firstLine="640" w:firstLineChars="200"/>
        <w:rPr>
          <w:rFonts w:ascii="Times New Roman" w:hAnsi="Times New Roman" w:eastAsia="楷体_GB2312" w:cs="Times New Roman"/>
          <w:b w:val="0"/>
          <w:color w:val="000000" w:themeColor="text1"/>
          <w14:textFill>
            <w14:solidFill>
              <w14:schemeClr w14:val="tx1"/>
            </w14:solidFill>
          </w14:textFill>
        </w:rPr>
      </w:pPr>
      <w:bookmarkStart w:id="14" w:name="_Toc82094051"/>
      <w:r>
        <w:rPr>
          <w:rFonts w:hint="eastAsia" w:ascii="Times New Roman" w:hAnsi="Times New Roman" w:eastAsia="楷体_GB2312" w:cs="Times New Roman"/>
          <w:b w:val="0"/>
          <w:color w:val="000000" w:themeColor="text1"/>
          <w14:textFill>
            <w14:solidFill>
              <w14:schemeClr w14:val="tx1"/>
            </w14:solidFill>
          </w14:textFill>
        </w:rPr>
        <w:t>（一）波形对比要求</w:t>
      </w:r>
      <w:bookmarkEnd w:id="14"/>
    </w:p>
    <w:p w14:paraId="307D64B3">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通气波形对于机械通气的治疗效果至关重要，建议申请人选择通气波形最为接近的产品进行对比，如相同的控制类型、通气类型和相似的波形参数，若波形存在较大差异，一般认为通过台架试验等方式证明安全有效性存在</w:t>
      </w:r>
      <w:r>
        <w:rPr>
          <w:rFonts w:eastAsia="仿宋_GB2312"/>
          <w:color w:val="000000" w:themeColor="text1"/>
          <w:sz w:val="32"/>
          <w:szCs w:val="32"/>
          <w14:textFill>
            <w14:solidFill>
              <w14:schemeClr w14:val="tx1"/>
            </w14:solidFill>
          </w14:textFill>
        </w:rPr>
        <w:t>较大难度</w:t>
      </w:r>
      <w:r>
        <w:rPr>
          <w:rFonts w:hint="eastAsia" w:eastAsia="仿宋_GB2312"/>
          <w:color w:val="000000" w:themeColor="text1"/>
          <w:sz w:val="32"/>
          <w:szCs w:val="32"/>
          <w14:textFill>
            <w14:solidFill>
              <w14:schemeClr w14:val="tx1"/>
            </w14:solidFill>
          </w14:textFill>
        </w:rPr>
        <w:t>。</w:t>
      </w:r>
    </w:p>
    <w:p w14:paraId="682C7FFD">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申报产品不同通气类型下的各通气模式原则上都需要分别进行实测波形的对比。若所测试通气模式波形的周期、外形相同，且拐点、幅值、斜率和PEEP值差异较小或差异通过科学证据证明安全有效性的，则可认为通气模式通气波形等同。包含高频振荡通气的</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除上述</w:t>
      </w:r>
      <w:r>
        <w:rPr>
          <w:rFonts w:eastAsia="仿宋_GB2312"/>
          <w:color w:val="000000" w:themeColor="text1"/>
          <w:sz w:val="32"/>
          <w:szCs w:val="32"/>
          <w14:textFill>
            <w14:solidFill>
              <w14:schemeClr w14:val="tx1"/>
            </w14:solidFill>
          </w14:textFill>
        </w:rPr>
        <w:t>对比项目</w:t>
      </w:r>
      <w:r>
        <w:rPr>
          <w:rFonts w:hint="eastAsia" w:eastAsia="仿宋_GB2312"/>
          <w:color w:val="000000" w:themeColor="text1"/>
          <w:sz w:val="32"/>
          <w:szCs w:val="32"/>
          <w14:textFill>
            <w14:solidFill>
              <w14:schemeClr w14:val="tx1"/>
            </w14:solidFill>
          </w14:textFill>
        </w:rPr>
        <w:t>外，</w:t>
      </w:r>
      <w:r>
        <w:rPr>
          <w:rFonts w:eastAsia="仿宋_GB2312"/>
          <w:color w:val="000000" w:themeColor="text1"/>
          <w:sz w:val="32"/>
          <w:szCs w:val="32"/>
          <w14:textFill>
            <w14:solidFill>
              <w14:schemeClr w14:val="tx1"/>
            </w14:solidFill>
          </w14:textFill>
        </w:rPr>
        <w:t>还需</w:t>
      </w:r>
      <w:r>
        <w:rPr>
          <w:rFonts w:hint="eastAsia" w:eastAsia="仿宋_GB2312"/>
          <w:color w:val="000000" w:themeColor="text1"/>
          <w:sz w:val="32"/>
          <w:szCs w:val="32"/>
          <w14:textFill>
            <w14:solidFill>
              <w14:schemeClr w14:val="tx1"/>
            </w14:solidFill>
          </w14:textFill>
        </w:rPr>
        <w:t>提供振荡峰值、频率，波形包络，吸气阶段潮气量、平均压力的对比；对于需要叠加常规通气模式的高频振荡通气，还需提供叠加后的上述参数对比。有充分证据说明峰值压力的安全性，以及通气量和生理效应等效性，则可认为通气模式通气波形基本等同。</w:t>
      </w:r>
    </w:p>
    <w:p w14:paraId="4F405DF9">
      <w:pPr>
        <w:pStyle w:val="4"/>
        <w:spacing w:before="0" w:after="0" w:line="520" w:lineRule="exact"/>
        <w:ind w:firstLine="640" w:firstLineChars="200"/>
        <w:rPr>
          <w:rFonts w:ascii="Times New Roman" w:hAnsi="Times New Roman" w:eastAsia="楷体_GB2312" w:cs="Times New Roman"/>
          <w:b w:val="0"/>
          <w:color w:val="000000" w:themeColor="text1"/>
          <w14:textFill>
            <w14:solidFill>
              <w14:schemeClr w14:val="tx1"/>
            </w14:solidFill>
          </w14:textFill>
        </w:rPr>
      </w:pPr>
      <w:bookmarkStart w:id="15" w:name="_Toc82094052"/>
      <w:r>
        <w:rPr>
          <w:rFonts w:hint="eastAsia" w:ascii="Times New Roman" w:hAnsi="Times New Roman" w:eastAsia="楷体_GB2312" w:cs="Times New Roman"/>
          <w:b w:val="0"/>
          <w:color w:val="000000" w:themeColor="text1"/>
          <w14:textFill>
            <w14:solidFill>
              <w14:schemeClr w14:val="tx1"/>
            </w14:solidFill>
          </w14:textFill>
        </w:rPr>
        <w:t>（二）测试总体要求</w:t>
      </w:r>
      <w:bookmarkEnd w:id="15"/>
    </w:p>
    <w:p w14:paraId="549078DE">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申请人在对比测试前，需制定测试方案，明确测试方法、测试的环境、设备情况（如气体分析设备的性能参数、模肺的基本状态等）、测试时间、人员、可接受原则和结果分析方法等信息。测试中有相关标准的需优先采用标准所规定的方法，无标准的需采用科学设计的测试方法。</w:t>
      </w:r>
    </w:p>
    <w:p w14:paraId="6646C8D2">
      <w:pPr>
        <w:pStyle w:val="4"/>
        <w:spacing w:before="0" w:after="0" w:line="520" w:lineRule="exact"/>
        <w:ind w:firstLine="640" w:firstLineChars="200"/>
        <w:rPr>
          <w:rFonts w:ascii="Times New Roman" w:hAnsi="Times New Roman" w:eastAsia="楷体_GB2312" w:cs="Times New Roman"/>
          <w:b w:val="0"/>
          <w:color w:val="000000" w:themeColor="text1"/>
          <w14:textFill>
            <w14:solidFill>
              <w14:schemeClr w14:val="tx1"/>
            </w14:solidFill>
          </w14:textFill>
        </w:rPr>
      </w:pPr>
      <w:bookmarkStart w:id="16" w:name="_Toc82094053"/>
      <w:r>
        <w:rPr>
          <w:rFonts w:hint="eastAsia" w:ascii="Times New Roman" w:hAnsi="Times New Roman" w:eastAsia="楷体_GB2312" w:cs="Times New Roman"/>
          <w:b w:val="0"/>
          <w:color w:val="000000" w:themeColor="text1"/>
          <w14:textFill>
            <w14:solidFill>
              <w14:schemeClr w14:val="tx1"/>
            </w14:solidFill>
          </w14:textFill>
        </w:rPr>
        <w:t>（三）测试方法考虑要素举例</w:t>
      </w:r>
      <w:bookmarkEnd w:id="16"/>
    </w:p>
    <w:p w14:paraId="72D0314E">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测试时需根据通气模式的特点选择临床上典型应用的潮气量/压力值等参数的典型值分别测量波形进行对比，典型值的选择应当充分论述选择依据，常规可考虑极大值/极小值或临床上针对不同人群常规使用的参数值等。如新生儿人群建议考虑提供潮气量/压力值等参数的极小值，临床常规使用值，其他人群考虑提供临床常规使用值。波形对比测试前明确不同典型参数下的波形参数差异接受限值，并给出合理性依据。</w:t>
      </w:r>
    </w:p>
    <w:p w14:paraId="309F257C">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对各通气波形进行实际测试对比时，需至少选择三个周期以上的稳定波形，选取各模式的波形上关键的参数（如周期、斜率、幅值、外形、拐点）进行对比。测试时需考虑测量可重复性和基线偏移、</w:t>
      </w:r>
      <w:r>
        <w:rPr>
          <w:rFonts w:eastAsia="仿宋_GB2312"/>
          <w:color w:val="000000" w:themeColor="text1"/>
          <w:sz w:val="32"/>
          <w:szCs w:val="32"/>
          <w14:textFill>
            <w14:solidFill>
              <w14:schemeClr w14:val="tx1"/>
            </w14:solidFill>
          </w14:textFill>
        </w:rPr>
        <w:t>零点漂移</w:t>
      </w:r>
      <w:r>
        <w:rPr>
          <w:rFonts w:hint="eastAsia" w:eastAsia="仿宋_GB2312"/>
          <w:color w:val="000000" w:themeColor="text1"/>
          <w:sz w:val="32"/>
          <w:szCs w:val="32"/>
          <w14:textFill>
            <w14:solidFill>
              <w14:schemeClr w14:val="tx1"/>
            </w14:solidFill>
          </w14:textFill>
        </w:rPr>
        <w:t>等问题，如可进行3~5次重复的</w:t>
      </w:r>
      <w:r>
        <w:rPr>
          <w:rFonts w:eastAsia="仿宋_GB2312"/>
          <w:color w:val="000000" w:themeColor="text1"/>
          <w:sz w:val="32"/>
          <w:szCs w:val="32"/>
          <w14:textFill>
            <w14:solidFill>
              <w14:schemeClr w14:val="tx1"/>
            </w14:solidFill>
          </w14:textFill>
        </w:rPr>
        <w:t>系统连接与</w:t>
      </w:r>
      <w:r>
        <w:rPr>
          <w:rFonts w:hint="eastAsia" w:eastAsia="仿宋_GB2312"/>
          <w:color w:val="000000" w:themeColor="text1"/>
          <w:sz w:val="32"/>
          <w:szCs w:val="32"/>
          <w14:textFill>
            <w14:solidFill>
              <w14:schemeClr w14:val="tx1"/>
            </w14:solidFill>
          </w14:textFill>
        </w:rPr>
        <w:t>测量取得均值，并分析重复测量的一致性。</w:t>
      </w:r>
    </w:p>
    <w:p w14:paraId="76D1DC0F">
      <w:pPr>
        <w:pStyle w:val="4"/>
        <w:spacing w:before="0" w:after="0" w:line="520" w:lineRule="exact"/>
        <w:ind w:firstLine="640" w:firstLineChars="200"/>
        <w:rPr>
          <w:rFonts w:ascii="Times New Roman" w:hAnsi="Times New Roman" w:eastAsia="楷体_GB2312" w:cs="Times New Roman"/>
          <w:b w:val="0"/>
          <w:color w:val="000000" w:themeColor="text1"/>
          <w14:textFill>
            <w14:solidFill>
              <w14:schemeClr w14:val="tx1"/>
            </w14:solidFill>
          </w14:textFill>
        </w:rPr>
      </w:pPr>
      <w:bookmarkStart w:id="17" w:name="_Toc82094054"/>
      <w:r>
        <w:rPr>
          <w:rFonts w:hint="eastAsia" w:ascii="Times New Roman" w:hAnsi="Times New Roman" w:eastAsia="楷体_GB2312" w:cs="Times New Roman"/>
          <w:b w:val="0"/>
          <w:color w:val="000000" w:themeColor="text1"/>
          <w14:textFill>
            <w14:solidFill>
              <w14:schemeClr w14:val="tx1"/>
            </w14:solidFill>
          </w14:textFill>
        </w:rPr>
        <w:t>（四）波形对比测试报告举例</w:t>
      </w:r>
      <w:bookmarkEnd w:id="17"/>
    </w:p>
    <w:p w14:paraId="33F5ABE9">
      <w:pPr>
        <w:pStyle w:val="5"/>
        <w:spacing w:before="0" w:after="0" w:line="520" w:lineRule="exact"/>
        <w:ind w:firstLine="640" w:firstLineChars="200"/>
        <w:rPr>
          <w:rFonts w:ascii="仿宋_GB2312" w:eastAsia="仿宋_GB2312"/>
          <w:b w:val="0"/>
          <w:sz w:val="32"/>
          <w:szCs w:val="32"/>
        </w:rPr>
      </w:pPr>
      <w:r>
        <w:rPr>
          <w:rFonts w:hint="eastAsia" w:ascii="仿宋_GB2312" w:eastAsia="仿宋_GB2312"/>
          <w:b w:val="0"/>
          <w:sz w:val="32"/>
          <w:szCs w:val="32"/>
        </w:rPr>
        <w:t>1.测试条件</w:t>
      </w:r>
    </w:p>
    <w:p w14:paraId="72D0E667">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说明测试的时间、地点及实施人员等信息。</w:t>
      </w:r>
    </w:p>
    <w:p w14:paraId="334BD1B7">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测试方法</w:t>
      </w:r>
    </w:p>
    <w:p w14:paraId="5AA54A43">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需详述各通气模式波形对比测试的具体方法</w:t>
      </w:r>
    </w:p>
    <w:p w14:paraId="1EE1C902">
      <w:pPr>
        <w:pStyle w:val="5"/>
        <w:spacing w:before="0" w:after="0" w:line="520" w:lineRule="exact"/>
        <w:ind w:firstLine="640" w:firstLineChars="200"/>
        <w:rPr>
          <w:rFonts w:ascii="仿宋_GB2312" w:eastAsia="仿宋_GB2312"/>
          <w:b w:val="0"/>
          <w:sz w:val="32"/>
          <w:szCs w:val="32"/>
        </w:rPr>
      </w:pPr>
      <w:r>
        <w:rPr>
          <w:rFonts w:ascii="仿宋_GB2312" w:eastAsia="仿宋_GB2312"/>
          <w:b w:val="0"/>
          <w:sz w:val="32"/>
          <w:szCs w:val="32"/>
        </w:rPr>
        <w:t>3</w:t>
      </w:r>
      <w:r>
        <w:rPr>
          <w:rFonts w:hint="eastAsia" w:ascii="仿宋_GB2312" w:eastAsia="仿宋_GB2312"/>
          <w:b w:val="0"/>
          <w:sz w:val="32"/>
          <w:szCs w:val="32"/>
        </w:rPr>
        <w:t>.测试设备</w:t>
      </w:r>
    </w:p>
    <w:p w14:paraId="71A702A7">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需明确测试使用的测量设备信息（如型号、制造商、测量量程、精度、最后一次校准日期等），被测设备信息（申报产品和同品种产品的名称、型号、通气模式、运行状态等）。常规的测量设备一般包括气体流量分析仪、铁肺、秒表、声压计、密歇根肺等）。具体可参考表1和表2。</w:t>
      </w:r>
    </w:p>
    <w:p w14:paraId="0BBE00B9">
      <w:pPr>
        <w:overflowPunct w:val="0"/>
        <w:spacing w:line="520" w:lineRule="exact"/>
        <w:ind w:firstLine="640" w:firstLineChars="200"/>
        <w:rPr>
          <w:rFonts w:eastAsia="仿宋_GB2312"/>
          <w:color w:val="000000" w:themeColor="text1"/>
          <w:sz w:val="32"/>
          <w:szCs w:val="32"/>
          <w14:textFill>
            <w14:solidFill>
              <w14:schemeClr w14:val="tx1"/>
            </w14:solidFill>
          </w14:textFill>
        </w:rPr>
      </w:pPr>
    </w:p>
    <w:p w14:paraId="1F81FEBC">
      <w:pPr>
        <w:overflowPunct w:val="0"/>
        <w:spacing w:line="520" w:lineRule="exact"/>
        <w:ind w:firstLine="640" w:firstLineChars="200"/>
        <w:rPr>
          <w:rFonts w:eastAsia="仿宋_GB2312"/>
          <w:color w:val="000000" w:themeColor="text1"/>
          <w:sz w:val="32"/>
          <w:szCs w:val="32"/>
          <w14:textFill>
            <w14:solidFill>
              <w14:schemeClr w14:val="tx1"/>
            </w14:solidFill>
          </w14:textFill>
        </w:rPr>
      </w:pPr>
    </w:p>
    <w:p w14:paraId="79CC108A">
      <w:pPr>
        <w:overflowPunct w:val="0"/>
        <w:spacing w:line="520" w:lineRule="exact"/>
        <w:ind w:firstLine="640" w:firstLineChars="200"/>
        <w:rPr>
          <w:rFonts w:eastAsia="仿宋_GB2312"/>
          <w:color w:val="000000" w:themeColor="text1"/>
          <w:sz w:val="32"/>
          <w:szCs w:val="32"/>
          <w14:textFill>
            <w14:solidFill>
              <w14:schemeClr w14:val="tx1"/>
            </w14:solidFill>
          </w14:textFill>
        </w:rPr>
      </w:pPr>
    </w:p>
    <w:p w14:paraId="11BDB55B">
      <w:pPr>
        <w:overflowPunct w:val="0"/>
        <w:spacing w:line="560" w:lineRule="exact"/>
        <w:ind w:firstLine="560" w:firstLineChars="200"/>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表1 测量设备</w:t>
      </w:r>
    </w:p>
    <w:tbl>
      <w:tblPr>
        <w:tblStyle w:val="15"/>
        <w:tblW w:w="7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542"/>
        <w:gridCol w:w="1418"/>
        <w:gridCol w:w="992"/>
        <w:gridCol w:w="1365"/>
        <w:gridCol w:w="1346"/>
      </w:tblGrid>
      <w:tr w14:paraId="2BFD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779" w:type="dxa"/>
            <w:tcBorders>
              <w:top w:val="single" w:color="auto" w:sz="4" w:space="0"/>
              <w:left w:val="single" w:color="auto" w:sz="4" w:space="0"/>
              <w:bottom w:val="single" w:color="auto" w:sz="4" w:space="0"/>
              <w:right w:val="single" w:color="auto" w:sz="4" w:space="0"/>
            </w:tcBorders>
            <w:shd w:val="clear" w:color="auto" w:fill="D9D9D9"/>
          </w:tcPr>
          <w:p w14:paraId="11EE4CCA">
            <w:pPr>
              <w:autoSpaceDE w:val="0"/>
              <w:autoSpaceDN w:val="0"/>
              <w:adjustRightInd w:val="0"/>
              <w:jc w:val="center"/>
              <w:rPr>
                <w:rFonts w:ascii="仿宋_GB2312" w:eastAsia="仿宋_GB2312"/>
                <w:bCs/>
                <w:kern w:val="0"/>
                <w:sz w:val="28"/>
                <w:szCs w:val="28"/>
              </w:rPr>
            </w:pPr>
            <w:r>
              <w:rPr>
                <w:rFonts w:hint="eastAsia" w:ascii="仿宋_GB2312" w:eastAsia="仿宋_GB2312"/>
                <w:bCs/>
                <w:kern w:val="0"/>
                <w:sz w:val="28"/>
                <w:szCs w:val="28"/>
              </w:rPr>
              <w:t>序号</w:t>
            </w:r>
          </w:p>
        </w:tc>
        <w:tc>
          <w:tcPr>
            <w:tcW w:w="1542" w:type="dxa"/>
            <w:tcBorders>
              <w:top w:val="single" w:color="auto" w:sz="4" w:space="0"/>
              <w:left w:val="nil"/>
              <w:bottom w:val="single" w:color="auto" w:sz="4" w:space="0"/>
              <w:right w:val="single" w:color="auto" w:sz="4" w:space="0"/>
            </w:tcBorders>
            <w:shd w:val="clear" w:color="auto" w:fill="D9D9D9"/>
          </w:tcPr>
          <w:p w14:paraId="7E049D66">
            <w:pPr>
              <w:autoSpaceDE w:val="0"/>
              <w:autoSpaceDN w:val="0"/>
              <w:adjustRightInd w:val="0"/>
              <w:jc w:val="center"/>
              <w:rPr>
                <w:rFonts w:ascii="仿宋_GB2312" w:eastAsia="仿宋_GB2312"/>
                <w:bCs/>
                <w:kern w:val="0"/>
                <w:sz w:val="28"/>
                <w:szCs w:val="28"/>
              </w:rPr>
            </w:pPr>
            <w:r>
              <w:rPr>
                <w:rFonts w:hint="eastAsia" w:ascii="仿宋_GB2312" w:eastAsia="仿宋_GB2312"/>
                <w:bCs/>
                <w:kern w:val="0"/>
                <w:sz w:val="28"/>
                <w:szCs w:val="28"/>
              </w:rPr>
              <w:t>测量设备名称</w:t>
            </w:r>
          </w:p>
        </w:tc>
        <w:tc>
          <w:tcPr>
            <w:tcW w:w="1418" w:type="dxa"/>
            <w:tcBorders>
              <w:top w:val="single" w:color="auto" w:sz="4" w:space="0"/>
              <w:left w:val="nil"/>
              <w:bottom w:val="single" w:color="auto" w:sz="4" w:space="0"/>
              <w:right w:val="single" w:color="auto" w:sz="4" w:space="0"/>
            </w:tcBorders>
            <w:shd w:val="clear" w:color="auto" w:fill="D9D9D9"/>
          </w:tcPr>
          <w:p w14:paraId="12173EDB">
            <w:pPr>
              <w:autoSpaceDE w:val="0"/>
              <w:autoSpaceDN w:val="0"/>
              <w:adjustRightInd w:val="0"/>
              <w:jc w:val="center"/>
              <w:rPr>
                <w:rFonts w:ascii="仿宋_GB2312" w:eastAsia="仿宋_GB2312"/>
                <w:bCs/>
                <w:kern w:val="0"/>
                <w:sz w:val="28"/>
                <w:szCs w:val="28"/>
              </w:rPr>
            </w:pPr>
            <w:r>
              <w:rPr>
                <w:rFonts w:hint="eastAsia" w:ascii="仿宋_GB2312" w:eastAsia="仿宋_GB2312"/>
                <w:bCs/>
                <w:kern w:val="0"/>
                <w:sz w:val="28"/>
                <w:szCs w:val="28"/>
              </w:rPr>
              <w:t>制造商</w:t>
            </w:r>
          </w:p>
        </w:tc>
        <w:tc>
          <w:tcPr>
            <w:tcW w:w="992" w:type="dxa"/>
            <w:tcBorders>
              <w:top w:val="single" w:color="auto" w:sz="4" w:space="0"/>
              <w:left w:val="nil"/>
              <w:bottom w:val="single" w:color="auto" w:sz="4" w:space="0"/>
              <w:right w:val="single" w:color="auto" w:sz="4" w:space="0"/>
            </w:tcBorders>
            <w:shd w:val="clear" w:color="auto" w:fill="D9D9D9"/>
          </w:tcPr>
          <w:p w14:paraId="20D30125">
            <w:pPr>
              <w:autoSpaceDE w:val="0"/>
              <w:autoSpaceDN w:val="0"/>
              <w:adjustRightInd w:val="0"/>
              <w:jc w:val="center"/>
              <w:rPr>
                <w:rFonts w:ascii="仿宋_GB2312" w:eastAsia="仿宋_GB2312"/>
                <w:bCs/>
                <w:kern w:val="0"/>
                <w:sz w:val="28"/>
                <w:szCs w:val="28"/>
              </w:rPr>
            </w:pPr>
            <w:r>
              <w:rPr>
                <w:rFonts w:hint="eastAsia" w:ascii="仿宋_GB2312" w:eastAsia="仿宋_GB2312"/>
                <w:bCs/>
                <w:kern w:val="0"/>
                <w:sz w:val="28"/>
                <w:szCs w:val="28"/>
              </w:rPr>
              <w:t>型号</w:t>
            </w:r>
          </w:p>
        </w:tc>
        <w:tc>
          <w:tcPr>
            <w:tcW w:w="1365" w:type="dxa"/>
            <w:tcBorders>
              <w:top w:val="single" w:color="auto" w:sz="4" w:space="0"/>
              <w:left w:val="nil"/>
              <w:bottom w:val="single" w:color="auto" w:sz="4" w:space="0"/>
              <w:right w:val="single" w:color="auto" w:sz="4" w:space="0"/>
            </w:tcBorders>
            <w:shd w:val="clear" w:color="auto" w:fill="D9D9D9"/>
          </w:tcPr>
          <w:p w14:paraId="59DFBB03">
            <w:pPr>
              <w:autoSpaceDE w:val="0"/>
              <w:autoSpaceDN w:val="0"/>
              <w:adjustRightInd w:val="0"/>
              <w:jc w:val="center"/>
              <w:rPr>
                <w:rFonts w:ascii="仿宋_GB2312" w:eastAsia="仿宋_GB2312"/>
                <w:bCs/>
                <w:kern w:val="0"/>
                <w:sz w:val="28"/>
                <w:szCs w:val="28"/>
              </w:rPr>
            </w:pPr>
            <w:r>
              <w:rPr>
                <w:rFonts w:hint="eastAsia" w:ascii="仿宋_GB2312" w:eastAsia="仿宋_GB2312"/>
                <w:bCs/>
                <w:kern w:val="0"/>
                <w:sz w:val="28"/>
                <w:szCs w:val="28"/>
              </w:rPr>
              <w:t>序列号</w:t>
            </w:r>
          </w:p>
        </w:tc>
        <w:tc>
          <w:tcPr>
            <w:tcW w:w="1346" w:type="dxa"/>
            <w:tcBorders>
              <w:top w:val="single" w:color="auto" w:sz="4" w:space="0"/>
              <w:left w:val="nil"/>
              <w:bottom w:val="single" w:color="auto" w:sz="4" w:space="0"/>
              <w:right w:val="single" w:color="auto" w:sz="4" w:space="0"/>
            </w:tcBorders>
            <w:shd w:val="clear" w:color="auto" w:fill="D9D9D9"/>
          </w:tcPr>
          <w:p w14:paraId="7716425F">
            <w:pPr>
              <w:autoSpaceDE w:val="0"/>
              <w:autoSpaceDN w:val="0"/>
              <w:adjustRightInd w:val="0"/>
              <w:jc w:val="center"/>
              <w:rPr>
                <w:rFonts w:ascii="仿宋_GB2312" w:eastAsia="仿宋_GB2312"/>
                <w:bCs/>
                <w:kern w:val="0"/>
                <w:sz w:val="28"/>
                <w:szCs w:val="28"/>
              </w:rPr>
            </w:pPr>
            <w:r>
              <w:rPr>
                <w:rFonts w:hint="eastAsia" w:ascii="仿宋_GB2312" w:eastAsia="仿宋_GB2312"/>
                <w:bCs/>
                <w:kern w:val="0"/>
                <w:sz w:val="28"/>
                <w:szCs w:val="28"/>
              </w:rPr>
              <w:t>最后一次校准日期</w:t>
            </w:r>
          </w:p>
        </w:tc>
      </w:tr>
      <w:tr w14:paraId="6C8D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28C1E357">
            <w:pPr>
              <w:autoSpaceDE w:val="0"/>
              <w:autoSpaceDN w:val="0"/>
              <w:adjustRightInd w:val="0"/>
              <w:jc w:val="left"/>
              <w:rPr>
                <w:rFonts w:ascii="仿宋_GB2312" w:eastAsia="仿宋_GB2312"/>
                <w:kern w:val="0"/>
                <w:sz w:val="28"/>
                <w:szCs w:val="28"/>
              </w:rPr>
            </w:pPr>
            <w:r>
              <w:rPr>
                <w:rFonts w:hint="eastAsia" w:ascii="仿宋_GB2312" w:eastAsia="仿宋_GB2312"/>
                <w:kern w:val="0"/>
                <w:sz w:val="28"/>
                <w:szCs w:val="28"/>
              </w:rPr>
              <w:t>1</w:t>
            </w:r>
          </w:p>
        </w:tc>
        <w:tc>
          <w:tcPr>
            <w:tcW w:w="1542" w:type="dxa"/>
            <w:tcBorders>
              <w:top w:val="single" w:color="auto" w:sz="4" w:space="0"/>
              <w:left w:val="nil"/>
              <w:bottom w:val="single" w:color="auto" w:sz="4" w:space="0"/>
              <w:right w:val="single" w:color="auto" w:sz="4" w:space="0"/>
            </w:tcBorders>
            <w:vAlign w:val="center"/>
          </w:tcPr>
          <w:p w14:paraId="313B48B0">
            <w:pPr>
              <w:rPr>
                <w:rFonts w:ascii="仿宋_GB2312" w:eastAsia="仿宋_GB2312"/>
                <w:sz w:val="28"/>
                <w:szCs w:val="28"/>
              </w:rPr>
            </w:pPr>
          </w:p>
        </w:tc>
        <w:tc>
          <w:tcPr>
            <w:tcW w:w="1418" w:type="dxa"/>
            <w:tcBorders>
              <w:top w:val="single" w:color="auto" w:sz="4" w:space="0"/>
              <w:left w:val="nil"/>
              <w:bottom w:val="single" w:color="auto" w:sz="4" w:space="0"/>
              <w:right w:val="single" w:color="auto" w:sz="4" w:space="0"/>
            </w:tcBorders>
            <w:vAlign w:val="center"/>
          </w:tcPr>
          <w:p w14:paraId="4A6057BC">
            <w:pPr>
              <w:autoSpaceDE w:val="0"/>
              <w:autoSpaceDN w:val="0"/>
              <w:adjustRightInd w:val="0"/>
              <w:jc w:val="center"/>
              <w:rPr>
                <w:rFonts w:ascii="仿宋_GB2312" w:eastAsia="仿宋_GB2312"/>
                <w:kern w:val="0"/>
                <w:sz w:val="28"/>
                <w:szCs w:val="28"/>
              </w:rPr>
            </w:pPr>
          </w:p>
        </w:tc>
        <w:tc>
          <w:tcPr>
            <w:tcW w:w="992" w:type="dxa"/>
            <w:tcBorders>
              <w:top w:val="single" w:color="auto" w:sz="4" w:space="0"/>
              <w:left w:val="nil"/>
              <w:bottom w:val="single" w:color="auto" w:sz="4" w:space="0"/>
              <w:right w:val="single" w:color="auto" w:sz="4" w:space="0"/>
            </w:tcBorders>
            <w:vAlign w:val="center"/>
          </w:tcPr>
          <w:p w14:paraId="6D12B24B">
            <w:pPr>
              <w:autoSpaceDE w:val="0"/>
              <w:autoSpaceDN w:val="0"/>
              <w:adjustRightInd w:val="0"/>
              <w:jc w:val="left"/>
              <w:rPr>
                <w:rFonts w:ascii="仿宋_GB2312" w:eastAsia="仿宋_GB2312"/>
                <w:kern w:val="0"/>
                <w:sz w:val="28"/>
                <w:szCs w:val="28"/>
              </w:rPr>
            </w:pPr>
          </w:p>
        </w:tc>
        <w:tc>
          <w:tcPr>
            <w:tcW w:w="1365" w:type="dxa"/>
            <w:tcBorders>
              <w:top w:val="single" w:color="auto" w:sz="4" w:space="0"/>
              <w:left w:val="nil"/>
              <w:bottom w:val="single" w:color="auto" w:sz="4" w:space="0"/>
              <w:right w:val="single" w:color="auto" w:sz="4" w:space="0"/>
            </w:tcBorders>
            <w:vAlign w:val="center"/>
          </w:tcPr>
          <w:p w14:paraId="014ECFC6">
            <w:pPr>
              <w:autoSpaceDE w:val="0"/>
              <w:autoSpaceDN w:val="0"/>
              <w:adjustRightInd w:val="0"/>
              <w:ind w:firstLine="560" w:firstLineChars="200"/>
              <w:jc w:val="center"/>
              <w:rPr>
                <w:rFonts w:ascii="仿宋_GB2312" w:eastAsia="仿宋_GB2312"/>
                <w:kern w:val="0"/>
                <w:sz w:val="28"/>
                <w:szCs w:val="28"/>
              </w:rPr>
            </w:pPr>
          </w:p>
        </w:tc>
        <w:tc>
          <w:tcPr>
            <w:tcW w:w="1346" w:type="dxa"/>
            <w:tcBorders>
              <w:top w:val="single" w:color="auto" w:sz="4" w:space="0"/>
              <w:left w:val="nil"/>
              <w:bottom w:val="single" w:color="auto" w:sz="4" w:space="0"/>
              <w:right w:val="single" w:color="auto" w:sz="4" w:space="0"/>
            </w:tcBorders>
            <w:vAlign w:val="center"/>
          </w:tcPr>
          <w:p w14:paraId="4785A164">
            <w:pPr>
              <w:autoSpaceDE w:val="0"/>
              <w:autoSpaceDN w:val="0"/>
              <w:adjustRightInd w:val="0"/>
              <w:ind w:firstLine="560" w:firstLineChars="200"/>
              <w:jc w:val="center"/>
              <w:rPr>
                <w:rFonts w:ascii="仿宋_GB2312" w:eastAsia="仿宋_GB2312"/>
                <w:kern w:val="0"/>
                <w:sz w:val="28"/>
                <w:szCs w:val="28"/>
              </w:rPr>
            </w:pPr>
          </w:p>
        </w:tc>
      </w:tr>
      <w:tr w14:paraId="32B5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05660E21">
            <w:pPr>
              <w:autoSpaceDE w:val="0"/>
              <w:autoSpaceDN w:val="0"/>
              <w:adjustRightInd w:val="0"/>
              <w:jc w:val="left"/>
              <w:rPr>
                <w:rFonts w:ascii="仿宋_GB2312" w:eastAsia="仿宋_GB2312"/>
                <w:kern w:val="0"/>
                <w:sz w:val="28"/>
                <w:szCs w:val="28"/>
              </w:rPr>
            </w:pPr>
            <w:r>
              <w:rPr>
                <w:rFonts w:hint="eastAsia" w:ascii="仿宋_GB2312" w:eastAsia="仿宋_GB2312"/>
                <w:kern w:val="0"/>
                <w:sz w:val="28"/>
                <w:szCs w:val="28"/>
              </w:rPr>
              <w:t>2</w:t>
            </w:r>
          </w:p>
        </w:tc>
        <w:tc>
          <w:tcPr>
            <w:tcW w:w="1542" w:type="dxa"/>
            <w:tcBorders>
              <w:top w:val="single" w:color="auto" w:sz="4" w:space="0"/>
              <w:left w:val="nil"/>
              <w:bottom w:val="single" w:color="auto" w:sz="4" w:space="0"/>
              <w:right w:val="single" w:color="auto" w:sz="4" w:space="0"/>
            </w:tcBorders>
            <w:vAlign w:val="center"/>
          </w:tcPr>
          <w:p w14:paraId="3738CC66">
            <w:pPr>
              <w:rPr>
                <w:rFonts w:ascii="仿宋_GB2312" w:eastAsia="仿宋_GB2312"/>
                <w:sz w:val="28"/>
                <w:szCs w:val="28"/>
              </w:rPr>
            </w:pPr>
          </w:p>
        </w:tc>
        <w:tc>
          <w:tcPr>
            <w:tcW w:w="1418" w:type="dxa"/>
            <w:tcBorders>
              <w:top w:val="single" w:color="auto" w:sz="4" w:space="0"/>
              <w:left w:val="nil"/>
              <w:bottom w:val="single" w:color="auto" w:sz="4" w:space="0"/>
              <w:right w:val="single" w:color="auto" w:sz="4" w:space="0"/>
            </w:tcBorders>
            <w:vAlign w:val="center"/>
          </w:tcPr>
          <w:p w14:paraId="190638AD">
            <w:pPr>
              <w:jc w:val="center"/>
              <w:rPr>
                <w:rFonts w:ascii="仿宋_GB2312" w:eastAsia="仿宋_GB2312"/>
                <w:sz w:val="28"/>
                <w:szCs w:val="28"/>
              </w:rPr>
            </w:pPr>
          </w:p>
        </w:tc>
        <w:tc>
          <w:tcPr>
            <w:tcW w:w="992" w:type="dxa"/>
            <w:tcBorders>
              <w:top w:val="single" w:color="auto" w:sz="4" w:space="0"/>
              <w:left w:val="nil"/>
              <w:bottom w:val="single" w:color="auto" w:sz="4" w:space="0"/>
              <w:right w:val="single" w:color="auto" w:sz="4" w:space="0"/>
            </w:tcBorders>
            <w:vAlign w:val="center"/>
          </w:tcPr>
          <w:p w14:paraId="1EB9139A">
            <w:pPr>
              <w:autoSpaceDE w:val="0"/>
              <w:autoSpaceDN w:val="0"/>
              <w:adjustRightInd w:val="0"/>
              <w:jc w:val="left"/>
              <w:rPr>
                <w:rFonts w:ascii="仿宋_GB2312" w:eastAsia="仿宋_GB2312"/>
                <w:kern w:val="0"/>
                <w:sz w:val="28"/>
                <w:szCs w:val="28"/>
              </w:rPr>
            </w:pPr>
          </w:p>
        </w:tc>
        <w:tc>
          <w:tcPr>
            <w:tcW w:w="1365" w:type="dxa"/>
            <w:tcBorders>
              <w:top w:val="single" w:color="auto" w:sz="4" w:space="0"/>
              <w:left w:val="nil"/>
              <w:bottom w:val="single" w:color="auto" w:sz="4" w:space="0"/>
              <w:right w:val="single" w:color="auto" w:sz="4" w:space="0"/>
            </w:tcBorders>
            <w:vAlign w:val="center"/>
          </w:tcPr>
          <w:p w14:paraId="3D31AAC0">
            <w:pPr>
              <w:autoSpaceDE w:val="0"/>
              <w:autoSpaceDN w:val="0"/>
              <w:adjustRightInd w:val="0"/>
              <w:ind w:firstLine="560" w:firstLineChars="200"/>
              <w:jc w:val="center"/>
              <w:rPr>
                <w:rFonts w:ascii="仿宋_GB2312" w:eastAsia="仿宋_GB2312"/>
                <w:kern w:val="0"/>
                <w:sz w:val="28"/>
                <w:szCs w:val="28"/>
              </w:rPr>
            </w:pPr>
          </w:p>
        </w:tc>
        <w:tc>
          <w:tcPr>
            <w:tcW w:w="1346" w:type="dxa"/>
            <w:tcBorders>
              <w:top w:val="single" w:color="auto" w:sz="4" w:space="0"/>
              <w:left w:val="nil"/>
              <w:bottom w:val="single" w:color="auto" w:sz="4" w:space="0"/>
              <w:right w:val="single" w:color="auto" w:sz="4" w:space="0"/>
            </w:tcBorders>
            <w:vAlign w:val="center"/>
          </w:tcPr>
          <w:p w14:paraId="35705D3F">
            <w:pPr>
              <w:autoSpaceDE w:val="0"/>
              <w:autoSpaceDN w:val="0"/>
              <w:adjustRightInd w:val="0"/>
              <w:ind w:firstLine="560" w:firstLineChars="200"/>
              <w:jc w:val="center"/>
              <w:rPr>
                <w:rFonts w:ascii="仿宋_GB2312" w:eastAsia="仿宋_GB2312"/>
                <w:kern w:val="0"/>
                <w:sz w:val="28"/>
                <w:szCs w:val="28"/>
              </w:rPr>
            </w:pPr>
          </w:p>
        </w:tc>
      </w:tr>
      <w:tr w14:paraId="10CE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09D2A9C7">
            <w:pPr>
              <w:autoSpaceDE w:val="0"/>
              <w:autoSpaceDN w:val="0"/>
              <w:adjustRightInd w:val="0"/>
              <w:jc w:val="left"/>
              <w:rPr>
                <w:rFonts w:ascii="仿宋_GB2312" w:eastAsia="仿宋_GB2312"/>
                <w:kern w:val="0"/>
                <w:sz w:val="28"/>
                <w:szCs w:val="28"/>
              </w:rPr>
            </w:pPr>
            <w:r>
              <w:rPr>
                <w:rFonts w:hint="eastAsia" w:ascii="仿宋_GB2312" w:eastAsia="仿宋_GB2312"/>
                <w:kern w:val="0"/>
                <w:sz w:val="28"/>
                <w:szCs w:val="28"/>
              </w:rPr>
              <w:t>3</w:t>
            </w:r>
          </w:p>
        </w:tc>
        <w:tc>
          <w:tcPr>
            <w:tcW w:w="1542" w:type="dxa"/>
            <w:tcBorders>
              <w:top w:val="single" w:color="auto" w:sz="4" w:space="0"/>
              <w:left w:val="nil"/>
              <w:bottom w:val="single" w:color="auto" w:sz="4" w:space="0"/>
              <w:right w:val="single" w:color="auto" w:sz="4" w:space="0"/>
            </w:tcBorders>
            <w:vAlign w:val="center"/>
          </w:tcPr>
          <w:p w14:paraId="71C7EFC9">
            <w:pPr>
              <w:rPr>
                <w:rFonts w:ascii="仿宋_GB2312" w:eastAsia="仿宋_GB2312"/>
                <w:sz w:val="28"/>
                <w:szCs w:val="28"/>
              </w:rPr>
            </w:pPr>
          </w:p>
        </w:tc>
        <w:tc>
          <w:tcPr>
            <w:tcW w:w="1418" w:type="dxa"/>
            <w:tcBorders>
              <w:top w:val="single" w:color="auto" w:sz="4" w:space="0"/>
              <w:left w:val="nil"/>
              <w:bottom w:val="single" w:color="auto" w:sz="4" w:space="0"/>
              <w:right w:val="single" w:color="auto" w:sz="4" w:space="0"/>
            </w:tcBorders>
            <w:vAlign w:val="center"/>
          </w:tcPr>
          <w:p w14:paraId="1E46F093">
            <w:pPr>
              <w:autoSpaceDE w:val="0"/>
              <w:autoSpaceDN w:val="0"/>
              <w:adjustRightInd w:val="0"/>
              <w:jc w:val="center"/>
              <w:rPr>
                <w:rFonts w:ascii="仿宋_GB2312" w:eastAsia="仿宋_GB2312"/>
                <w:kern w:val="0"/>
                <w:sz w:val="28"/>
                <w:szCs w:val="28"/>
              </w:rPr>
            </w:pPr>
          </w:p>
        </w:tc>
        <w:tc>
          <w:tcPr>
            <w:tcW w:w="992" w:type="dxa"/>
            <w:tcBorders>
              <w:top w:val="single" w:color="auto" w:sz="4" w:space="0"/>
              <w:left w:val="nil"/>
              <w:bottom w:val="single" w:color="auto" w:sz="4" w:space="0"/>
              <w:right w:val="single" w:color="auto" w:sz="4" w:space="0"/>
            </w:tcBorders>
            <w:vAlign w:val="center"/>
          </w:tcPr>
          <w:p w14:paraId="2288094D">
            <w:pPr>
              <w:autoSpaceDE w:val="0"/>
              <w:autoSpaceDN w:val="0"/>
              <w:adjustRightInd w:val="0"/>
              <w:jc w:val="left"/>
              <w:rPr>
                <w:rFonts w:ascii="仿宋_GB2312" w:eastAsia="仿宋_GB2312"/>
                <w:kern w:val="0"/>
                <w:sz w:val="28"/>
                <w:szCs w:val="28"/>
              </w:rPr>
            </w:pPr>
          </w:p>
        </w:tc>
        <w:tc>
          <w:tcPr>
            <w:tcW w:w="1365" w:type="dxa"/>
            <w:tcBorders>
              <w:top w:val="single" w:color="auto" w:sz="4" w:space="0"/>
              <w:left w:val="nil"/>
              <w:bottom w:val="single" w:color="auto" w:sz="4" w:space="0"/>
              <w:right w:val="single" w:color="auto" w:sz="4" w:space="0"/>
            </w:tcBorders>
            <w:vAlign w:val="center"/>
          </w:tcPr>
          <w:p w14:paraId="57D996E7">
            <w:pPr>
              <w:autoSpaceDE w:val="0"/>
              <w:autoSpaceDN w:val="0"/>
              <w:adjustRightInd w:val="0"/>
              <w:ind w:firstLine="560" w:firstLineChars="200"/>
              <w:jc w:val="center"/>
              <w:rPr>
                <w:rFonts w:ascii="仿宋_GB2312" w:eastAsia="仿宋_GB2312"/>
                <w:kern w:val="0"/>
                <w:sz w:val="28"/>
                <w:szCs w:val="28"/>
              </w:rPr>
            </w:pPr>
          </w:p>
        </w:tc>
        <w:tc>
          <w:tcPr>
            <w:tcW w:w="1346" w:type="dxa"/>
            <w:tcBorders>
              <w:top w:val="single" w:color="auto" w:sz="4" w:space="0"/>
              <w:left w:val="nil"/>
              <w:bottom w:val="single" w:color="auto" w:sz="4" w:space="0"/>
              <w:right w:val="single" w:color="auto" w:sz="4" w:space="0"/>
            </w:tcBorders>
            <w:vAlign w:val="center"/>
          </w:tcPr>
          <w:p w14:paraId="517F0424">
            <w:pPr>
              <w:autoSpaceDE w:val="0"/>
              <w:autoSpaceDN w:val="0"/>
              <w:adjustRightInd w:val="0"/>
              <w:ind w:firstLine="560" w:firstLineChars="200"/>
              <w:jc w:val="center"/>
              <w:rPr>
                <w:rFonts w:ascii="仿宋_GB2312" w:eastAsia="仿宋_GB2312"/>
                <w:kern w:val="0"/>
                <w:sz w:val="28"/>
                <w:szCs w:val="28"/>
              </w:rPr>
            </w:pPr>
          </w:p>
        </w:tc>
      </w:tr>
      <w:tr w14:paraId="025D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68812733">
            <w:pPr>
              <w:autoSpaceDE w:val="0"/>
              <w:autoSpaceDN w:val="0"/>
              <w:adjustRightInd w:val="0"/>
              <w:jc w:val="left"/>
              <w:rPr>
                <w:rFonts w:ascii="仿宋_GB2312" w:eastAsia="仿宋_GB2312"/>
                <w:kern w:val="0"/>
                <w:sz w:val="28"/>
                <w:szCs w:val="28"/>
              </w:rPr>
            </w:pPr>
            <w:r>
              <w:rPr>
                <w:rFonts w:hint="eastAsia" w:ascii="仿宋_GB2312" w:eastAsia="仿宋_GB2312"/>
                <w:kern w:val="0"/>
                <w:sz w:val="28"/>
                <w:szCs w:val="28"/>
              </w:rPr>
              <w:t>4</w:t>
            </w:r>
          </w:p>
        </w:tc>
        <w:tc>
          <w:tcPr>
            <w:tcW w:w="1542" w:type="dxa"/>
            <w:tcBorders>
              <w:top w:val="single" w:color="auto" w:sz="4" w:space="0"/>
              <w:left w:val="nil"/>
              <w:bottom w:val="single" w:color="auto" w:sz="4" w:space="0"/>
              <w:right w:val="single" w:color="auto" w:sz="4" w:space="0"/>
            </w:tcBorders>
            <w:vAlign w:val="center"/>
          </w:tcPr>
          <w:p w14:paraId="3DC9BF52">
            <w:pPr>
              <w:rPr>
                <w:rFonts w:ascii="仿宋_GB2312" w:eastAsia="仿宋_GB2312"/>
                <w:sz w:val="28"/>
                <w:szCs w:val="28"/>
              </w:rPr>
            </w:pPr>
          </w:p>
        </w:tc>
        <w:tc>
          <w:tcPr>
            <w:tcW w:w="1418" w:type="dxa"/>
            <w:tcBorders>
              <w:top w:val="single" w:color="auto" w:sz="4" w:space="0"/>
              <w:left w:val="nil"/>
              <w:bottom w:val="single" w:color="auto" w:sz="4" w:space="0"/>
              <w:right w:val="single" w:color="auto" w:sz="4" w:space="0"/>
            </w:tcBorders>
            <w:vAlign w:val="center"/>
          </w:tcPr>
          <w:p w14:paraId="7FBD86ED">
            <w:pPr>
              <w:autoSpaceDE w:val="0"/>
              <w:autoSpaceDN w:val="0"/>
              <w:adjustRightInd w:val="0"/>
              <w:jc w:val="center"/>
              <w:rPr>
                <w:rFonts w:ascii="仿宋_GB2312" w:eastAsia="仿宋_GB2312"/>
                <w:kern w:val="0"/>
                <w:sz w:val="28"/>
                <w:szCs w:val="28"/>
              </w:rPr>
            </w:pPr>
          </w:p>
        </w:tc>
        <w:tc>
          <w:tcPr>
            <w:tcW w:w="992" w:type="dxa"/>
            <w:tcBorders>
              <w:top w:val="single" w:color="auto" w:sz="4" w:space="0"/>
              <w:left w:val="nil"/>
              <w:bottom w:val="single" w:color="auto" w:sz="4" w:space="0"/>
              <w:right w:val="single" w:color="auto" w:sz="4" w:space="0"/>
            </w:tcBorders>
            <w:vAlign w:val="center"/>
          </w:tcPr>
          <w:p w14:paraId="24EE1FA5">
            <w:pPr>
              <w:autoSpaceDE w:val="0"/>
              <w:autoSpaceDN w:val="0"/>
              <w:adjustRightInd w:val="0"/>
              <w:jc w:val="left"/>
              <w:rPr>
                <w:rFonts w:ascii="仿宋_GB2312" w:eastAsia="仿宋_GB2312"/>
                <w:kern w:val="0"/>
                <w:sz w:val="28"/>
                <w:szCs w:val="28"/>
              </w:rPr>
            </w:pPr>
          </w:p>
        </w:tc>
        <w:tc>
          <w:tcPr>
            <w:tcW w:w="1365" w:type="dxa"/>
            <w:tcBorders>
              <w:top w:val="single" w:color="auto" w:sz="4" w:space="0"/>
              <w:left w:val="nil"/>
              <w:bottom w:val="single" w:color="auto" w:sz="4" w:space="0"/>
              <w:right w:val="single" w:color="auto" w:sz="4" w:space="0"/>
            </w:tcBorders>
            <w:vAlign w:val="center"/>
          </w:tcPr>
          <w:p w14:paraId="5E40C5D8">
            <w:pPr>
              <w:autoSpaceDE w:val="0"/>
              <w:autoSpaceDN w:val="0"/>
              <w:adjustRightInd w:val="0"/>
              <w:ind w:firstLine="560" w:firstLineChars="200"/>
              <w:jc w:val="center"/>
              <w:rPr>
                <w:rFonts w:ascii="仿宋_GB2312" w:eastAsia="仿宋_GB2312"/>
                <w:kern w:val="0"/>
                <w:sz w:val="28"/>
                <w:szCs w:val="28"/>
              </w:rPr>
            </w:pPr>
          </w:p>
        </w:tc>
        <w:tc>
          <w:tcPr>
            <w:tcW w:w="1346" w:type="dxa"/>
            <w:tcBorders>
              <w:top w:val="single" w:color="auto" w:sz="4" w:space="0"/>
              <w:left w:val="nil"/>
              <w:bottom w:val="single" w:color="auto" w:sz="4" w:space="0"/>
              <w:right w:val="single" w:color="auto" w:sz="4" w:space="0"/>
            </w:tcBorders>
            <w:vAlign w:val="center"/>
          </w:tcPr>
          <w:p w14:paraId="75F2E58E">
            <w:pPr>
              <w:autoSpaceDE w:val="0"/>
              <w:autoSpaceDN w:val="0"/>
              <w:adjustRightInd w:val="0"/>
              <w:ind w:firstLine="560" w:firstLineChars="200"/>
              <w:jc w:val="center"/>
              <w:rPr>
                <w:rFonts w:ascii="仿宋_GB2312" w:eastAsia="仿宋_GB2312"/>
                <w:kern w:val="0"/>
                <w:sz w:val="28"/>
                <w:szCs w:val="28"/>
              </w:rPr>
            </w:pPr>
          </w:p>
        </w:tc>
      </w:tr>
      <w:tr w14:paraId="51D2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52B6DFC1">
            <w:pPr>
              <w:autoSpaceDE w:val="0"/>
              <w:autoSpaceDN w:val="0"/>
              <w:adjustRightInd w:val="0"/>
              <w:jc w:val="left"/>
              <w:rPr>
                <w:rFonts w:ascii="仿宋_GB2312" w:eastAsia="仿宋_GB2312"/>
                <w:kern w:val="0"/>
                <w:sz w:val="28"/>
                <w:szCs w:val="28"/>
              </w:rPr>
            </w:pPr>
            <w:r>
              <w:rPr>
                <w:rFonts w:hint="eastAsia" w:ascii="仿宋_GB2312" w:eastAsia="仿宋_GB2312"/>
                <w:kern w:val="0"/>
                <w:sz w:val="28"/>
                <w:szCs w:val="28"/>
              </w:rPr>
              <w:t>5</w:t>
            </w:r>
          </w:p>
        </w:tc>
        <w:tc>
          <w:tcPr>
            <w:tcW w:w="1542" w:type="dxa"/>
            <w:tcBorders>
              <w:top w:val="single" w:color="auto" w:sz="4" w:space="0"/>
              <w:left w:val="nil"/>
              <w:bottom w:val="single" w:color="auto" w:sz="4" w:space="0"/>
              <w:right w:val="single" w:color="auto" w:sz="4" w:space="0"/>
            </w:tcBorders>
            <w:vAlign w:val="center"/>
          </w:tcPr>
          <w:p w14:paraId="4CB2DE75">
            <w:pPr>
              <w:rPr>
                <w:rFonts w:ascii="仿宋_GB2312" w:eastAsia="仿宋_GB2312"/>
                <w:sz w:val="28"/>
                <w:szCs w:val="28"/>
              </w:rPr>
            </w:pPr>
          </w:p>
        </w:tc>
        <w:tc>
          <w:tcPr>
            <w:tcW w:w="1418" w:type="dxa"/>
            <w:tcBorders>
              <w:top w:val="single" w:color="auto" w:sz="4" w:space="0"/>
              <w:left w:val="nil"/>
              <w:bottom w:val="single" w:color="auto" w:sz="4" w:space="0"/>
              <w:right w:val="single" w:color="auto" w:sz="4" w:space="0"/>
            </w:tcBorders>
            <w:vAlign w:val="center"/>
          </w:tcPr>
          <w:p w14:paraId="050D1C34">
            <w:pPr>
              <w:autoSpaceDE w:val="0"/>
              <w:autoSpaceDN w:val="0"/>
              <w:adjustRightInd w:val="0"/>
              <w:jc w:val="center"/>
              <w:rPr>
                <w:rFonts w:ascii="仿宋_GB2312" w:eastAsia="仿宋_GB2312"/>
                <w:kern w:val="0"/>
                <w:sz w:val="28"/>
                <w:szCs w:val="28"/>
              </w:rPr>
            </w:pPr>
          </w:p>
        </w:tc>
        <w:tc>
          <w:tcPr>
            <w:tcW w:w="992" w:type="dxa"/>
            <w:tcBorders>
              <w:top w:val="single" w:color="auto" w:sz="4" w:space="0"/>
              <w:left w:val="nil"/>
              <w:bottom w:val="single" w:color="auto" w:sz="4" w:space="0"/>
              <w:right w:val="single" w:color="auto" w:sz="4" w:space="0"/>
            </w:tcBorders>
            <w:vAlign w:val="center"/>
          </w:tcPr>
          <w:p w14:paraId="62FFA75E">
            <w:pPr>
              <w:autoSpaceDE w:val="0"/>
              <w:autoSpaceDN w:val="0"/>
              <w:adjustRightInd w:val="0"/>
              <w:jc w:val="left"/>
              <w:rPr>
                <w:rFonts w:ascii="仿宋_GB2312" w:eastAsia="仿宋_GB2312"/>
                <w:kern w:val="0"/>
                <w:sz w:val="28"/>
                <w:szCs w:val="28"/>
              </w:rPr>
            </w:pPr>
          </w:p>
        </w:tc>
        <w:tc>
          <w:tcPr>
            <w:tcW w:w="1365" w:type="dxa"/>
            <w:tcBorders>
              <w:top w:val="single" w:color="auto" w:sz="4" w:space="0"/>
              <w:left w:val="nil"/>
              <w:bottom w:val="single" w:color="auto" w:sz="4" w:space="0"/>
              <w:right w:val="single" w:color="auto" w:sz="4" w:space="0"/>
            </w:tcBorders>
            <w:vAlign w:val="center"/>
          </w:tcPr>
          <w:p w14:paraId="04C4AEFF">
            <w:pPr>
              <w:autoSpaceDE w:val="0"/>
              <w:autoSpaceDN w:val="0"/>
              <w:adjustRightInd w:val="0"/>
              <w:ind w:firstLine="560" w:firstLineChars="200"/>
              <w:jc w:val="center"/>
              <w:rPr>
                <w:rFonts w:ascii="仿宋_GB2312" w:eastAsia="仿宋_GB2312"/>
                <w:kern w:val="0"/>
                <w:sz w:val="28"/>
                <w:szCs w:val="28"/>
              </w:rPr>
            </w:pPr>
          </w:p>
        </w:tc>
        <w:tc>
          <w:tcPr>
            <w:tcW w:w="1346" w:type="dxa"/>
            <w:tcBorders>
              <w:top w:val="single" w:color="auto" w:sz="4" w:space="0"/>
              <w:left w:val="nil"/>
              <w:bottom w:val="single" w:color="auto" w:sz="4" w:space="0"/>
              <w:right w:val="single" w:color="auto" w:sz="4" w:space="0"/>
            </w:tcBorders>
            <w:vAlign w:val="center"/>
          </w:tcPr>
          <w:p w14:paraId="087A2B0E">
            <w:pPr>
              <w:autoSpaceDE w:val="0"/>
              <w:autoSpaceDN w:val="0"/>
              <w:adjustRightInd w:val="0"/>
              <w:ind w:firstLine="560" w:firstLineChars="200"/>
              <w:jc w:val="center"/>
              <w:rPr>
                <w:rFonts w:ascii="仿宋_GB2312" w:eastAsia="仿宋_GB2312"/>
                <w:kern w:val="0"/>
                <w:sz w:val="28"/>
                <w:szCs w:val="28"/>
              </w:rPr>
            </w:pPr>
          </w:p>
        </w:tc>
      </w:tr>
      <w:tr w14:paraId="6001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123890AF">
            <w:pPr>
              <w:autoSpaceDE w:val="0"/>
              <w:autoSpaceDN w:val="0"/>
              <w:adjustRightInd w:val="0"/>
              <w:jc w:val="left"/>
              <w:rPr>
                <w:rFonts w:ascii="仿宋_GB2312" w:eastAsia="仿宋_GB2312"/>
                <w:kern w:val="0"/>
                <w:sz w:val="28"/>
                <w:szCs w:val="28"/>
              </w:rPr>
            </w:pPr>
            <w:r>
              <w:rPr>
                <w:rFonts w:hint="eastAsia" w:ascii="仿宋_GB2312" w:eastAsia="仿宋_GB2312"/>
                <w:kern w:val="0"/>
                <w:sz w:val="28"/>
                <w:szCs w:val="28"/>
              </w:rPr>
              <w:t>6</w:t>
            </w:r>
          </w:p>
        </w:tc>
        <w:tc>
          <w:tcPr>
            <w:tcW w:w="1542" w:type="dxa"/>
            <w:tcBorders>
              <w:top w:val="single" w:color="auto" w:sz="4" w:space="0"/>
              <w:left w:val="nil"/>
              <w:bottom w:val="single" w:color="auto" w:sz="4" w:space="0"/>
              <w:right w:val="single" w:color="auto" w:sz="4" w:space="0"/>
            </w:tcBorders>
            <w:vAlign w:val="center"/>
          </w:tcPr>
          <w:p w14:paraId="1F1341C6">
            <w:pPr>
              <w:rPr>
                <w:rFonts w:ascii="仿宋_GB2312" w:eastAsia="仿宋_GB2312"/>
                <w:sz w:val="28"/>
                <w:szCs w:val="28"/>
              </w:rPr>
            </w:pPr>
          </w:p>
        </w:tc>
        <w:tc>
          <w:tcPr>
            <w:tcW w:w="1418" w:type="dxa"/>
            <w:tcBorders>
              <w:top w:val="single" w:color="auto" w:sz="4" w:space="0"/>
              <w:left w:val="nil"/>
              <w:bottom w:val="single" w:color="auto" w:sz="4" w:space="0"/>
              <w:right w:val="single" w:color="auto" w:sz="4" w:space="0"/>
            </w:tcBorders>
            <w:vAlign w:val="center"/>
          </w:tcPr>
          <w:p w14:paraId="40CF053F">
            <w:pPr>
              <w:autoSpaceDE w:val="0"/>
              <w:autoSpaceDN w:val="0"/>
              <w:adjustRightInd w:val="0"/>
              <w:jc w:val="center"/>
              <w:rPr>
                <w:rFonts w:ascii="仿宋_GB2312" w:eastAsia="仿宋_GB2312"/>
                <w:kern w:val="0"/>
                <w:sz w:val="28"/>
                <w:szCs w:val="28"/>
              </w:rPr>
            </w:pPr>
          </w:p>
        </w:tc>
        <w:tc>
          <w:tcPr>
            <w:tcW w:w="992" w:type="dxa"/>
            <w:tcBorders>
              <w:top w:val="single" w:color="auto" w:sz="4" w:space="0"/>
              <w:left w:val="nil"/>
              <w:bottom w:val="single" w:color="auto" w:sz="4" w:space="0"/>
              <w:right w:val="single" w:color="auto" w:sz="4" w:space="0"/>
            </w:tcBorders>
            <w:vAlign w:val="center"/>
          </w:tcPr>
          <w:p w14:paraId="61092431">
            <w:pPr>
              <w:autoSpaceDE w:val="0"/>
              <w:autoSpaceDN w:val="0"/>
              <w:adjustRightInd w:val="0"/>
              <w:jc w:val="left"/>
              <w:rPr>
                <w:rFonts w:ascii="仿宋_GB2312" w:eastAsia="仿宋_GB2312"/>
                <w:kern w:val="0"/>
                <w:sz w:val="28"/>
                <w:szCs w:val="28"/>
              </w:rPr>
            </w:pPr>
          </w:p>
        </w:tc>
        <w:tc>
          <w:tcPr>
            <w:tcW w:w="1365" w:type="dxa"/>
            <w:tcBorders>
              <w:top w:val="single" w:color="auto" w:sz="4" w:space="0"/>
              <w:left w:val="nil"/>
              <w:bottom w:val="single" w:color="auto" w:sz="4" w:space="0"/>
              <w:right w:val="single" w:color="auto" w:sz="4" w:space="0"/>
            </w:tcBorders>
            <w:vAlign w:val="center"/>
          </w:tcPr>
          <w:p w14:paraId="36BE51A1">
            <w:pPr>
              <w:autoSpaceDE w:val="0"/>
              <w:autoSpaceDN w:val="0"/>
              <w:adjustRightInd w:val="0"/>
              <w:ind w:firstLine="560" w:firstLineChars="200"/>
              <w:jc w:val="center"/>
              <w:rPr>
                <w:rFonts w:ascii="仿宋_GB2312" w:eastAsia="仿宋_GB2312"/>
                <w:kern w:val="0"/>
                <w:sz w:val="28"/>
                <w:szCs w:val="28"/>
              </w:rPr>
            </w:pPr>
          </w:p>
        </w:tc>
        <w:tc>
          <w:tcPr>
            <w:tcW w:w="1346" w:type="dxa"/>
            <w:tcBorders>
              <w:top w:val="single" w:color="auto" w:sz="4" w:space="0"/>
              <w:left w:val="nil"/>
              <w:bottom w:val="single" w:color="auto" w:sz="4" w:space="0"/>
              <w:right w:val="single" w:color="auto" w:sz="4" w:space="0"/>
            </w:tcBorders>
            <w:vAlign w:val="center"/>
          </w:tcPr>
          <w:p w14:paraId="3E4E618F">
            <w:pPr>
              <w:autoSpaceDE w:val="0"/>
              <w:autoSpaceDN w:val="0"/>
              <w:adjustRightInd w:val="0"/>
              <w:ind w:firstLine="560" w:firstLineChars="200"/>
              <w:jc w:val="center"/>
              <w:rPr>
                <w:rFonts w:ascii="仿宋_GB2312" w:eastAsia="仿宋_GB2312"/>
                <w:kern w:val="0"/>
                <w:sz w:val="28"/>
                <w:szCs w:val="28"/>
              </w:rPr>
            </w:pPr>
          </w:p>
        </w:tc>
      </w:tr>
    </w:tbl>
    <w:p w14:paraId="28E418B5">
      <w:pPr>
        <w:overflowPunct w:val="0"/>
        <w:spacing w:line="560" w:lineRule="exact"/>
        <w:ind w:firstLine="640" w:firstLineChars="200"/>
        <w:jc w:val="center"/>
        <w:rPr>
          <w:rFonts w:eastAsia="仿宋_GB2312"/>
          <w:color w:val="000000" w:themeColor="text1"/>
          <w:sz w:val="32"/>
          <w:szCs w:val="32"/>
          <w14:textFill>
            <w14:solidFill>
              <w14:schemeClr w14:val="tx1"/>
            </w14:solidFill>
          </w14:textFill>
        </w:rPr>
      </w:pPr>
    </w:p>
    <w:p w14:paraId="6AB6C0A0">
      <w:pPr>
        <w:overflowPunct w:val="0"/>
        <w:spacing w:line="560" w:lineRule="exact"/>
        <w:ind w:firstLine="560" w:firstLineChars="200"/>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表2 被测设备</w:t>
      </w:r>
    </w:p>
    <w:tbl>
      <w:tblPr>
        <w:tblStyle w:val="15"/>
        <w:tblW w:w="0" w:type="auto"/>
        <w:tblInd w:w="39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944"/>
        <w:gridCol w:w="757"/>
        <w:gridCol w:w="1134"/>
        <w:gridCol w:w="1134"/>
        <w:gridCol w:w="2551"/>
        <w:gridCol w:w="851"/>
      </w:tblGrid>
      <w:tr w14:paraId="2A303D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34" w:type="dxa"/>
            <w:tcBorders>
              <w:top w:val="single" w:color="auto" w:sz="4" w:space="0"/>
              <w:bottom w:val="single" w:color="auto" w:sz="6" w:space="0"/>
              <w:right w:val="single" w:color="auto" w:sz="4" w:space="0"/>
            </w:tcBorders>
            <w:shd w:val="clear" w:color="auto" w:fill="E0E0E0"/>
            <w:vAlign w:val="center"/>
          </w:tcPr>
          <w:p w14:paraId="31C2F0CB">
            <w:pPr>
              <w:jc w:val="center"/>
              <w:rPr>
                <w:rFonts w:ascii="仿宋_GB2312" w:eastAsia="仿宋_GB2312"/>
                <w:sz w:val="28"/>
                <w:szCs w:val="28"/>
              </w:rPr>
            </w:pPr>
            <w:r>
              <w:rPr>
                <w:rFonts w:hint="eastAsia" w:ascii="仿宋_GB2312" w:eastAsia="仿宋_GB2312"/>
                <w:kern w:val="0"/>
                <w:sz w:val="28"/>
                <w:szCs w:val="28"/>
              </w:rPr>
              <w:t>名称</w:t>
            </w:r>
          </w:p>
        </w:tc>
        <w:tc>
          <w:tcPr>
            <w:tcW w:w="944" w:type="dxa"/>
            <w:tcBorders>
              <w:top w:val="single" w:color="auto" w:sz="4" w:space="0"/>
              <w:bottom w:val="single" w:color="auto" w:sz="6" w:space="0"/>
              <w:right w:val="single" w:color="auto" w:sz="4" w:space="0"/>
            </w:tcBorders>
            <w:shd w:val="clear" w:color="auto" w:fill="E0E0E0"/>
            <w:vAlign w:val="center"/>
          </w:tcPr>
          <w:p w14:paraId="1E9C6002">
            <w:pPr>
              <w:jc w:val="center"/>
              <w:rPr>
                <w:rFonts w:ascii="仿宋_GB2312" w:eastAsia="仿宋_GB2312"/>
                <w:sz w:val="28"/>
                <w:szCs w:val="28"/>
              </w:rPr>
            </w:pPr>
            <w:r>
              <w:rPr>
                <w:rFonts w:hint="eastAsia" w:ascii="仿宋_GB2312" w:eastAsia="仿宋_GB2312"/>
                <w:sz w:val="28"/>
                <w:szCs w:val="28"/>
              </w:rPr>
              <w:t>生厂商</w:t>
            </w:r>
          </w:p>
        </w:tc>
        <w:tc>
          <w:tcPr>
            <w:tcW w:w="757" w:type="dxa"/>
            <w:tcBorders>
              <w:top w:val="single" w:color="auto" w:sz="4" w:space="0"/>
              <w:left w:val="single" w:color="auto" w:sz="4" w:space="0"/>
              <w:bottom w:val="single" w:color="auto" w:sz="6" w:space="0"/>
              <w:right w:val="single" w:color="auto" w:sz="4" w:space="0"/>
            </w:tcBorders>
            <w:shd w:val="clear" w:color="auto" w:fill="E0E0E0"/>
            <w:vAlign w:val="center"/>
          </w:tcPr>
          <w:p w14:paraId="701BF268">
            <w:pPr>
              <w:jc w:val="center"/>
              <w:rPr>
                <w:rFonts w:ascii="仿宋_GB2312" w:eastAsia="仿宋_GB2312"/>
                <w:sz w:val="28"/>
                <w:szCs w:val="28"/>
              </w:rPr>
            </w:pPr>
            <w:r>
              <w:rPr>
                <w:rFonts w:hint="eastAsia" w:ascii="仿宋_GB2312" w:eastAsia="仿宋_GB2312"/>
                <w:sz w:val="28"/>
                <w:szCs w:val="28"/>
              </w:rPr>
              <w:t>型号</w:t>
            </w:r>
          </w:p>
        </w:tc>
        <w:tc>
          <w:tcPr>
            <w:tcW w:w="1134" w:type="dxa"/>
            <w:tcBorders>
              <w:top w:val="single" w:color="auto" w:sz="4" w:space="0"/>
              <w:left w:val="single" w:color="auto" w:sz="4" w:space="0"/>
              <w:bottom w:val="single" w:color="auto" w:sz="6" w:space="0"/>
            </w:tcBorders>
            <w:shd w:val="clear" w:color="auto" w:fill="E0E0E0"/>
            <w:vAlign w:val="center"/>
          </w:tcPr>
          <w:p w14:paraId="13A5E857">
            <w:pPr>
              <w:jc w:val="center"/>
              <w:rPr>
                <w:rFonts w:ascii="仿宋_GB2312" w:eastAsia="仿宋_GB2312"/>
                <w:sz w:val="28"/>
                <w:szCs w:val="28"/>
              </w:rPr>
            </w:pPr>
            <w:r>
              <w:rPr>
                <w:rFonts w:hint="eastAsia" w:ascii="仿宋_GB2312" w:eastAsia="仿宋_GB2312"/>
                <w:sz w:val="28"/>
                <w:szCs w:val="28"/>
              </w:rPr>
              <w:t>注册</w:t>
            </w:r>
          </w:p>
          <w:p w14:paraId="7B2F7D22">
            <w:pPr>
              <w:jc w:val="center"/>
              <w:rPr>
                <w:rFonts w:ascii="仿宋_GB2312" w:eastAsia="仿宋_GB2312"/>
                <w:sz w:val="28"/>
                <w:szCs w:val="28"/>
              </w:rPr>
            </w:pPr>
            <w:r>
              <w:rPr>
                <w:rFonts w:hint="eastAsia" w:ascii="仿宋_GB2312" w:eastAsia="仿宋_GB2312"/>
                <w:sz w:val="28"/>
                <w:szCs w:val="28"/>
              </w:rPr>
              <w:t>证号</w:t>
            </w:r>
          </w:p>
        </w:tc>
        <w:tc>
          <w:tcPr>
            <w:tcW w:w="1134" w:type="dxa"/>
            <w:tcBorders>
              <w:top w:val="single" w:color="auto" w:sz="4" w:space="0"/>
              <w:left w:val="single" w:color="auto" w:sz="4" w:space="0"/>
              <w:bottom w:val="single" w:color="auto" w:sz="6" w:space="0"/>
              <w:right w:val="single" w:color="auto" w:sz="4" w:space="0"/>
            </w:tcBorders>
            <w:shd w:val="clear" w:color="auto" w:fill="E0E0E0"/>
            <w:vAlign w:val="center"/>
          </w:tcPr>
          <w:p w14:paraId="74D98B32">
            <w:pPr>
              <w:jc w:val="center"/>
              <w:rPr>
                <w:rFonts w:ascii="仿宋_GB2312" w:eastAsia="仿宋_GB2312"/>
                <w:sz w:val="28"/>
                <w:szCs w:val="28"/>
              </w:rPr>
            </w:pPr>
            <w:r>
              <w:rPr>
                <w:rFonts w:hint="eastAsia" w:ascii="仿宋_GB2312" w:eastAsia="仿宋_GB2312"/>
                <w:sz w:val="28"/>
                <w:szCs w:val="28"/>
              </w:rPr>
              <w:t>生产日期（年）</w:t>
            </w:r>
          </w:p>
        </w:tc>
        <w:tc>
          <w:tcPr>
            <w:tcW w:w="2551" w:type="dxa"/>
            <w:tcBorders>
              <w:top w:val="single" w:color="auto" w:sz="4" w:space="0"/>
              <w:left w:val="single" w:color="auto" w:sz="4" w:space="0"/>
              <w:bottom w:val="single" w:color="auto" w:sz="6" w:space="0"/>
            </w:tcBorders>
            <w:shd w:val="clear" w:color="auto" w:fill="E0E0E0"/>
            <w:vAlign w:val="center"/>
          </w:tcPr>
          <w:p w14:paraId="67E07D35">
            <w:pPr>
              <w:jc w:val="center"/>
              <w:rPr>
                <w:rFonts w:ascii="仿宋_GB2312" w:eastAsia="仿宋_GB2312"/>
                <w:sz w:val="28"/>
                <w:szCs w:val="28"/>
              </w:rPr>
            </w:pPr>
            <w:r>
              <w:rPr>
                <w:rFonts w:hint="eastAsia" w:ascii="仿宋_GB2312" w:eastAsia="仿宋_GB2312"/>
                <w:sz w:val="28"/>
                <w:szCs w:val="28"/>
              </w:rPr>
              <w:t>基本状态描述（是否运行正常）</w:t>
            </w:r>
          </w:p>
        </w:tc>
        <w:tc>
          <w:tcPr>
            <w:tcW w:w="851" w:type="dxa"/>
            <w:tcBorders>
              <w:top w:val="single" w:color="auto" w:sz="4" w:space="0"/>
              <w:left w:val="single" w:color="auto" w:sz="4" w:space="0"/>
              <w:bottom w:val="single" w:color="auto" w:sz="6" w:space="0"/>
            </w:tcBorders>
            <w:shd w:val="clear" w:color="auto" w:fill="E0E0E0"/>
            <w:vAlign w:val="center"/>
          </w:tcPr>
          <w:p w14:paraId="00491BB4">
            <w:pPr>
              <w:jc w:val="center"/>
              <w:rPr>
                <w:rFonts w:ascii="仿宋_GB2312" w:eastAsia="仿宋_GB2312"/>
                <w:sz w:val="28"/>
                <w:szCs w:val="28"/>
              </w:rPr>
            </w:pPr>
            <w:r>
              <w:rPr>
                <w:rFonts w:hint="eastAsia" w:ascii="仿宋_GB2312" w:eastAsia="仿宋_GB2312"/>
                <w:sz w:val="28"/>
                <w:szCs w:val="28"/>
              </w:rPr>
              <w:t>备注</w:t>
            </w:r>
          </w:p>
        </w:tc>
      </w:tr>
      <w:tr w14:paraId="25DD32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34" w:type="dxa"/>
            <w:tcBorders>
              <w:top w:val="single" w:color="auto" w:sz="6" w:space="0"/>
              <w:right w:val="single" w:color="auto" w:sz="4" w:space="0"/>
            </w:tcBorders>
            <w:vAlign w:val="center"/>
          </w:tcPr>
          <w:p w14:paraId="17C0FD95">
            <w:pPr>
              <w:jc w:val="center"/>
              <w:rPr>
                <w:rFonts w:ascii="仿宋_GB2312" w:eastAsia="仿宋_GB2312"/>
                <w:sz w:val="28"/>
                <w:szCs w:val="28"/>
              </w:rPr>
            </w:pPr>
          </w:p>
        </w:tc>
        <w:tc>
          <w:tcPr>
            <w:tcW w:w="944" w:type="dxa"/>
            <w:tcBorders>
              <w:top w:val="single" w:color="auto" w:sz="6" w:space="0"/>
              <w:right w:val="single" w:color="auto" w:sz="4" w:space="0"/>
            </w:tcBorders>
            <w:vAlign w:val="center"/>
          </w:tcPr>
          <w:p w14:paraId="61CCF181">
            <w:pPr>
              <w:jc w:val="center"/>
              <w:rPr>
                <w:rFonts w:ascii="仿宋_GB2312" w:eastAsia="仿宋_GB2312"/>
                <w:sz w:val="28"/>
                <w:szCs w:val="28"/>
              </w:rPr>
            </w:pPr>
          </w:p>
        </w:tc>
        <w:tc>
          <w:tcPr>
            <w:tcW w:w="757" w:type="dxa"/>
            <w:tcBorders>
              <w:top w:val="single" w:color="auto" w:sz="6" w:space="0"/>
              <w:left w:val="single" w:color="auto" w:sz="4" w:space="0"/>
              <w:right w:val="single" w:color="auto" w:sz="4" w:space="0"/>
            </w:tcBorders>
            <w:vAlign w:val="center"/>
          </w:tcPr>
          <w:p w14:paraId="0E59BA6F">
            <w:pPr>
              <w:jc w:val="center"/>
              <w:rPr>
                <w:rFonts w:ascii="仿宋_GB2312" w:eastAsia="仿宋_GB2312"/>
                <w:sz w:val="28"/>
                <w:szCs w:val="28"/>
              </w:rPr>
            </w:pPr>
          </w:p>
        </w:tc>
        <w:tc>
          <w:tcPr>
            <w:tcW w:w="1134" w:type="dxa"/>
            <w:tcBorders>
              <w:top w:val="single" w:color="auto" w:sz="6" w:space="0"/>
              <w:left w:val="single" w:color="auto" w:sz="4" w:space="0"/>
            </w:tcBorders>
            <w:vAlign w:val="center"/>
          </w:tcPr>
          <w:p w14:paraId="2351DC43">
            <w:pPr>
              <w:jc w:val="center"/>
              <w:rPr>
                <w:rFonts w:ascii="仿宋_GB2312" w:eastAsia="仿宋_GB2312"/>
                <w:sz w:val="28"/>
                <w:szCs w:val="28"/>
              </w:rPr>
            </w:pPr>
          </w:p>
        </w:tc>
        <w:tc>
          <w:tcPr>
            <w:tcW w:w="1134" w:type="dxa"/>
            <w:tcBorders>
              <w:top w:val="single" w:color="auto" w:sz="6" w:space="0"/>
              <w:left w:val="single" w:color="auto" w:sz="4" w:space="0"/>
              <w:right w:val="single" w:color="auto" w:sz="4" w:space="0"/>
            </w:tcBorders>
            <w:vAlign w:val="center"/>
          </w:tcPr>
          <w:p w14:paraId="0A605FE7">
            <w:pPr>
              <w:jc w:val="center"/>
              <w:rPr>
                <w:rFonts w:ascii="仿宋_GB2312" w:eastAsia="仿宋_GB2312"/>
                <w:sz w:val="28"/>
                <w:szCs w:val="28"/>
              </w:rPr>
            </w:pPr>
          </w:p>
        </w:tc>
        <w:tc>
          <w:tcPr>
            <w:tcW w:w="2551" w:type="dxa"/>
            <w:tcBorders>
              <w:top w:val="single" w:color="auto" w:sz="6" w:space="0"/>
              <w:left w:val="single" w:color="auto" w:sz="4" w:space="0"/>
            </w:tcBorders>
            <w:vAlign w:val="center"/>
          </w:tcPr>
          <w:p w14:paraId="167BC910">
            <w:pPr>
              <w:jc w:val="center"/>
              <w:rPr>
                <w:rFonts w:ascii="仿宋_GB2312" w:eastAsia="仿宋_GB2312"/>
                <w:sz w:val="28"/>
                <w:szCs w:val="28"/>
              </w:rPr>
            </w:pPr>
          </w:p>
        </w:tc>
        <w:tc>
          <w:tcPr>
            <w:tcW w:w="851" w:type="dxa"/>
            <w:tcBorders>
              <w:top w:val="single" w:color="auto" w:sz="6" w:space="0"/>
              <w:left w:val="single" w:color="auto" w:sz="4" w:space="0"/>
            </w:tcBorders>
            <w:vAlign w:val="center"/>
          </w:tcPr>
          <w:p w14:paraId="30FF58A4">
            <w:pPr>
              <w:jc w:val="center"/>
              <w:rPr>
                <w:rFonts w:ascii="仿宋_GB2312" w:eastAsia="仿宋_GB2312"/>
                <w:sz w:val="28"/>
                <w:szCs w:val="28"/>
              </w:rPr>
            </w:pPr>
          </w:p>
        </w:tc>
      </w:tr>
      <w:tr w14:paraId="018547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34" w:type="dxa"/>
            <w:tcBorders>
              <w:top w:val="single" w:color="auto" w:sz="6" w:space="0"/>
              <w:bottom w:val="single" w:color="auto" w:sz="6" w:space="0"/>
              <w:right w:val="single" w:color="auto" w:sz="4" w:space="0"/>
            </w:tcBorders>
            <w:vAlign w:val="center"/>
          </w:tcPr>
          <w:p w14:paraId="31EDAB61">
            <w:pPr>
              <w:jc w:val="center"/>
              <w:rPr>
                <w:rFonts w:ascii="仿宋_GB2312" w:eastAsia="仿宋_GB2312"/>
                <w:sz w:val="28"/>
                <w:szCs w:val="28"/>
              </w:rPr>
            </w:pPr>
          </w:p>
        </w:tc>
        <w:tc>
          <w:tcPr>
            <w:tcW w:w="944" w:type="dxa"/>
            <w:tcBorders>
              <w:top w:val="single" w:color="auto" w:sz="6" w:space="0"/>
              <w:bottom w:val="single" w:color="auto" w:sz="6" w:space="0"/>
              <w:right w:val="single" w:color="auto" w:sz="4" w:space="0"/>
            </w:tcBorders>
            <w:vAlign w:val="center"/>
          </w:tcPr>
          <w:p w14:paraId="05D4793D">
            <w:pPr>
              <w:jc w:val="center"/>
              <w:rPr>
                <w:rFonts w:ascii="仿宋_GB2312" w:eastAsia="仿宋_GB2312"/>
                <w:sz w:val="28"/>
                <w:szCs w:val="28"/>
              </w:rPr>
            </w:pPr>
          </w:p>
        </w:tc>
        <w:tc>
          <w:tcPr>
            <w:tcW w:w="757" w:type="dxa"/>
            <w:tcBorders>
              <w:top w:val="single" w:color="auto" w:sz="6" w:space="0"/>
              <w:left w:val="single" w:color="auto" w:sz="4" w:space="0"/>
              <w:bottom w:val="single" w:color="auto" w:sz="6" w:space="0"/>
              <w:right w:val="single" w:color="auto" w:sz="4" w:space="0"/>
            </w:tcBorders>
            <w:vAlign w:val="center"/>
          </w:tcPr>
          <w:p w14:paraId="433BDA33">
            <w:pPr>
              <w:jc w:val="center"/>
              <w:rPr>
                <w:rFonts w:ascii="仿宋_GB2312" w:eastAsia="仿宋_GB2312"/>
                <w:sz w:val="28"/>
                <w:szCs w:val="28"/>
              </w:rPr>
            </w:pPr>
          </w:p>
        </w:tc>
        <w:tc>
          <w:tcPr>
            <w:tcW w:w="1134" w:type="dxa"/>
            <w:tcBorders>
              <w:top w:val="single" w:color="auto" w:sz="6" w:space="0"/>
              <w:left w:val="single" w:color="auto" w:sz="4" w:space="0"/>
              <w:bottom w:val="single" w:color="auto" w:sz="6" w:space="0"/>
            </w:tcBorders>
            <w:vAlign w:val="center"/>
          </w:tcPr>
          <w:p w14:paraId="6A2EA37A">
            <w:pPr>
              <w:jc w:val="center"/>
              <w:rPr>
                <w:rFonts w:ascii="仿宋_GB2312" w:eastAsia="仿宋_GB2312"/>
                <w:sz w:val="28"/>
                <w:szCs w:val="28"/>
              </w:rPr>
            </w:pPr>
          </w:p>
        </w:tc>
        <w:tc>
          <w:tcPr>
            <w:tcW w:w="1134" w:type="dxa"/>
            <w:tcBorders>
              <w:top w:val="single" w:color="auto" w:sz="6" w:space="0"/>
              <w:left w:val="single" w:color="auto" w:sz="4" w:space="0"/>
              <w:bottom w:val="single" w:color="auto" w:sz="6" w:space="0"/>
              <w:right w:val="single" w:color="auto" w:sz="4" w:space="0"/>
            </w:tcBorders>
            <w:vAlign w:val="center"/>
          </w:tcPr>
          <w:p w14:paraId="2C00B0CF">
            <w:pPr>
              <w:jc w:val="center"/>
              <w:rPr>
                <w:rFonts w:ascii="仿宋_GB2312" w:eastAsia="仿宋_GB2312"/>
                <w:sz w:val="28"/>
                <w:szCs w:val="28"/>
              </w:rPr>
            </w:pPr>
          </w:p>
        </w:tc>
        <w:tc>
          <w:tcPr>
            <w:tcW w:w="2551" w:type="dxa"/>
            <w:tcBorders>
              <w:top w:val="single" w:color="auto" w:sz="6" w:space="0"/>
              <w:left w:val="single" w:color="auto" w:sz="4" w:space="0"/>
              <w:bottom w:val="single" w:color="auto" w:sz="6" w:space="0"/>
            </w:tcBorders>
            <w:vAlign w:val="center"/>
          </w:tcPr>
          <w:p w14:paraId="1A426E11">
            <w:pPr>
              <w:jc w:val="center"/>
              <w:rPr>
                <w:rFonts w:ascii="仿宋_GB2312" w:eastAsia="仿宋_GB2312"/>
                <w:sz w:val="28"/>
                <w:szCs w:val="28"/>
              </w:rPr>
            </w:pPr>
          </w:p>
        </w:tc>
        <w:tc>
          <w:tcPr>
            <w:tcW w:w="851" w:type="dxa"/>
            <w:tcBorders>
              <w:top w:val="single" w:color="auto" w:sz="6" w:space="0"/>
              <w:left w:val="single" w:color="auto" w:sz="4" w:space="0"/>
              <w:bottom w:val="single" w:color="auto" w:sz="6" w:space="0"/>
            </w:tcBorders>
            <w:vAlign w:val="center"/>
          </w:tcPr>
          <w:p w14:paraId="297FF53E">
            <w:pPr>
              <w:jc w:val="center"/>
              <w:rPr>
                <w:rFonts w:ascii="仿宋_GB2312" w:eastAsia="仿宋_GB2312"/>
                <w:sz w:val="28"/>
                <w:szCs w:val="28"/>
              </w:rPr>
            </w:pPr>
          </w:p>
        </w:tc>
      </w:tr>
      <w:tr w14:paraId="671689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34" w:type="dxa"/>
            <w:tcBorders>
              <w:top w:val="single" w:color="auto" w:sz="6" w:space="0"/>
              <w:right w:val="single" w:color="auto" w:sz="4" w:space="0"/>
            </w:tcBorders>
            <w:vAlign w:val="center"/>
          </w:tcPr>
          <w:p w14:paraId="71143A8F">
            <w:pPr>
              <w:jc w:val="center"/>
              <w:rPr>
                <w:rFonts w:ascii="仿宋_GB2312" w:eastAsia="仿宋_GB2312"/>
                <w:sz w:val="28"/>
                <w:szCs w:val="28"/>
              </w:rPr>
            </w:pPr>
          </w:p>
        </w:tc>
        <w:tc>
          <w:tcPr>
            <w:tcW w:w="944" w:type="dxa"/>
            <w:tcBorders>
              <w:top w:val="single" w:color="auto" w:sz="6" w:space="0"/>
              <w:right w:val="single" w:color="auto" w:sz="4" w:space="0"/>
            </w:tcBorders>
            <w:vAlign w:val="center"/>
          </w:tcPr>
          <w:p w14:paraId="301769FA">
            <w:pPr>
              <w:jc w:val="center"/>
              <w:rPr>
                <w:rFonts w:ascii="仿宋_GB2312" w:eastAsia="仿宋_GB2312"/>
                <w:sz w:val="28"/>
                <w:szCs w:val="28"/>
              </w:rPr>
            </w:pPr>
          </w:p>
        </w:tc>
        <w:tc>
          <w:tcPr>
            <w:tcW w:w="757" w:type="dxa"/>
            <w:tcBorders>
              <w:top w:val="single" w:color="auto" w:sz="6" w:space="0"/>
              <w:left w:val="single" w:color="auto" w:sz="4" w:space="0"/>
              <w:right w:val="single" w:color="auto" w:sz="4" w:space="0"/>
            </w:tcBorders>
            <w:vAlign w:val="center"/>
          </w:tcPr>
          <w:p w14:paraId="0D495B96">
            <w:pPr>
              <w:jc w:val="center"/>
              <w:rPr>
                <w:rFonts w:ascii="仿宋_GB2312" w:eastAsia="仿宋_GB2312"/>
                <w:sz w:val="28"/>
                <w:szCs w:val="28"/>
              </w:rPr>
            </w:pPr>
          </w:p>
        </w:tc>
        <w:tc>
          <w:tcPr>
            <w:tcW w:w="1134" w:type="dxa"/>
            <w:tcBorders>
              <w:top w:val="single" w:color="auto" w:sz="6" w:space="0"/>
              <w:left w:val="single" w:color="auto" w:sz="4" w:space="0"/>
            </w:tcBorders>
            <w:vAlign w:val="center"/>
          </w:tcPr>
          <w:p w14:paraId="524B5312">
            <w:pPr>
              <w:jc w:val="center"/>
              <w:rPr>
                <w:rFonts w:ascii="仿宋_GB2312" w:eastAsia="仿宋_GB2312"/>
                <w:sz w:val="28"/>
                <w:szCs w:val="28"/>
              </w:rPr>
            </w:pPr>
          </w:p>
        </w:tc>
        <w:tc>
          <w:tcPr>
            <w:tcW w:w="1134" w:type="dxa"/>
            <w:tcBorders>
              <w:top w:val="single" w:color="auto" w:sz="6" w:space="0"/>
              <w:left w:val="single" w:color="auto" w:sz="4" w:space="0"/>
              <w:right w:val="single" w:color="auto" w:sz="4" w:space="0"/>
            </w:tcBorders>
            <w:vAlign w:val="center"/>
          </w:tcPr>
          <w:p w14:paraId="577F1340">
            <w:pPr>
              <w:jc w:val="center"/>
              <w:rPr>
                <w:rFonts w:ascii="仿宋_GB2312" w:eastAsia="仿宋_GB2312"/>
                <w:sz w:val="28"/>
                <w:szCs w:val="28"/>
              </w:rPr>
            </w:pPr>
          </w:p>
        </w:tc>
        <w:tc>
          <w:tcPr>
            <w:tcW w:w="2551" w:type="dxa"/>
            <w:tcBorders>
              <w:top w:val="single" w:color="auto" w:sz="6" w:space="0"/>
              <w:left w:val="single" w:color="auto" w:sz="4" w:space="0"/>
            </w:tcBorders>
            <w:vAlign w:val="center"/>
          </w:tcPr>
          <w:p w14:paraId="2EBEC19E">
            <w:pPr>
              <w:jc w:val="center"/>
              <w:rPr>
                <w:rFonts w:ascii="仿宋_GB2312" w:eastAsia="仿宋_GB2312"/>
                <w:sz w:val="28"/>
                <w:szCs w:val="28"/>
              </w:rPr>
            </w:pPr>
          </w:p>
        </w:tc>
        <w:tc>
          <w:tcPr>
            <w:tcW w:w="851" w:type="dxa"/>
            <w:tcBorders>
              <w:top w:val="single" w:color="auto" w:sz="6" w:space="0"/>
              <w:left w:val="single" w:color="auto" w:sz="4" w:space="0"/>
            </w:tcBorders>
            <w:vAlign w:val="center"/>
          </w:tcPr>
          <w:p w14:paraId="14184F7C">
            <w:pPr>
              <w:jc w:val="center"/>
              <w:rPr>
                <w:rFonts w:ascii="仿宋_GB2312" w:eastAsia="仿宋_GB2312"/>
                <w:sz w:val="28"/>
                <w:szCs w:val="28"/>
              </w:rPr>
            </w:pPr>
          </w:p>
        </w:tc>
      </w:tr>
    </w:tbl>
    <w:p w14:paraId="51083276">
      <w:pPr>
        <w:overflowPunct w:val="0"/>
        <w:spacing w:line="560" w:lineRule="exact"/>
        <w:ind w:firstLine="640" w:firstLineChars="200"/>
        <w:jc w:val="center"/>
        <w:rPr>
          <w:rFonts w:eastAsia="仿宋_GB2312"/>
          <w:color w:val="000000" w:themeColor="text1"/>
          <w:sz w:val="32"/>
          <w:szCs w:val="32"/>
          <w14:textFill>
            <w14:solidFill>
              <w14:schemeClr w14:val="tx1"/>
            </w14:solidFill>
          </w14:textFill>
        </w:rPr>
      </w:pPr>
    </w:p>
    <w:p w14:paraId="1FC119DE">
      <w:pPr>
        <w:pStyle w:val="5"/>
        <w:spacing w:before="0" w:after="0" w:line="520" w:lineRule="exact"/>
        <w:ind w:firstLine="640" w:firstLineChars="200"/>
        <w:rPr>
          <w:rFonts w:ascii="仿宋_GB2312" w:eastAsia="仿宋_GB2312"/>
          <w:b w:val="0"/>
          <w:sz w:val="32"/>
          <w:szCs w:val="32"/>
        </w:rPr>
      </w:pPr>
      <w:r>
        <w:rPr>
          <w:rFonts w:hint="eastAsia" w:ascii="仿宋_GB2312" w:eastAsia="仿宋_GB2312"/>
          <w:b w:val="0"/>
          <w:sz w:val="32"/>
          <w:szCs w:val="32"/>
        </w:rPr>
        <w:t>测试连接示意图</w:t>
      </w:r>
    </w:p>
    <w:p w14:paraId="7DBF8A39">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一般需包括明确模拟肺、被测呼吸机、气源、气体流量分析仪等适用的设备连接关系。</w:t>
      </w:r>
    </w:p>
    <w:p w14:paraId="7CCD22E7">
      <w:pPr>
        <w:jc w:val="center"/>
      </w:pPr>
      <w:r>
        <w:drawing>
          <wp:inline distT="0" distB="0" distL="0" distR="0">
            <wp:extent cx="3342640" cy="1798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351460" cy="1803756"/>
                    </a:xfrm>
                    <a:prstGeom prst="rect">
                      <a:avLst/>
                    </a:prstGeom>
                    <a:noFill/>
                    <a:ln>
                      <a:noFill/>
                    </a:ln>
                  </pic:spPr>
                </pic:pic>
              </a:graphicData>
            </a:graphic>
          </wp:inline>
        </w:drawing>
      </w:r>
    </w:p>
    <w:p w14:paraId="7F34A69E">
      <w:pPr>
        <w:overflowPunct w:val="0"/>
        <w:spacing w:line="560" w:lineRule="exact"/>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图1</w:t>
      </w:r>
      <w:r>
        <w:rPr>
          <w:rFonts w:ascii="黑体" w:hAnsi="黑体" w:eastAsia="黑体"/>
          <w:color w:val="000000" w:themeColor="text1"/>
          <w:sz w:val="28"/>
          <w:szCs w:val="28"/>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设备</w:t>
      </w:r>
      <w:r>
        <w:rPr>
          <w:rFonts w:ascii="黑体" w:hAnsi="黑体" w:eastAsia="黑体"/>
          <w:color w:val="000000" w:themeColor="text1"/>
          <w:sz w:val="28"/>
          <w:szCs w:val="28"/>
          <w14:textFill>
            <w14:solidFill>
              <w14:schemeClr w14:val="tx1"/>
            </w14:solidFill>
          </w14:textFill>
        </w:rPr>
        <w:t>连接图</w:t>
      </w:r>
    </w:p>
    <w:p w14:paraId="45E66A34">
      <w:pPr>
        <w:pStyle w:val="5"/>
        <w:spacing w:before="0" w:after="0" w:line="520" w:lineRule="exact"/>
        <w:ind w:firstLine="640" w:firstLineChars="200"/>
        <w:rPr>
          <w:rFonts w:ascii="仿宋_GB2312" w:eastAsia="仿宋_GB2312"/>
          <w:b w:val="0"/>
          <w:sz w:val="32"/>
          <w:szCs w:val="32"/>
        </w:rPr>
      </w:pPr>
      <w:r>
        <w:rPr>
          <w:rFonts w:hint="eastAsia" w:ascii="仿宋_GB2312" w:eastAsia="仿宋_GB2312"/>
          <w:b w:val="0"/>
          <w:sz w:val="32"/>
          <w:szCs w:val="32"/>
        </w:rPr>
        <w:t>4.测试结果举例</w:t>
      </w:r>
    </w:p>
    <w:p w14:paraId="0143D342">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4.1 VCV模式</w:t>
      </w:r>
    </w:p>
    <w:p w14:paraId="43A76D58">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1）具体参数选择</w:t>
      </w:r>
    </w:p>
    <w:p w14:paraId="4114B886">
      <w:pPr>
        <w:jc w:val="center"/>
        <w:rPr>
          <w:rFonts w:ascii="仿宋_GB2312" w:eastAsia="仿宋_GB2312"/>
          <w:sz w:val="32"/>
          <w:szCs w:val="32"/>
        </w:rPr>
      </w:pPr>
      <w:r>
        <w:rPr>
          <w:rFonts w:ascii="仿宋_GB2312" w:eastAsia="仿宋_GB2312"/>
          <w:sz w:val="32"/>
          <w:szCs w:val="32"/>
        </w:rPr>
        <w:drawing>
          <wp:inline distT="0" distB="0" distL="0" distR="0">
            <wp:extent cx="5910580" cy="3227070"/>
            <wp:effectExtent l="0" t="0" r="0" b="0"/>
            <wp:docPr id="3" name="图片 3" descr="D:\工作\研究项目\临床一部\呼吸机\可用内容\微信截图_202011271925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工作\研究项目\临床一部\呼吸机\可用内容\微信截图_202011271925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6946" cy="3247404"/>
                    </a:xfrm>
                    <a:prstGeom prst="rect">
                      <a:avLst/>
                    </a:prstGeom>
                    <a:noFill/>
                    <a:ln>
                      <a:noFill/>
                    </a:ln>
                  </pic:spPr>
                </pic:pic>
              </a:graphicData>
            </a:graphic>
          </wp:inline>
        </w:drawing>
      </w:r>
    </w:p>
    <w:p w14:paraId="4AFC3551">
      <w:pPr>
        <w:ind w:firstLine="560" w:firstLineChars="200"/>
        <w:jc w:val="center"/>
        <w:rPr>
          <w:rFonts w:ascii="黑体" w:hAnsi="黑体" w:eastAsia="黑体"/>
          <w:sz w:val="28"/>
          <w:szCs w:val="32"/>
        </w:rPr>
      </w:pPr>
      <w:r>
        <w:rPr>
          <w:rFonts w:hint="eastAsia" w:ascii="黑体" w:hAnsi="黑体" w:eastAsia="黑体"/>
          <w:sz w:val="28"/>
          <w:szCs w:val="32"/>
        </w:rPr>
        <w:t>图2 申报产品原理波形图及相关参数</w:t>
      </w:r>
    </w:p>
    <w:p w14:paraId="1500951D">
      <w:pPr>
        <w:ind w:firstLine="560" w:firstLineChars="200"/>
        <w:jc w:val="center"/>
        <w:rPr>
          <w:rFonts w:ascii="黑体" w:hAnsi="黑体" w:eastAsia="黑体"/>
          <w:sz w:val="28"/>
          <w:szCs w:val="32"/>
        </w:rPr>
      </w:pPr>
    </w:p>
    <w:p w14:paraId="0C1E5196">
      <w:pPr>
        <w:ind w:firstLine="560" w:firstLineChars="200"/>
        <w:jc w:val="center"/>
        <w:rPr>
          <w:rFonts w:ascii="黑体" w:hAnsi="黑体" w:eastAsia="黑体"/>
          <w:sz w:val="28"/>
          <w:szCs w:val="32"/>
        </w:rPr>
      </w:pPr>
    </w:p>
    <w:p w14:paraId="1D4F6FFF">
      <w:pPr>
        <w:ind w:firstLine="560" w:firstLineChars="200"/>
        <w:jc w:val="center"/>
        <w:rPr>
          <w:rFonts w:ascii="黑体" w:hAnsi="黑体" w:eastAsia="黑体"/>
          <w:sz w:val="28"/>
          <w:szCs w:val="32"/>
        </w:rPr>
      </w:pPr>
    </w:p>
    <w:p w14:paraId="2FB15508">
      <w:pPr>
        <w:ind w:firstLine="560" w:firstLineChars="200"/>
        <w:jc w:val="center"/>
        <w:rPr>
          <w:rFonts w:ascii="黑体" w:hAnsi="黑体" w:eastAsia="黑体"/>
          <w:sz w:val="28"/>
          <w:szCs w:val="32"/>
        </w:rPr>
      </w:pPr>
      <w:r>
        <w:rPr>
          <w:rFonts w:hint="eastAsia" w:ascii="黑体" w:hAnsi="黑体" w:eastAsia="黑体"/>
          <w:sz w:val="28"/>
          <w:szCs w:val="32"/>
        </w:rPr>
        <w:t>表</w:t>
      </w:r>
      <w:r>
        <w:rPr>
          <w:rFonts w:ascii="黑体" w:hAnsi="黑体" w:eastAsia="黑体"/>
          <w:sz w:val="28"/>
          <w:szCs w:val="32"/>
        </w:rPr>
        <w:t>3</w:t>
      </w:r>
      <w:r>
        <w:rPr>
          <w:rFonts w:hint="eastAsia" w:ascii="黑体" w:hAnsi="黑体" w:eastAsia="黑体"/>
          <w:sz w:val="28"/>
          <w:szCs w:val="32"/>
        </w:rPr>
        <w:t xml:space="preserve"> 测试参数</w:t>
      </w:r>
    </w:p>
    <w:tbl>
      <w:tblPr>
        <w:tblStyle w:val="15"/>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028"/>
        <w:gridCol w:w="838"/>
        <w:gridCol w:w="839"/>
        <w:gridCol w:w="977"/>
        <w:gridCol w:w="839"/>
        <w:gridCol w:w="838"/>
        <w:gridCol w:w="839"/>
        <w:gridCol w:w="1027"/>
        <w:gridCol w:w="1002"/>
      </w:tblGrid>
      <w:tr w14:paraId="5263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035" w:type="dxa"/>
          </w:tcPr>
          <w:p w14:paraId="12097777">
            <w:pPr>
              <w:spacing w:line="360" w:lineRule="auto"/>
              <w:jc w:val="center"/>
              <w:rPr>
                <w:rFonts w:ascii="仿宋_GB2312" w:eastAsia="仿宋_GB2312"/>
                <w:sz w:val="28"/>
                <w:szCs w:val="28"/>
              </w:rPr>
            </w:pPr>
            <w:r>
              <w:rPr>
                <w:rFonts w:hint="eastAsia" w:ascii="仿宋_GB2312" w:eastAsia="仿宋_GB2312"/>
                <w:sz w:val="28"/>
                <w:szCs w:val="28"/>
              </w:rPr>
              <w:t>通气模式</w:t>
            </w:r>
          </w:p>
        </w:tc>
        <w:tc>
          <w:tcPr>
            <w:tcW w:w="1028" w:type="dxa"/>
          </w:tcPr>
          <w:p w14:paraId="1038D28C">
            <w:pPr>
              <w:spacing w:line="360" w:lineRule="auto"/>
              <w:rPr>
                <w:rFonts w:ascii="仿宋_GB2312" w:eastAsia="仿宋_GB2312"/>
                <w:sz w:val="28"/>
                <w:szCs w:val="28"/>
              </w:rPr>
            </w:pPr>
            <w:r>
              <w:rPr>
                <w:rFonts w:hint="eastAsia" w:ascii="仿宋_GB2312" w:eastAsia="仿宋_GB2312"/>
                <w:sz w:val="28"/>
                <w:szCs w:val="28"/>
              </w:rPr>
              <w:t>模拟肺</w:t>
            </w:r>
          </w:p>
        </w:tc>
        <w:tc>
          <w:tcPr>
            <w:tcW w:w="7199" w:type="dxa"/>
            <w:gridSpan w:val="8"/>
          </w:tcPr>
          <w:p w14:paraId="6EF1EED1">
            <w:pPr>
              <w:spacing w:line="360" w:lineRule="auto"/>
              <w:jc w:val="center"/>
              <w:rPr>
                <w:rFonts w:ascii="仿宋_GB2312" w:eastAsia="仿宋_GB2312"/>
                <w:sz w:val="28"/>
                <w:szCs w:val="28"/>
              </w:rPr>
            </w:pPr>
            <w:r>
              <w:rPr>
                <w:rFonts w:hint="eastAsia" w:ascii="仿宋_GB2312" w:eastAsia="仿宋_GB2312"/>
                <w:sz w:val="28"/>
                <w:szCs w:val="28"/>
              </w:rPr>
              <w:t>产品参数设置</w:t>
            </w:r>
          </w:p>
        </w:tc>
      </w:tr>
      <w:tr w14:paraId="57CE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35" w:type="dxa"/>
            <w:vMerge w:val="restart"/>
            <w:vAlign w:val="center"/>
          </w:tcPr>
          <w:p w14:paraId="57637E5B">
            <w:pPr>
              <w:spacing w:line="360" w:lineRule="auto"/>
              <w:jc w:val="center"/>
              <w:rPr>
                <w:rFonts w:ascii="仿宋_GB2312" w:eastAsia="仿宋_GB2312"/>
                <w:sz w:val="28"/>
                <w:szCs w:val="28"/>
              </w:rPr>
            </w:pPr>
            <w:r>
              <w:rPr>
                <w:rFonts w:hint="eastAsia" w:ascii="仿宋_GB2312" w:eastAsia="仿宋_GB2312"/>
                <w:sz w:val="28"/>
                <w:szCs w:val="28"/>
              </w:rPr>
              <w:t>VCV</w:t>
            </w:r>
          </w:p>
        </w:tc>
        <w:tc>
          <w:tcPr>
            <w:tcW w:w="1028" w:type="dxa"/>
            <w:vMerge w:val="restart"/>
            <w:vAlign w:val="center"/>
          </w:tcPr>
          <w:p w14:paraId="790638EF">
            <w:pPr>
              <w:spacing w:line="360" w:lineRule="auto"/>
              <w:jc w:val="center"/>
              <w:rPr>
                <w:rFonts w:ascii="仿宋_GB2312" w:eastAsia="仿宋_GB2312"/>
                <w:sz w:val="28"/>
                <w:szCs w:val="28"/>
              </w:rPr>
            </w:pPr>
            <w:r>
              <w:rPr>
                <w:rFonts w:hint="eastAsia" w:ascii="仿宋_GB2312" w:eastAsia="仿宋_GB2312"/>
                <w:sz w:val="28"/>
                <w:szCs w:val="28"/>
              </w:rPr>
              <w:t>R： C：</w:t>
            </w:r>
          </w:p>
        </w:tc>
        <w:tc>
          <w:tcPr>
            <w:tcW w:w="838" w:type="dxa"/>
          </w:tcPr>
          <w:p w14:paraId="7EC323B4">
            <w:pPr>
              <w:spacing w:line="360" w:lineRule="auto"/>
              <w:jc w:val="center"/>
              <w:rPr>
                <w:rFonts w:ascii="仿宋_GB2312" w:eastAsia="仿宋_GB2312"/>
                <w:sz w:val="28"/>
                <w:szCs w:val="28"/>
              </w:rPr>
            </w:pPr>
            <w:r>
              <w:rPr>
                <w:rFonts w:hint="eastAsia" w:ascii="仿宋_GB2312" w:eastAsia="仿宋_GB2312"/>
                <w:sz w:val="28"/>
                <w:szCs w:val="28"/>
              </w:rPr>
              <w:t>VT</w:t>
            </w:r>
          </w:p>
        </w:tc>
        <w:tc>
          <w:tcPr>
            <w:tcW w:w="839" w:type="dxa"/>
          </w:tcPr>
          <w:p w14:paraId="1F3DAC66">
            <w:pPr>
              <w:spacing w:line="360" w:lineRule="auto"/>
              <w:rPr>
                <w:rFonts w:ascii="仿宋_GB2312" w:eastAsia="仿宋_GB2312"/>
                <w:sz w:val="28"/>
                <w:szCs w:val="28"/>
              </w:rPr>
            </w:pPr>
            <w:r>
              <w:rPr>
                <w:rFonts w:hint="eastAsia" w:ascii="仿宋_GB2312" w:eastAsia="仿宋_GB2312"/>
                <w:sz w:val="28"/>
                <w:szCs w:val="28"/>
              </w:rPr>
              <w:t>RR</w:t>
            </w:r>
          </w:p>
        </w:tc>
        <w:tc>
          <w:tcPr>
            <w:tcW w:w="977" w:type="dxa"/>
          </w:tcPr>
          <w:p w14:paraId="1C0B9036">
            <w:pPr>
              <w:spacing w:line="360" w:lineRule="auto"/>
              <w:rPr>
                <w:rFonts w:ascii="仿宋_GB2312" w:eastAsia="仿宋_GB2312"/>
                <w:sz w:val="28"/>
                <w:szCs w:val="28"/>
              </w:rPr>
            </w:pPr>
            <w:r>
              <w:rPr>
                <w:rFonts w:hint="eastAsia" w:ascii="仿宋_GB2312" w:eastAsia="仿宋_GB2312"/>
                <w:sz w:val="28"/>
                <w:szCs w:val="28"/>
              </w:rPr>
              <w:t>Ti</w:t>
            </w:r>
          </w:p>
        </w:tc>
        <w:tc>
          <w:tcPr>
            <w:tcW w:w="839" w:type="dxa"/>
          </w:tcPr>
          <w:p w14:paraId="02A82237">
            <w:pPr>
              <w:spacing w:line="360" w:lineRule="auto"/>
              <w:rPr>
                <w:rFonts w:ascii="仿宋_GB2312" w:eastAsia="仿宋_GB2312"/>
                <w:sz w:val="28"/>
                <w:szCs w:val="28"/>
              </w:rPr>
            </w:pPr>
            <w:r>
              <w:rPr>
                <w:rFonts w:hint="eastAsia" w:ascii="仿宋_GB2312" w:eastAsia="仿宋_GB2312"/>
                <w:sz w:val="28"/>
                <w:szCs w:val="28"/>
              </w:rPr>
              <w:t>I:E</w:t>
            </w:r>
          </w:p>
        </w:tc>
        <w:tc>
          <w:tcPr>
            <w:tcW w:w="838" w:type="dxa"/>
          </w:tcPr>
          <w:p w14:paraId="07354D1C">
            <w:pPr>
              <w:spacing w:line="360" w:lineRule="auto"/>
              <w:rPr>
                <w:rFonts w:ascii="仿宋_GB2312" w:eastAsia="仿宋_GB2312"/>
                <w:sz w:val="28"/>
                <w:szCs w:val="28"/>
              </w:rPr>
            </w:pPr>
            <w:r>
              <w:rPr>
                <w:rFonts w:hint="eastAsia" w:ascii="仿宋_GB2312" w:eastAsia="仿宋_GB2312"/>
                <w:sz w:val="28"/>
                <w:szCs w:val="28"/>
              </w:rPr>
              <w:t>Tp</w:t>
            </w:r>
          </w:p>
        </w:tc>
        <w:tc>
          <w:tcPr>
            <w:tcW w:w="839" w:type="dxa"/>
          </w:tcPr>
          <w:p w14:paraId="22DBD656">
            <w:pPr>
              <w:spacing w:line="360" w:lineRule="auto"/>
              <w:rPr>
                <w:rFonts w:ascii="仿宋_GB2312" w:eastAsia="仿宋_GB2312"/>
                <w:sz w:val="28"/>
                <w:szCs w:val="28"/>
              </w:rPr>
            </w:pPr>
            <w:r>
              <w:rPr>
                <w:rFonts w:hint="eastAsia" w:ascii="仿宋_GB2312" w:eastAsia="仿宋_GB2312"/>
                <w:sz w:val="28"/>
                <w:szCs w:val="28"/>
              </w:rPr>
              <w:t>PEEP</w:t>
            </w:r>
          </w:p>
        </w:tc>
        <w:tc>
          <w:tcPr>
            <w:tcW w:w="1027" w:type="dxa"/>
          </w:tcPr>
          <w:p w14:paraId="66BA5D53">
            <w:pPr>
              <w:spacing w:line="360" w:lineRule="auto"/>
              <w:rPr>
                <w:rFonts w:ascii="仿宋_GB2312" w:eastAsia="仿宋_GB2312"/>
                <w:sz w:val="28"/>
                <w:szCs w:val="28"/>
              </w:rPr>
            </w:pPr>
            <w:r>
              <w:rPr>
                <w:rFonts w:hint="eastAsia" w:ascii="仿宋_GB2312" w:eastAsia="仿宋_GB2312"/>
                <w:sz w:val="28"/>
                <w:szCs w:val="28"/>
              </w:rPr>
              <w:t>FiO</w:t>
            </w:r>
            <w:r>
              <w:rPr>
                <w:rFonts w:hint="eastAsia" w:ascii="仿宋_GB2312" w:eastAsia="仿宋_GB2312"/>
                <w:sz w:val="28"/>
                <w:szCs w:val="28"/>
                <w:vertAlign w:val="subscript"/>
              </w:rPr>
              <w:t>2</w:t>
            </w:r>
          </w:p>
        </w:tc>
        <w:tc>
          <w:tcPr>
            <w:tcW w:w="1000" w:type="dxa"/>
          </w:tcPr>
          <w:p w14:paraId="169B1DAC">
            <w:pPr>
              <w:spacing w:line="360" w:lineRule="auto"/>
              <w:rPr>
                <w:rFonts w:ascii="仿宋_GB2312" w:eastAsia="仿宋_GB2312"/>
                <w:sz w:val="28"/>
                <w:szCs w:val="28"/>
              </w:rPr>
            </w:pPr>
            <w:r>
              <w:rPr>
                <w:rFonts w:hint="eastAsia" w:ascii="仿宋_GB2312" w:eastAsia="仿宋_GB2312"/>
                <w:sz w:val="28"/>
                <w:szCs w:val="28"/>
              </w:rPr>
              <w:t>Ftirg</w:t>
            </w:r>
          </w:p>
        </w:tc>
      </w:tr>
      <w:tr w14:paraId="57F1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035" w:type="dxa"/>
            <w:vMerge w:val="continue"/>
          </w:tcPr>
          <w:p w14:paraId="16515DA9">
            <w:pPr>
              <w:spacing w:line="360" w:lineRule="auto"/>
              <w:rPr>
                <w:rFonts w:ascii="仿宋_GB2312" w:eastAsia="仿宋_GB2312"/>
                <w:sz w:val="28"/>
                <w:szCs w:val="28"/>
              </w:rPr>
            </w:pPr>
          </w:p>
        </w:tc>
        <w:tc>
          <w:tcPr>
            <w:tcW w:w="1028" w:type="dxa"/>
            <w:vMerge w:val="continue"/>
          </w:tcPr>
          <w:p w14:paraId="4A82E466">
            <w:pPr>
              <w:spacing w:line="360" w:lineRule="auto"/>
              <w:rPr>
                <w:rFonts w:ascii="仿宋_GB2312" w:eastAsia="仿宋_GB2312"/>
                <w:sz w:val="28"/>
                <w:szCs w:val="28"/>
              </w:rPr>
            </w:pPr>
          </w:p>
        </w:tc>
        <w:tc>
          <w:tcPr>
            <w:tcW w:w="838" w:type="dxa"/>
          </w:tcPr>
          <w:p w14:paraId="1A810C40">
            <w:pPr>
              <w:spacing w:line="360" w:lineRule="auto"/>
              <w:rPr>
                <w:rFonts w:ascii="仿宋_GB2312" w:eastAsia="仿宋_GB2312"/>
                <w:sz w:val="28"/>
                <w:szCs w:val="28"/>
              </w:rPr>
            </w:pPr>
          </w:p>
        </w:tc>
        <w:tc>
          <w:tcPr>
            <w:tcW w:w="839" w:type="dxa"/>
          </w:tcPr>
          <w:p w14:paraId="63BFBC01">
            <w:pPr>
              <w:spacing w:line="360" w:lineRule="auto"/>
              <w:rPr>
                <w:rFonts w:ascii="仿宋_GB2312" w:eastAsia="仿宋_GB2312"/>
                <w:sz w:val="28"/>
                <w:szCs w:val="28"/>
              </w:rPr>
            </w:pPr>
          </w:p>
        </w:tc>
        <w:tc>
          <w:tcPr>
            <w:tcW w:w="977" w:type="dxa"/>
          </w:tcPr>
          <w:p w14:paraId="4D9C5A83">
            <w:pPr>
              <w:spacing w:line="360" w:lineRule="auto"/>
              <w:rPr>
                <w:rFonts w:ascii="仿宋_GB2312" w:eastAsia="仿宋_GB2312"/>
                <w:sz w:val="28"/>
                <w:szCs w:val="28"/>
              </w:rPr>
            </w:pPr>
          </w:p>
        </w:tc>
        <w:tc>
          <w:tcPr>
            <w:tcW w:w="839" w:type="dxa"/>
          </w:tcPr>
          <w:p w14:paraId="02493FDE">
            <w:pPr>
              <w:spacing w:line="360" w:lineRule="auto"/>
              <w:rPr>
                <w:rFonts w:ascii="仿宋_GB2312" w:eastAsia="仿宋_GB2312"/>
                <w:sz w:val="28"/>
                <w:szCs w:val="28"/>
              </w:rPr>
            </w:pPr>
          </w:p>
        </w:tc>
        <w:tc>
          <w:tcPr>
            <w:tcW w:w="838" w:type="dxa"/>
          </w:tcPr>
          <w:p w14:paraId="4F23C6D1">
            <w:pPr>
              <w:spacing w:line="360" w:lineRule="auto"/>
              <w:rPr>
                <w:rFonts w:ascii="仿宋_GB2312" w:eastAsia="仿宋_GB2312"/>
                <w:sz w:val="28"/>
                <w:szCs w:val="28"/>
              </w:rPr>
            </w:pPr>
          </w:p>
        </w:tc>
        <w:tc>
          <w:tcPr>
            <w:tcW w:w="839" w:type="dxa"/>
          </w:tcPr>
          <w:p w14:paraId="2A8F2F59">
            <w:pPr>
              <w:spacing w:line="360" w:lineRule="auto"/>
              <w:rPr>
                <w:rFonts w:ascii="仿宋_GB2312" w:eastAsia="仿宋_GB2312"/>
                <w:sz w:val="28"/>
                <w:szCs w:val="28"/>
              </w:rPr>
            </w:pPr>
          </w:p>
        </w:tc>
        <w:tc>
          <w:tcPr>
            <w:tcW w:w="1027" w:type="dxa"/>
          </w:tcPr>
          <w:p w14:paraId="521837A2">
            <w:pPr>
              <w:spacing w:line="360" w:lineRule="auto"/>
              <w:rPr>
                <w:rFonts w:ascii="仿宋_GB2312" w:eastAsia="仿宋_GB2312"/>
                <w:sz w:val="28"/>
                <w:szCs w:val="28"/>
              </w:rPr>
            </w:pPr>
          </w:p>
        </w:tc>
        <w:tc>
          <w:tcPr>
            <w:tcW w:w="1000" w:type="dxa"/>
          </w:tcPr>
          <w:p w14:paraId="061B1494">
            <w:pPr>
              <w:spacing w:line="360" w:lineRule="auto"/>
              <w:rPr>
                <w:rFonts w:ascii="仿宋_GB2312" w:eastAsia="仿宋_GB2312"/>
                <w:sz w:val="28"/>
                <w:szCs w:val="28"/>
              </w:rPr>
            </w:pPr>
          </w:p>
        </w:tc>
      </w:tr>
    </w:tbl>
    <w:p w14:paraId="5020E26B">
      <w:pPr>
        <w:ind w:firstLine="640" w:firstLineChars="200"/>
        <w:jc w:val="left"/>
        <w:rPr>
          <w:rFonts w:ascii="仿宋_GB2312" w:eastAsia="仿宋_GB2312"/>
          <w:sz w:val="32"/>
          <w:szCs w:val="32"/>
        </w:rPr>
      </w:pPr>
    </w:p>
    <w:p w14:paraId="361450BA">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2）实测波形对比图及参数</w:t>
      </w:r>
    </w:p>
    <w:p w14:paraId="01742906">
      <w:pPr>
        <w:spacing w:line="520" w:lineRule="exact"/>
        <w:ind w:firstLine="640" w:firstLineChars="200"/>
        <w:rPr>
          <w:rFonts w:ascii="仿宋_GB2312" w:eastAsia="仿宋_GB2312"/>
          <w:sz w:val="32"/>
          <w:szCs w:val="32"/>
        </w:rPr>
      </w:pPr>
      <w:r>
        <w:rPr>
          <w:rFonts w:hint="eastAsia" w:ascii="仿宋_GB2312" w:eastAsia="仿宋_GB2312"/>
          <w:sz w:val="32"/>
          <w:szCs w:val="32"/>
        </w:rPr>
        <w:t>实测波形对比图应当在统一的坐标系体系下绘制（如相同的X、Y轴范围、比例尺和最小显示刻度），并在对比图后列举实测波形的各项关键参数，具体可参考表5，亦可制定其他合适的列举方式。</w:t>
      </w:r>
    </w:p>
    <w:p w14:paraId="6EB52E23">
      <w:pPr>
        <w:ind w:firstLine="560" w:firstLineChars="200"/>
        <w:jc w:val="center"/>
        <w:rPr>
          <w:rFonts w:ascii="黑体" w:hAnsi="黑体" w:eastAsia="黑体"/>
          <w:sz w:val="28"/>
          <w:szCs w:val="32"/>
        </w:rPr>
      </w:pPr>
      <w:r>
        <w:rPr>
          <w:rFonts w:hint="eastAsia" w:ascii="黑体" w:hAnsi="黑体" w:eastAsia="黑体"/>
          <w:sz w:val="28"/>
          <w:szCs w:val="32"/>
        </w:rPr>
        <w:t>表</w:t>
      </w:r>
      <w:r>
        <w:rPr>
          <w:rFonts w:ascii="黑体" w:hAnsi="黑体" w:eastAsia="黑体"/>
          <w:sz w:val="28"/>
          <w:szCs w:val="32"/>
        </w:rPr>
        <w:t>4</w:t>
      </w:r>
      <w:r>
        <w:rPr>
          <w:rFonts w:hint="eastAsia" w:ascii="黑体" w:hAnsi="黑体" w:eastAsia="黑体"/>
          <w:sz w:val="28"/>
          <w:szCs w:val="32"/>
        </w:rPr>
        <w:t xml:space="preserve"> 实测波形参数举例</w:t>
      </w:r>
    </w:p>
    <w:tbl>
      <w:tblPr>
        <w:tblStyle w:val="15"/>
        <w:tblW w:w="5048" w:type="pct"/>
        <w:tblInd w:w="0" w:type="dxa"/>
        <w:tblLayout w:type="autofit"/>
        <w:tblCellMar>
          <w:top w:w="0" w:type="dxa"/>
          <w:left w:w="108" w:type="dxa"/>
          <w:bottom w:w="0" w:type="dxa"/>
          <w:right w:w="108" w:type="dxa"/>
        </w:tblCellMar>
      </w:tblPr>
      <w:tblGrid>
        <w:gridCol w:w="909"/>
        <w:gridCol w:w="1056"/>
        <w:gridCol w:w="1126"/>
        <w:gridCol w:w="362"/>
        <w:gridCol w:w="412"/>
        <w:gridCol w:w="415"/>
        <w:gridCol w:w="415"/>
        <w:gridCol w:w="417"/>
        <w:gridCol w:w="417"/>
        <w:gridCol w:w="1125"/>
        <w:gridCol w:w="842"/>
        <w:gridCol w:w="843"/>
        <w:gridCol w:w="808"/>
      </w:tblGrid>
      <w:tr w14:paraId="042C0C70">
        <w:tblPrEx>
          <w:tblCellMar>
            <w:top w:w="0" w:type="dxa"/>
            <w:left w:w="108" w:type="dxa"/>
            <w:bottom w:w="0" w:type="dxa"/>
            <w:right w:w="108" w:type="dxa"/>
          </w:tblCellMar>
        </w:tblPrEx>
        <w:trPr>
          <w:trHeight w:val="300" w:hRule="atLeast"/>
          <w:tblHeader/>
        </w:trPr>
        <w:tc>
          <w:tcPr>
            <w:tcW w:w="502" w:type="pct"/>
            <w:tcBorders>
              <w:top w:val="single" w:color="auto" w:sz="8" w:space="0"/>
              <w:left w:val="single" w:color="auto" w:sz="8" w:space="0"/>
              <w:bottom w:val="single" w:color="auto" w:sz="8" w:space="0"/>
              <w:right w:val="single" w:color="auto" w:sz="8" w:space="0"/>
            </w:tcBorders>
            <w:shd w:val="clear" w:color="auto" w:fill="auto"/>
            <w:vAlign w:val="center"/>
          </w:tcPr>
          <w:p w14:paraId="20741584">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比对项目</w:t>
            </w:r>
          </w:p>
        </w:tc>
        <w:tc>
          <w:tcPr>
            <w:tcW w:w="519" w:type="pct"/>
            <w:tcBorders>
              <w:top w:val="single" w:color="auto" w:sz="8" w:space="0"/>
              <w:left w:val="nil"/>
              <w:bottom w:val="single" w:color="auto" w:sz="8" w:space="0"/>
              <w:right w:val="single" w:color="auto" w:sz="8" w:space="0"/>
            </w:tcBorders>
            <w:shd w:val="clear" w:color="auto" w:fill="auto"/>
            <w:vAlign w:val="center"/>
          </w:tcPr>
          <w:p w14:paraId="206A2725">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典型值</w:t>
            </w:r>
          </w:p>
        </w:tc>
        <w:tc>
          <w:tcPr>
            <w:tcW w:w="617" w:type="pct"/>
            <w:tcBorders>
              <w:top w:val="single" w:color="auto" w:sz="8" w:space="0"/>
              <w:left w:val="nil"/>
              <w:bottom w:val="single" w:color="auto" w:sz="8" w:space="0"/>
              <w:right w:val="single" w:color="auto" w:sz="8" w:space="0"/>
            </w:tcBorders>
            <w:shd w:val="clear" w:color="auto" w:fill="auto"/>
            <w:vAlign w:val="center"/>
          </w:tcPr>
          <w:p w14:paraId="236C8724">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单位</w:t>
            </w:r>
          </w:p>
        </w:tc>
        <w:tc>
          <w:tcPr>
            <w:tcW w:w="668" w:type="pct"/>
            <w:gridSpan w:val="3"/>
            <w:tcBorders>
              <w:top w:val="single" w:color="auto" w:sz="8" w:space="0"/>
              <w:left w:val="nil"/>
              <w:bottom w:val="single" w:color="auto" w:sz="8" w:space="0"/>
              <w:right w:val="single" w:color="000000" w:sz="8" w:space="0"/>
            </w:tcBorders>
            <w:shd w:val="clear" w:color="auto" w:fill="auto"/>
            <w:vAlign w:val="center"/>
          </w:tcPr>
          <w:p w14:paraId="15893B9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同品种型号</w:t>
            </w:r>
          </w:p>
        </w:tc>
        <w:tc>
          <w:tcPr>
            <w:tcW w:w="697" w:type="pct"/>
            <w:gridSpan w:val="3"/>
            <w:tcBorders>
              <w:top w:val="single" w:color="auto" w:sz="8" w:space="0"/>
              <w:left w:val="nil"/>
              <w:bottom w:val="single" w:color="auto" w:sz="8" w:space="0"/>
              <w:right w:val="single" w:color="000000" w:sz="8" w:space="0"/>
            </w:tcBorders>
            <w:shd w:val="clear" w:color="auto" w:fill="auto"/>
            <w:vAlign w:val="center"/>
          </w:tcPr>
          <w:p w14:paraId="4CC086BE">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申报型号</w:t>
            </w:r>
          </w:p>
        </w:tc>
        <w:tc>
          <w:tcPr>
            <w:tcW w:w="620" w:type="pct"/>
            <w:tcBorders>
              <w:top w:val="single" w:color="auto" w:sz="8" w:space="0"/>
              <w:left w:val="nil"/>
              <w:bottom w:val="single" w:color="auto" w:sz="8" w:space="0"/>
              <w:right w:val="single" w:color="auto" w:sz="8" w:space="0"/>
            </w:tcBorders>
            <w:shd w:val="clear" w:color="auto" w:fill="auto"/>
            <w:vAlign w:val="center"/>
          </w:tcPr>
          <w:p w14:paraId="0EACA87A">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同品种</w:t>
            </w:r>
          </w:p>
          <w:p w14:paraId="10FE1446">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型号</w:t>
            </w:r>
          </w:p>
        </w:tc>
        <w:tc>
          <w:tcPr>
            <w:tcW w:w="465" w:type="pct"/>
            <w:tcBorders>
              <w:top w:val="single" w:color="auto" w:sz="8" w:space="0"/>
              <w:left w:val="nil"/>
              <w:bottom w:val="single" w:color="auto" w:sz="8" w:space="0"/>
              <w:right w:val="single" w:color="auto" w:sz="8" w:space="0"/>
            </w:tcBorders>
            <w:shd w:val="clear" w:color="auto" w:fill="auto"/>
            <w:vAlign w:val="center"/>
          </w:tcPr>
          <w:p w14:paraId="7E5C6E75">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申报型号</w:t>
            </w:r>
          </w:p>
        </w:tc>
        <w:tc>
          <w:tcPr>
            <w:tcW w:w="911" w:type="pct"/>
            <w:gridSpan w:val="2"/>
            <w:tcBorders>
              <w:top w:val="single" w:color="auto" w:sz="8" w:space="0"/>
              <w:left w:val="nil"/>
              <w:bottom w:val="single" w:color="auto" w:sz="8" w:space="0"/>
              <w:right w:val="single" w:color="000000" w:sz="8" w:space="0"/>
            </w:tcBorders>
            <w:shd w:val="clear" w:color="auto" w:fill="auto"/>
            <w:vAlign w:val="center"/>
          </w:tcPr>
          <w:p w14:paraId="3B068513">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差异</w:t>
            </w:r>
          </w:p>
        </w:tc>
      </w:tr>
      <w:tr w14:paraId="28411F43">
        <w:tblPrEx>
          <w:tblCellMar>
            <w:top w:w="0" w:type="dxa"/>
            <w:left w:w="108" w:type="dxa"/>
            <w:bottom w:w="0" w:type="dxa"/>
            <w:right w:w="108" w:type="dxa"/>
          </w:tblCellMar>
        </w:tblPrEx>
        <w:trPr>
          <w:trHeight w:val="300" w:hRule="atLeast"/>
        </w:trPr>
        <w:tc>
          <w:tcPr>
            <w:tcW w:w="1638" w:type="pct"/>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28E5D2B2">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06" w:type="pct"/>
            <w:tcBorders>
              <w:top w:val="nil"/>
              <w:left w:val="nil"/>
              <w:bottom w:val="single" w:color="auto" w:sz="8" w:space="0"/>
              <w:right w:val="single" w:color="auto" w:sz="8" w:space="0"/>
            </w:tcBorders>
            <w:shd w:val="clear" w:color="auto" w:fill="auto"/>
            <w:vAlign w:val="center"/>
          </w:tcPr>
          <w:p w14:paraId="13D0BE60">
            <w:pPr>
              <w:widowControl/>
              <w:jc w:val="center"/>
              <w:rPr>
                <w:rFonts w:ascii="仿宋_GB2312" w:eastAsia="仿宋_GB2312"/>
                <w:kern w:val="0"/>
                <w:sz w:val="28"/>
                <w:szCs w:val="28"/>
              </w:rPr>
            </w:pPr>
            <w:r>
              <w:rPr>
                <w:rFonts w:hint="eastAsia" w:ascii="仿宋_GB2312" w:eastAsia="仿宋_GB2312"/>
                <w:kern w:val="0"/>
                <w:sz w:val="28"/>
                <w:szCs w:val="28"/>
              </w:rPr>
              <w:t>1</w:t>
            </w:r>
          </w:p>
        </w:tc>
        <w:tc>
          <w:tcPr>
            <w:tcW w:w="230" w:type="pct"/>
            <w:tcBorders>
              <w:top w:val="nil"/>
              <w:left w:val="nil"/>
              <w:bottom w:val="single" w:color="auto" w:sz="8" w:space="0"/>
              <w:right w:val="single" w:color="auto" w:sz="8" w:space="0"/>
            </w:tcBorders>
            <w:shd w:val="clear" w:color="auto" w:fill="auto"/>
            <w:vAlign w:val="center"/>
          </w:tcPr>
          <w:p w14:paraId="4A2415D5">
            <w:pPr>
              <w:widowControl/>
              <w:jc w:val="center"/>
              <w:rPr>
                <w:rFonts w:ascii="仿宋_GB2312" w:eastAsia="仿宋_GB2312"/>
                <w:kern w:val="0"/>
                <w:sz w:val="28"/>
                <w:szCs w:val="28"/>
              </w:rPr>
            </w:pPr>
            <w:r>
              <w:rPr>
                <w:rFonts w:hint="eastAsia" w:ascii="仿宋_GB2312" w:eastAsia="仿宋_GB2312"/>
                <w:kern w:val="0"/>
                <w:sz w:val="28"/>
                <w:szCs w:val="28"/>
              </w:rPr>
              <w:t>2</w:t>
            </w:r>
          </w:p>
        </w:tc>
        <w:tc>
          <w:tcPr>
            <w:tcW w:w="232" w:type="pct"/>
            <w:tcBorders>
              <w:top w:val="nil"/>
              <w:left w:val="nil"/>
              <w:bottom w:val="single" w:color="auto" w:sz="8" w:space="0"/>
              <w:right w:val="single" w:color="auto" w:sz="8" w:space="0"/>
            </w:tcBorders>
            <w:shd w:val="clear" w:color="auto" w:fill="auto"/>
            <w:vAlign w:val="center"/>
          </w:tcPr>
          <w:p w14:paraId="6566659E">
            <w:pPr>
              <w:widowControl/>
              <w:jc w:val="center"/>
              <w:rPr>
                <w:rFonts w:ascii="仿宋_GB2312" w:eastAsia="仿宋_GB2312"/>
                <w:kern w:val="0"/>
                <w:sz w:val="28"/>
                <w:szCs w:val="28"/>
              </w:rPr>
            </w:pPr>
            <w:r>
              <w:rPr>
                <w:rFonts w:hint="eastAsia" w:ascii="仿宋_GB2312" w:eastAsia="仿宋_GB2312"/>
                <w:kern w:val="0"/>
                <w:sz w:val="28"/>
                <w:szCs w:val="28"/>
              </w:rPr>
              <w:t>3</w:t>
            </w:r>
          </w:p>
        </w:tc>
        <w:tc>
          <w:tcPr>
            <w:tcW w:w="232" w:type="pct"/>
            <w:tcBorders>
              <w:top w:val="nil"/>
              <w:left w:val="nil"/>
              <w:bottom w:val="single" w:color="auto" w:sz="8" w:space="0"/>
              <w:right w:val="single" w:color="auto" w:sz="8" w:space="0"/>
            </w:tcBorders>
            <w:shd w:val="clear" w:color="auto" w:fill="auto"/>
            <w:vAlign w:val="center"/>
          </w:tcPr>
          <w:p w14:paraId="2455450D">
            <w:pPr>
              <w:widowControl/>
              <w:jc w:val="center"/>
              <w:rPr>
                <w:rFonts w:ascii="仿宋_GB2312" w:eastAsia="仿宋_GB2312"/>
                <w:kern w:val="0"/>
                <w:sz w:val="28"/>
                <w:szCs w:val="28"/>
              </w:rPr>
            </w:pPr>
            <w:r>
              <w:rPr>
                <w:rFonts w:hint="eastAsia" w:ascii="仿宋_GB2312" w:eastAsia="仿宋_GB2312"/>
                <w:kern w:val="0"/>
                <w:sz w:val="28"/>
                <w:szCs w:val="28"/>
              </w:rPr>
              <w:t>1</w:t>
            </w:r>
          </w:p>
        </w:tc>
        <w:tc>
          <w:tcPr>
            <w:tcW w:w="233" w:type="pct"/>
            <w:tcBorders>
              <w:top w:val="nil"/>
              <w:left w:val="nil"/>
              <w:bottom w:val="single" w:color="auto" w:sz="8" w:space="0"/>
              <w:right w:val="single" w:color="auto" w:sz="8" w:space="0"/>
            </w:tcBorders>
            <w:shd w:val="clear" w:color="auto" w:fill="auto"/>
            <w:vAlign w:val="center"/>
          </w:tcPr>
          <w:p w14:paraId="7646D7B7">
            <w:pPr>
              <w:widowControl/>
              <w:jc w:val="center"/>
              <w:rPr>
                <w:rFonts w:ascii="仿宋_GB2312" w:eastAsia="仿宋_GB2312"/>
                <w:kern w:val="0"/>
                <w:sz w:val="28"/>
                <w:szCs w:val="28"/>
              </w:rPr>
            </w:pPr>
            <w:r>
              <w:rPr>
                <w:rFonts w:hint="eastAsia" w:ascii="仿宋_GB2312" w:eastAsia="仿宋_GB2312"/>
                <w:kern w:val="0"/>
                <w:sz w:val="28"/>
                <w:szCs w:val="28"/>
              </w:rPr>
              <w:t>2</w:t>
            </w:r>
          </w:p>
        </w:tc>
        <w:tc>
          <w:tcPr>
            <w:tcW w:w="233" w:type="pct"/>
            <w:tcBorders>
              <w:top w:val="nil"/>
              <w:left w:val="nil"/>
              <w:bottom w:val="single" w:color="auto" w:sz="8" w:space="0"/>
              <w:right w:val="single" w:color="auto" w:sz="8" w:space="0"/>
            </w:tcBorders>
            <w:shd w:val="clear" w:color="auto" w:fill="auto"/>
            <w:vAlign w:val="center"/>
          </w:tcPr>
          <w:p w14:paraId="16CE7913">
            <w:pPr>
              <w:widowControl/>
              <w:jc w:val="center"/>
              <w:rPr>
                <w:rFonts w:ascii="仿宋_GB2312" w:eastAsia="仿宋_GB2312"/>
                <w:kern w:val="0"/>
                <w:sz w:val="28"/>
                <w:szCs w:val="28"/>
              </w:rPr>
            </w:pPr>
            <w:r>
              <w:rPr>
                <w:rFonts w:hint="eastAsia" w:ascii="仿宋_GB2312" w:eastAsia="仿宋_GB2312"/>
                <w:kern w:val="0"/>
                <w:sz w:val="28"/>
                <w:szCs w:val="28"/>
              </w:rPr>
              <w:t>3</w:t>
            </w:r>
          </w:p>
        </w:tc>
        <w:tc>
          <w:tcPr>
            <w:tcW w:w="620" w:type="pct"/>
            <w:tcBorders>
              <w:top w:val="nil"/>
              <w:left w:val="nil"/>
              <w:bottom w:val="single" w:color="auto" w:sz="8" w:space="0"/>
              <w:right w:val="single" w:color="auto" w:sz="8" w:space="0"/>
            </w:tcBorders>
            <w:shd w:val="clear" w:color="auto" w:fill="auto"/>
            <w:vAlign w:val="center"/>
          </w:tcPr>
          <w:p w14:paraId="0A078F78">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均值</w:t>
            </w:r>
          </w:p>
        </w:tc>
        <w:tc>
          <w:tcPr>
            <w:tcW w:w="465" w:type="pct"/>
            <w:tcBorders>
              <w:top w:val="nil"/>
              <w:left w:val="nil"/>
              <w:bottom w:val="single" w:color="auto" w:sz="8" w:space="0"/>
              <w:right w:val="single" w:color="auto" w:sz="8" w:space="0"/>
            </w:tcBorders>
            <w:shd w:val="clear" w:color="auto" w:fill="auto"/>
            <w:vAlign w:val="center"/>
          </w:tcPr>
          <w:p w14:paraId="5F179F98">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均值</w:t>
            </w:r>
          </w:p>
        </w:tc>
        <w:tc>
          <w:tcPr>
            <w:tcW w:w="465" w:type="pct"/>
            <w:tcBorders>
              <w:top w:val="nil"/>
              <w:left w:val="nil"/>
              <w:bottom w:val="single" w:color="auto" w:sz="8" w:space="0"/>
              <w:right w:val="single" w:color="auto" w:sz="8" w:space="0"/>
            </w:tcBorders>
            <w:shd w:val="clear" w:color="auto" w:fill="auto"/>
            <w:vAlign w:val="center"/>
          </w:tcPr>
          <w:p w14:paraId="2852827B">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绝对值</w:t>
            </w:r>
          </w:p>
        </w:tc>
        <w:tc>
          <w:tcPr>
            <w:tcW w:w="447" w:type="pct"/>
            <w:tcBorders>
              <w:top w:val="nil"/>
              <w:left w:val="nil"/>
              <w:bottom w:val="single" w:color="auto" w:sz="8" w:space="0"/>
              <w:right w:val="single" w:color="auto" w:sz="8" w:space="0"/>
            </w:tcBorders>
            <w:shd w:val="clear" w:color="auto" w:fill="auto"/>
            <w:vAlign w:val="center"/>
          </w:tcPr>
          <w:p w14:paraId="0064709E">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百分比</w:t>
            </w:r>
          </w:p>
        </w:tc>
      </w:tr>
      <w:tr w14:paraId="6FA7EFF8">
        <w:tblPrEx>
          <w:tblCellMar>
            <w:top w:w="0" w:type="dxa"/>
            <w:left w:w="108" w:type="dxa"/>
            <w:bottom w:w="0" w:type="dxa"/>
            <w:right w:w="108" w:type="dxa"/>
          </w:tblCellMar>
        </w:tblPrEx>
        <w:trPr>
          <w:trHeight w:val="300" w:hRule="atLeast"/>
        </w:trPr>
        <w:tc>
          <w:tcPr>
            <w:tcW w:w="502" w:type="pct"/>
            <w:vMerge w:val="restart"/>
            <w:tcBorders>
              <w:top w:val="nil"/>
              <w:left w:val="single" w:color="auto" w:sz="8" w:space="0"/>
              <w:bottom w:val="single" w:color="000000" w:sz="8" w:space="0"/>
              <w:right w:val="single" w:color="auto" w:sz="8" w:space="0"/>
            </w:tcBorders>
            <w:shd w:val="clear" w:color="auto" w:fill="auto"/>
            <w:vAlign w:val="center"/>
          </w:tcPr>
          <w:p w14:paraId="65591A37">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周期</w:t>
            </w:r>
          </w:p>
        </w:tc>
        <w:tc>
          <w:tcPr>
            <w:tcW w:w="519" w:type="pct"/>
            <w:tcBorders>
              <w:top w:val="nil"/>
              <w:left w:val="nil"/>
              <w:bottom w:val="single" w:color="auto" w:sz="8" w:space="0"/>
              <w:right w:val="single" w:color="auto" w:sz="8" w:space="0"/>
            </w:tcBorders>
            <w:shd w:val="clear" w:color="auto" w:fill="auto"/>
            <w:vAlign w:val="center"/>
          </w:tcPr>
          <w:p w14:paraId="264FA625">
            <w:pPr>
              <w:widowControl/>
              <w:jc w:val="center"/>
              <w:rPr>
                <w:rFonts w:ascii="仿宋_GB2312" w:eastAsia="仿宋_GB2312"/>
                <w:kern w:val="0"/>
                <w:sz w:val="28"/>
                <w:szCs w:val="28"/>
              </w:rPr>
            </w:pPr>
            <w:r>
              <w:rPr>
                <w:rFonts w:hint="eastAsia" w:ascii="仿宋_GB2312" w:eastAsia="仿宋_GB2312"/>
                <w:kern w:val="0"/>
                <w:sz w:val="28"/>
                <w:szCs w:val="28"/>
              </w:rPr>
              <w:t>T1</w:t>
            </w:r>
          </w:p>
        </w:tc>
        <w:tc>
          <w:tcPr>
            <w:tcW w:w="617" w:type="pct"/>
            <w:tcBorders>
              <w:top w:val="nil"/>
              <w:left w:val="nil"/>
              <w:bottom w:val="single" w:color="auto" w:sz="8" w:space="0"/>
              <w:right w:val="single" w:color="auto" w:sz="8" w:space="0"/>
            </w:tcBorders>
            <w:shd w:val="clear" w:color="auto" w:fill="auto"/>
            <w:vAlign w:val="center"/>
          </w:tcPr>
          <w:p w14:paraId="58A59E13">
            <w:pPr>
              <w:widowControl/>
              <w:jc w:val="center"/>
              <w:rPr>
                <w:rFonts w:ascii="仿宋_GB2312" w:eastAsia="仿宋_GB2312"/>
                <w:kern w:val="0"/>
                <w:sz w:val="28"/>
                <w:szCs w:val="28"/>
              </w:rPr>
            </w:pPr>
            <w:r>
              <w:rPr>
                <w:rFonts w:hint="eastAsia" w:ascii="仿宋_GB2312" w:eastAsia="仿宋_GB2312"/>
                <w:kern w:val="0"/>
                <w:sz w:val="28"/>
                <w:szCs w:val="28"/>
              </w:rPr>
              <w:t>s</w:t>
            </w:r>
          </w:p>
        </w:tc>
        <w:tc>
          <w:tcPr>
            <w:tcW w:w="206" w:type="pct"/>
            <w:tcBorders>
              <w:top w:val="nil"/>
              <w:left w:val="nil"/>
              <w:bottom w:val="single" w:color="auto" w:sz="8" w:space="0"/>
              <w:right w:val="single" w:color="auto" w:sz="8" w:space="0"/>
            </w:tcBorders>
            <w:shd w:val="clear" w:color="auto" w:fill="auto"/>
            <w:vAlign w:val="center"/>
          </w:tcPr>
          <w:p w14:paraId="64AE276D">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082B695A">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047552A1">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23EF8F0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384FD824">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6A239E90">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7386F112">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1ADB3BEC">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6796944A">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16C3C6A2">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7AF71AD1">
        <w:tblPrEx>
          <w:tblCellMar>
            <w:top w:w="0" w:type="dxa"/>
            <w:left w:w="108" w:type="dxa"/>
            <w:bottom w:w="0" w:type="dxa"/>
            <w:right w:w="108" w:type="dxa"/>
          </w:tblCellMar>
        </w:tblPrEx>
        <w:trPr>
          <w:trHeight w:val="300" w:hRule="atLeast"/>
        </w:trPr>
        <w:tc>
          <w:tcPr>
            <w:tcW w:w="502" w:type="pct"/>
            <w:vMerge w:val="continue"/>
            <w:tcBorders>
              <w:top w:val="nil"/>
              <w:left w:val="single" w:color="auto" w:sz="8" w:space="0"/>
              <w:bottom w:val="single" w:color="000000" w:sz="8" w:space="0"/>
              <w:right w:val="single" w:color="auto" w:sz="8" w:space="0"/>
            </w:tcBorders>
            <w:vAlign w:val="center"/>
          </w:tcPr>
          <w:p w14:paraId="18ADE300">
            <w:pPr>
              <w:widowControl/>
              <w:jc w:val="left"/>
              <w:rPr>
                <w:rFonts w:ascii="仿宋_GB2312" w:hAnsi="宋体" w:eastAsia="仿宋_GB2312" w:cs="宋体"/>
                <w:kern w:val="0"/>
                <w:sz w:val="28"/>
                <w:szCs w:val="28"/>
              </w:rPr>
            </w:pPr>
          </w:p>
        </w:tc>
        <w:tc>
          <w:tcPr>
            <w:tcW w:w="519" w:type="pct"/>
            <w:tcBorders>
              <w:top w:val="nil"/>
              <w:left w:val="nil"/>
              <w:bottom w:val="single" w:color="auto" w:sz="8" w:space="0"/>
              <w:right w:val="single" w:color="auto" w:sz="8" w:space="0"/>
            </w:tcBorders>
            <w:shd w:val="clear" w:color="auto" w:fill="auto"/>
            <w:vAlign w:val="center"/>
          </w:tcPr>
          <w:p w14:paraId="61EA2BAC">
            <w:pPr>
              <w:widowControl/>
              <w:jc w:val="center"/>
              <w:rPr>
                <w:rFonts w:ascii="仿宋_GB2312" w:eastAsia="仿宋_GB2312"/>
                <w:kern w:val="0"/>
                <w:sz w:val="28"/>
                <w:szCs w:val="28"/>
              </w:rPr>
            </w:pPr>
            <w:r>
              <w:rPr>
                <w:rFonts w:hint="eastAsia" w:ascii="仿宋_GB2312" w:eastAsia="仿宋_GB2312"/>
                <w:kern w:val="0"/>
                <w:sz w:val="28"/>
                <w:szCs w:val="28"/>
              </w:rPr>
              <w:t>T2</w:t>
            </w:r>
          </w:p>
        </w:tc>
        <w:tc>
          <w:tcPr>
            <w:tcW w:w="617" w:type="pct"/>
            <w:tcBorders>
              <w:top w:val="nil"/>
              <w:left w:val="nil"/>
              <w:bottom w:val="single" w:color="auto" w:sz="8" w:space="0"/>
              <w:right w:val="single" w:color="auto" w:sz="8" w:space="0"/>
            </w:tcBorders>
            <w:shd w:val="clear" w:color="auto" w:fill="auto"/>
            <w:vAlign w:val="center"/>
          </w:tcPr>
          <w:p w14:paraId="6F9A59EC">
            <w:pPr>
              <w:widowControl/>
              <w:jc w:val="center"/>
              <w:rPr>
                <w:rFonts w:ascii="仿宋_GB2312" w:eastAsia="仿宋_GB2312"/>
                <w:kern w:val="0"/>
                <w:sz w:val="28"/>
                <w:szCs w:val="28"/>
              </w:rPr>
            </w:pPr>
            <w:r>
              <w:rPr>
                <w:rFonts w:hint="eastAsia" w:ascii="仿宋_GB2312" w:eastAsia="仿宋_GB2312"/>
                <w:kern w:val="0"/>
                <w:sz w:val="28"/>
                <w:szCs w:val="28"/>
              </w:rPr>
              <w:t>s</w:t>
            </w:r>
          </w:p>
        </w:tc>
        <w:tc>
          <w:tcPr>
            <w:tcW w:w="206" w:type="pct"/>
            <w:tcBorders>
              <w:top w:val="nil"/>
              <w:left w:val="nil"/>
              <w:bottom w:val="single" w:color="auto" w:sz="8" w:space="0"/>
              <w:right w:val="single" w:color="auto" w:sz="8" w:space="0"/>
            </w:tcBorders>
            <w:shd w:val="clear" w:color="auto" w:fill="auto"/>
            <w:vAlign w:val="center"/>
          </w:tcPr>
          <w:p w14:paraId="0F7896EB">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2042634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2DE86813">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47ED7858">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7C2EA0D5">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23DCF58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6EC50AE5">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183FE9E1">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66FC2BC9">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7328B00F">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7882AAE8">
        <w:tblPrEx>
          <w:tblCellMar>
            <w:top w:w="0" w:type="dxa"/>
            <w:left w:w="108" w:type="dxa"/>
            <w:bottom w:w="0" w:type="dxa"/>
            <w:right w:w="108" w:type="dxa"/>
          </w:tblCellMar>
        </w:tblPrEx>
        <w:trPr>
          <w:trHeight w:val="300" w:hRule="atLeast"/>
        </w:trPr>
        <w:tc>
          <w:tcPr>
            <w:tcW w:w="502" w:type="pct"/>
            <w:vMerge w:val="restart"/>
            <w:tcBorders>
              <w:top w:val="nil"/>
              <w:left w:val="single" w:color="auto" w:sz="8" w:space="0"/>
              <w:bottom w:val="single" w:color="000000" w:sz="8" w:space="0"/>
              <w:right w:val="single" w:color="auto" w:sz="8" w:space="0"/>
            </w:tcBorders>
            <w:shd w:val="clear" w:color="auto" w:fill="auto"/>
            <w:vAlign w:val="center"/>
          </w:tcPr>
          <w:p w14:paraId="74CCCF5D">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拐点</w:t>
            </w:r>
          </w:p>
        </w:tc>
        <w:tc>
          <w:tcPr>
            <w:tcW w:w="519" w:type="pct"/>
            <w:tcBorders>
              <w:top w:val="nil"/>
              <w:left w:val="nil"/>
              <w:bottom w:val="single" w:color="auto" w:sz="8" w:space="0"/>
              <w:right w:val="single" w:color="auto" w:sz="8" w:space="0"/>
            </w:tcBorders>
            <w:shd w:val="clear" w:color="auto" w:fill="auto"/>
            <w:vAlign w:val="center"/>
          </w:tcPr>
          <w:p w14:paraId="703C2455">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压力①</w:t>
            </w:r>
          </w:p>
        </w:tc>
        <w:tc>
          <w:tcPr>
            <w:tcW w:w="617" w:type="pct"/>
            <w:tcBorders>
              <w:top w:val="nil"/>
              <w:left w:val="nil"/>
              <w:bottom w:val="single" w:color="auto" w:sz="8" w:space="0"/>
              <w:right w:val="single" w:color="auto" w:sz="8" w:space="0"/>
            </w:tcBorders>
            <w:shd w:val="clear" w:color="auto" w:fill="auto"/>
            <w:vAlign w:val="center"/>
          </w:tcPr>
          <w:p w14:paraId="4E4AD354">
            <w:pPr>
              <w:widowControl/>
              <w:jc w:val="center"/>
              <w:rPr>
                <w:rFonts w:ascii="仿宋_GB2312" w:eastAsia="仿宋_GB2312"/>
                <w:kern w:val="0"/>
                <w:sz w:val="28"/>
                <w:szCs w:val="28"/>
              </w:rPr>
            </w:pPr>
            <w:r>
              <w:rPr>
                <w:rFonts w:hint="eastAsia" w:ascii="仿宋_GB2312" w:eastAsia="仿宋_GB2312"/>
                <w:kern w:val="0"/>
                <w:sz w:val="28"/>
                <w:szCs w:val="28"/>
              </w:rPr>
              <w:t>cmH</w:t>
            </w:r>
            <w:r>
              <w:rPr>
                <w:rFonts w:hint="eastAsia" w:ascii="仿宋_GB2312" w:eastAsia="仿宋_GB2312"/>
                <w:kern w:val="0"/>
                <w:sz w:val="28"/>
                <w:szCs w:val="28"/>
                <w:vertAlign w:val="subscript"/>
              </w:rPr>
              <w:t>2</w:t>
            </w:r>
            <w:r>
              <w:rPr>
                <w:rFonts w:hint="eastAsia" w:ascii="仿宋_GB2312" w:eastAsia="仿宋_GB2312"/>
                <w:kern w:val="0"/>
                <w:sz w:val="28"/>
                <w:szCs w:val="28"/>
              </w:rPr>
              <w:t>O</w:t>
            </w:r>
          </w:p>
        </w:tc>
        <w:tc>
          <w:tcPr>
            <w:tcW w:w="206" w:type="pct"/>
            <w:tcBorders>
              <w:top w:val="nil"/>
              <w:left w:val="nil"/>
              <w:bottom w:val="single" w:color="auto" w:sz="8" w:space="0"/>
              <w:right w:val="single" w:color="auto" w:sz="8" w:space="0"/>
            </w:tcBorders>
            <w:shd w:val="clear" w:color="auto" w:fill="auto"/>
            <w:vAlign w:val="center"/>
          </w:tcPr>
          <w:p w14:paraId="279A207F">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5EDD7FF3">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728288FB">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14CE011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3E0DA002">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2BC04AD7">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0B03D2FB">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2CC1957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1990BFF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6122361C">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5911DB04">
        <w:tblPrEx>
          <w:tblCellMar>
            <w:top w:w="0" w:type="dxa"/>
            <w:left w:w="108" w:type="dxa"/>
            <w:bottom w:w="0" w:type="dxa"/>
            <w:right w:w="108" w:type="dxa"/>
          </w:tblCellMar>
        </w:tblPrEx>
        <w:trPr>
          <w:trHeight w:val="300" w:hRule="atLeast"/>
        </w:trPr>
        <w:tc>
          <w:tcPr>
            <w:tcW w:w="502" w:type="pct"/>
            <w:vMerge w:val="continue"/>
            <w:tcBorders>
              <w:top w:val="nil"/>
              <w:left w:val="single" w:color="auto" w:sz="8" w:space="0"/>
              <w:bottom w:val="single" w:color="000000" w:sz="8" w:space="0"/>
              <w:right w:val="single" w:color="auto" w:sz="8" w:space="0"/>
            </w:tcBorders>
            <w:vAlign w:val="center"/>
          </w:tcPr>
          <w:p w14:paraId="47E38536">
            <w:pPr>
              <w:widowControl/>
              <w:jc w:val="left"/>
              <w:rPr>
                <w:rFonts w:ascii="仿宋_GB2312" w:hAnsi="宋体" w:eastAsia="仿宋_GB2312" w:cs="宋体"/>
                <w:kern w:val="0"/>
                <w:sz w:val="28"/>
                <w:szCs w:val="28"/>
              </w:rPr>
            </w:pPr>
          </w:p>
        </w:tc>
        <w:tc>
          <w:tcPr>
            <w:tcW w:w="519" w:type="pct"/>
            <w:tcBorders>
              <w:top w:val="nil"/>
              <w:left w:val="nil"/>
              <w:bottom w:val="single" w:color="auto" w:sz="8" w:space="0"/>
              <w:right w:val="single" w:color="auto" w:sz="8" w:space="0"/>
            </w:tcBorders>
            <w:shd w:val="clear" w:color="auto" w:fill="auto"/>
            <w:vAlign w:val="center"/>
          </w:tcPr>
          <w:p w14:paraId="7E7A36EA">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压力②</w:t>
            </w:r>
          </w:p>
        </w:tc>
        <w:tc>
          <w:tcPr>
            <w:tcW w:w="617" w:type="pct"/>
            <w:tcBorders>
              <w:top w:val="nil"/>
              <w:left w:val="nil"/>
              <w:bottom w:val="single" w:color="auto" w:sz="8" w:space="0"/>
              <w:right w:val="single" w:color="auto" w:sz="8" w:space="0"/>
            </w:tcBorders>
            <w:shd w:val="clear" w:color="auto" w:fill="auto"/>
            <w:vAlign w:val="center"/>
          </w:tcPr>
          <w:p w14:paraId="3199A818">
            <w:pPr>
              <w:widowControl/>
              <w:jc w:val="center"/>
              <w:rPr>
                <w:rFonts w:ascii="仿宋_GB2312" w:eastAsia="仿宋_GB2312"/>
                <w:kern w:val="0"/>
                <w:sz w:val="28"/>
                <w:szCs w:val="28"/>
              </w:rPr>
            </w:pPr>
            <w:r>
              <w:rPr>
                <w:rFonts w:hint="eastAsia" w:ascii="仿宋_GB2312" w:eastAsia="仿宋_GB2312"/>
                <w:kern w:val="0"/>
                <w:sz w:val="28"/>
                <w:szCs w:val="28"/>
              </w:rPr>
              <w:t>cmH</w:t>
            </w:r>
            <w:r>
              <w:rPr>
                <w:rFonts w:hint="eastAsia" w:ascii="仿宋_GB2312" w:eastAsia="仿宋_GB2312"/>
                <w:kern w:val="0"/>
                <w:sz w:val="28"/>
                <w:szCs w:val="28"/>
                <w:vertAlign w:val="subscript"/>
              </w:rPr>
              <w:t>2</w:t>
            </w:r>
            <w:r>
              <w:rPr>
                <w:rFonts w:hint="eastAsia" w:ascii="仿宋_GB2312" w:eastAsia="仿宋_GB2312"/>
                <w:kern w:val="0"/>
                <w:sz w:val="28"/>
                <w:szCs w:val="28"/>
              </w:rPr>
              <w:t>O</w:t>
            </w:r>
          </w:p>
        </w:tc>
        <w:tc>
          <w:tcPr>
            <w:tcW w:w="206" w:type="pct"/>
            <w:tcBorders>
              <w:top w:val="nil"/>
              <w:left w:val="nil"/>
              <w:bottom w:val="single" w:color="auto" w:sz="8" w:space="0"/>
              <w:right w:val="single" w:color="auto" w:sz="8" w:space="0"/>
            </w:tcBorders>
            <w:shd w:val="clear" w:color="auto" w:fill="auto"/>
            <w:vAlign w:val="center"/>
          </w:tcPr>
          <w:p w14:paraId="6ED26893">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1902B0A9">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17401465">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105B27BB">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140FFDE3">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448BB5D8">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3ECC0B24">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34D43E98">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4D7210E1">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2BFE6267">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2466EEBA">
        <w:tblPrEx>
          <w:tblCellMar>
            <w:top w:w="0" w:type="dxa"/>
            <w:left w:w="108" w:type="dxa"/>
            <w:bottom w:w="0" w:type="dxa"/>
            <w:right w:w="108" w:type="dxa"/>
          </w:tblCellMar>
        </w:tblPrEx>
        <w:trPr>
          <w:trHeight w:val="300" w:hRule="atLeast"/>
        </w:trPr>
        <w:tc>
          <w:tcPr>
            <w:tcW w:w="502" w:type="pct"/>
            <w:vMerge w:val="continue"/>
            <w:tcBorders>
              <w:top w:val="nil"/>
              <w:left w:val="single" w:color="auto" w:sz="8" w:space="0"/>
              <w:bottom w:val="single" w:color="000000" w:sz="8" w:space="0"/>
              <w:right w:val="single" w:color="auto" w:sz="8" w:space="0"/>
            </w:tcBorders>
            <w:vAlign w:val="center"/>
          </w:tcPr>
          <w:p w14:paraId="1D0BFAE0">
            <w:pPr>
              <w:widowControl/>
              <w:jc w:val="left"/>
              <w:rPr>
                <w:rFonts w:ascii="仿宋_GB2312" w:hAnsi="宋体" w:eastAsia="仿宋_GB2312" w:cs="宋体"/>
                <w:kern w:val="0"/>
                <w:sz w:val="28"/>
                <w:szCs w:val="28"/>
              </w:rPr>
            </w:pPr>
          </w:p>
        </w:tc>
        <w:tc>
          <w:tcPr>
            <w:tcW w:w="519" w:type="pct"/>
            <w:tcBorders>
              <w:top w:val="nil"/>
              <w:left w:val="nil"/>
              <w:bottom w:val="single" w:color="auto" w:sz="8" w:space="0"/>
              <w:right w:val="single" w:color="auto" w:sz="8" w:space="0"/>
            </w:tcBorders>
            <w:shd w:val="clear" w:color="auto" w:fill="auto"/>
            <w:vAlign w:val="center"/>
          </w:tcPr>
          <w:p w14:paraId="6FA435B8">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压力③</w:t>
            </w:r>
          </w:p>
        </w:tc>
        <w:tc>
          <w:tcPr>
            <w:tcW w:w="617" w:type="pct"/>
            <w:tcBorders>
              <w:top w:val="nil"/>
              <w:left w:val="nil"/>
              <w:bottom w:val="single" w:color="auto" w:sz="8" w:space="0"/>
              <w:right w:val="single" w:color="auto" w:sz="8" w:space="0"/>
            </w:tcBorders>
            <w:shd w:val="clear" w:color="auto" w:fill="auto"/>
            <w:vAlign w:val="center"/>
          </w:tcPr>
          <w:p w14:paraId="09ADC597">
            <w:pPr>
              <w:widowControl/>
              <w:jc w:val="center"/>
              <w:rPr>
                <w:rFonts w:ascii="仿宋_GB2312" w:eastAsia="仿宋_GB2312"/>
                <w:kern w:val="0"/>
                <w:sz w:val="28"/>
                <w:szCs w:val="28"/>
              </w:rPr>
            </w:pPr>
            <w:r>
              <w:rPr>
                <w:rFonts w:hint="eastAsia" w:ascii="仿宋_GB2312" w:eastAsia="仿宋_GB2312"/>
                <w:kern w:val="0"/>
                <w:sz w:val="28"/>
                <w:szCs w:val="28"/>
              </w:rPr>
              <w:t>cmH</w:t>
            </w:r>
            <w:r>
              <w:rPr>
                <w:rFonts w:hint="eastAsia" w:ascii="仿宋_GB2312" w:eastAsia="仿宋_GB2312"/>
                <w:kern w:val="0"/>
                <w:sz w:val="28"/>
                <w:szCs w:val="28"/>
                <w:vertAlign w:val="subscript"/>
              </w:rPr>
              <w:t>2</w:t>
            </w:r>
            <w:r>
              <w:rPr>
                <w:rFonts w:hint="eastAsia" w:ascii="仿宋_GB2312" w:eastAsia="仿宋_GB2312"/>
                <w:kern w:val="0"/>
                <w:sz w:val="28"/>
                <w:szCs w:val="28"/>
              </w:rPr>
              <w:t>O</w:t>
            </w:r>
          </w:p>
        </w:tc>
        <w:tc>
          <w:tcPr>
            <w:tcW w:w="206" w:type="pct"/>
            <w:tcBorders>
              <w:top w:val="nil"/>
              <w:left w:val="nil"/>
              <w:bottom w:val="single" w:color="auto" w:sz="8" w:space="0"/>
              <w:right w:val="single" w:color="auto" w:sz="8" w:space="0"/>
            </w:tcBorders>
            <w:shd w:val="clear" w:color="auto" w:fill="auto"/>
            <w:vAlign w:val="center"/>
          </w:tcPr>
          <w:p w14:paraId="6A81DAFD">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12BB1167">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2D9748B4">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1FCCE248">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1211A32D">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49AD9F9B">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24D0E83C">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7D6A00FD">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66B4D6C7">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42A08DA6">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5B796E78">
        <w:tblPrEx>
          <w:tblCellMar>
            <w:top w:w="0" w:type="dxa"/>
            <w:left w:w="108" w:type="dxa"/>
            <w:bottom w:w="0" w:type="dxa"/>
            <w:right w:w="108" w:type="dxa"/>
          </w:tblCellMar>
        </w:tblPrEx>
        <w:trPr>
          <w:trHeight w:val="300" w:hRule="atLeast"/>
        </w:trPr>
        <w:tc>
          <w:tcPr>
            <w:tcW w:w="502" w:type="pct"/>
            <w:vMerge w:val="continue"/>
            <w:tcBorders>
              <w:top w:val="nil"/>
              <w:left w:val="single" w:color="auto" w:sz="8" w:space="0"/>
              <w:bottom w:val="single" w:color="000000" w:sz="8" w:space="0"/>
              <w:right w:val="single" w:color="auto" w:sz="8" w:space="0"/>
            </w:tcBorders>
            <w:vAlign w:val="center"/>
          </w:tcPr>
          <w:p w14:paraId="1BE10BBF">
            <w:pPr>
              <w:widowControl/>
              <w:jc w:val="left"/>
              <w:rPr>
                <w:rFonts w:ascii="仿宋_GB2312" w:hAnsi="宋体" w:eastAsia="仿宋_GB2312" w:cs="宋体"/>
                <w:kern w:val="0"/>
                <w:sz w:val="28"/>
                <w:szCs w:val="28"/>
              </w:rPr>
            </w:pPr>
          </w:p>
        </w:tc>
        <w:tc>
          <w:tcPr>
            <w:tcW w:w="519" w:type="pct"/>
            <w:tcBorders>
              <w:top w:val="nil"/>
              <w:left w:val="nil"/>
              <w:bottom w:val="single" w:color="auto" w:sz="8" w:space="0"/>
              <w:right w:val="single" w:color="auto" w:sz="8" w:space="0"/>
            </w:tcBorders>
            <w:shd w:val="clear" w:color="auto" w:fill="auto"/>
            <w:vAlign w:val="center"/>
          </w:tcPr>
          <w:p w14:paraId="238C5E61">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压力④</w:t>
            </w:r>
          </w:p>
        </w:tc>
        <w:tc>
          <w:tcPr>
            <w:tcW w:w="617" w:type="pct"/>
            <w:tcBorders>
              <w:top w:val="nil"/>
              <w:left w:val="nil"/>
              <w:bottom w:val="single" w:color="auto" w:sz="8" w:space="0"/>
              <w:right w:val="single" w:color="auto" w:sz="8" w:space="0"/>
            </w:tcBorders>
            <w:shd w:val="clear" w:color="auto" w:fill="auto"/>
            <w:vAlign w:val="center"/>
          </w:tcPr>
          <w:p w14:paraId="5B0D675C">
            <w:pPr>
              <w:widowControl/>
              <w:jc w:val="center"/>
              <w:rPr>
                <w:rFonts w:ascii="仿宋_GB2312" w:eastAsia="仿宋_GB2312"/>
                <w:kern w:val="0"/>
                <w:sz w:val="28"/>
                <w:szCs w:val="28"/>
              </w:rPr>
            </w:pPr>
            <w:r>
              <w:rPr>
                <w:rFonts w:hint="eastAsia" w:ascii="仿宋_GB2312" w:eastAsia="仿宋_GB2312"/>
                <w:kern w:val="0"/>
                <w:sz w:val="28"/>
                <w:szCs w:val="28"/>
              </w:rPr>
              <w:t>cmH</w:t>
            </w:r>
            <w:r>
              <w:rPr>
                <w:rFonts w:hint="eastAsia" w:ascii="仿宋_GB2312" w:eastAsia="仿宋_GB2312"/>
                <w:kern w:val="0"/>
                <w:sz w:val="28"/>
                <w:szCs w:val="28"/>
                <w:vertAlign w:val="subscript"/>
              </w:rPr>
              <w:t>2</w:t>
            </w:r>
            <w:r>
              <w:rPr>
                <w:rFonts w:hint="eastAsia" w:ascii="仿宋_GB2312" w:eastAsia="仿宋_GB2312"/>
                <w:kern w:val="0"/>
                <w:sz w:val="28"/>
                <w:szCs w:val="28"/>
              </w:rPr>
              <w:t>O</w:t>
            </w:r>
          </w:p>
        </w:tc>
        <w:tc>
          <w:tcPr>
            <w:tcW w:w="206" w:type="pct"/>
            <w:tcBorders>
              <w:top w:val="nil"/>
              <w:left w:val="nil"/>
              <w:bottom w:val="single" w:color="auto" w:sz="8" w:space="0"/>
              <w:right w:val="single" w:color="auto" w:sz="8" w:space="0"/>
            </w:tcBorders>
            <w:shd w:val="clear" w:color="auto" w:fill="auto"/>
            <w:vAlign w:val="center"/>
          </w:tcPr>
          <w:p w14:paraId="2C431023">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23CECEC8">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4FDF8DBF">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4E4DAFFA">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1564F0A0">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5C6FE5B1">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4BCBA0A6">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5DDEE8FA">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4B9CB582">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55EC0B46">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3B8C66AB">
        <w:tblPrEx>
          <w:tblCellMar>
            <w:top w:w="0" w:type="dxa"/>
            <w:left w:w="108" w:type="dxa"/>
            <w:bottom w:w="0" w:type="dxa"/>
            <w:right w:w="108" w:type="dxa"/>
          </w:tblCellMar>
        </w:tblPrEx>
        <w:trPr>
          <w:trHeight w:val="300" w:hRule="atLeast"/>
        </w:trPr>
        <w:tc>
          <w:tcPr>
            <w:tcW w:w="502" w:type="pct"/>
            <w:vMerge w:val="continue"/>
            <w:tcBorders>
              <w:top w:val="nil"/>
              <w:left w:val="single" w:color="auto" w:sz="8" w:space="0"/>
              <w:bottom w:val="single" w:color="000000" w:sz="8" w:space="0"/>
              <w:right w:val="single" w:color="auto" w:sz="8" w:space="0"/>
            </w:tcBorders>
            <w:vAlign w:val="center"/>
          </w:tcPr>
          <w:p w14:paraId="5C8FDCF7">
            <w:pPr>
              <w:widowControl/>
              <w:jc w:val="left"/>
              <w:rPr>
                <w:rFonts w:ascii="仿宋_GB2312" w:hAnsi="宋体" w:eastAsia="仿宋_GB2312" w:cs="宋体"/>
                <w:kern w:val="0"/>
                <w:sz w:val="28"/>
                <w:szCs w:val="28"/>
              </w:rPr>
            </w:pPr>
          </w:p>
        </w:tc>
        <w:tc>
          <w:tcPr>
            <w:tcW w:w="519" w:type="pct"/>
            <w:tcBorders>
              <w:top w:val="nil"/>
              <w:left w:val="nil"/>
              <w:bottom w:val="single" w:color="auto" w:sz="8" w:space="0"/>
              <w:right w:val="single" w:color="auto" w:sz="8" w:space="0"/>
            </w:tcBorders>
            <w:shd w:val="clear" w:color="auto" w:fill="auto"/>
            <w:vAlign w:val="center"/>
          </w:tcPr>
          <w:p w14:paraId="161CD4BD">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流速⑤</w:t>
            </w:r>
          </w:p>
        </w:tc>
        <w:tc>
          <w:tcPr>
            <w:tcW w:w="617" w:type="pct"/>
            <w:tcBorders>
              <w:top w:val="nil"/>
              <w:left w:val="nil"/>
              <w:bottom w:val="single" w:color="auto" w:sz="8" w:space="0"/>
              <w:right w:val="single" w:color="auto" w:sz="8" w:space="0"/>
            </w:tcBorders>
            <w:shd w:val="clear" w:color="auto" w:fill="auto"/>
            <w:vAlign w:val="center"/>
          </w:tcPr>
          <w:p w14:paraId="6B1A0470">
            <w:pPr>
              <w:widowControl/>
              <w:jc w:val="center"/>
              <w:rPr>
                <w:rFonts w:ascii="仿宋_GB2312" w:eastAsia="仿宋_GB2312"/>
                <w:kern w:val="0"/>
                <w:sz w:val="28"/>
                <w:szCs w:val="28"/>
              </w:rPr>
            </w:pPr>
            <w:r>
              <w:rPr>
                <w:rFonts w:hint="eastAsia" w:ascii="仿宋_GB2312" w:eastAsia="仿宋_GB2312"/>
                <w:kern w:val="0"/>
                <w:sz w:val="28"/>
                <w:szCs w:val="28"/>
              </w:rPr>
              <w:t>L/min</w:t>
            </w:r>
          </w:p>
        </w:tc>
        <w:tc>
          <w:tcPr>
            <w:tcW w:w="206" w:type="pct"/>
            <w:tcBorders>
              <w:top w:val="nil"/>
              <w:left w:val="nil"/>
              <w:bottom w:val="single" w:color="auto" w:sz="8" w:space="0"/>
              <w:right w:val="single" w:color="auto" w:sz="8" w:space="0"/>
            </w:tcBorders>
            <w:shd w:val="clear" w:color="auto" w:fill="auto"/>
            <w:vAlign w:val="center"/>
          </w:tcPr>
          <w:p w14:paraId="60293C37">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28F7E9AA">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49CBF6E0">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30CABA3B">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6C572E84">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67A069EC">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100C7933">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499253AC">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0DA0C587">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6BC68FED">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48B64508">
        <w:tblPrEx>
          <w:tblCellMar>
            <w:top w:w="0" w:type="dxa"/>
            <w:left w:w="108" w:type="dxa"/>
            <w:bottom w:w="0" w:type="dxa"/>
            <w:right w:w="108" w:type="dxa"/>
          </w:tblCellMar>
        </w:tblPrEx>
        <w:trPr>
          <w:trHeight w:val="300" w:hRule="atLeast"/>
        </w:trPr>
        <w:tc>
          <w:tcPr>
            <w:tcW w:w="502" w:type="pct"/>
            <w:vMerge w:val="continue"/>
            <w:tcBorders>
              <w:top w:val="nil"/>
              <w:left w:val="single" w:color="auto" w:sz="8" w:space="0"/>
              <w:bottom w:val="single" w:color="000000" w:sz="8" w:space="0"/>
              <w:right w:val="single" w:color="auto" w:sz="8" w:space="0"/>
            </w:tcBorders>
            <w:vAlign w:val="center"/>
          </w:tcPr>
          <w:p w14:paraId="144B736F">
            <w:pPr>
              <w:widowControl/>
              <w:jc w:val="left"/>
              <w:rPr>
                <w:rFonts w:ascii="仿宋_GB2312" w:hAnsi="宋体" w:eastAsia="仿宋_GB2312" w:cs="宋体"/>
                <w:kern w:val="0"/>
                <w:sz w:val="28"/>
                <w:szCs w:val="28"/>
              </w:rPr>
            </w:pPr>
          </w:p>
        </w:tc>
        <w:tc>
          <w:tcPr>
            <w:tcW w:w="519" w:type="pct"/>
            <w:tcBorders>
              <w:top w:val="nil"/>
              <w:left w:val="nil"/>
              <w:bottom w:val="single" w:color="auto" w:sz="8" w:space="0"/>
              <w:right w:val="single" w:color="auto" w:sz="8" w:space="0"/>
            </w:tcBorders>
            <w:shd w:val="clear" w:color="auto" w:fill="auto"/>
            <w:vAlign w:val="center"/>
          </w:tcPr>
          <w:p w14:paraId="2D981D7A">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流速⑥</w:t>
            </w:r>
          </w:p>
        </w:tc>
        <w:tc>
          <w:tcPr>
            <w:tcW w:w="617" w:type="pct"/>
            <w:tcBorders>
              <w:top w:val="nil"/>
              <w:left w:val="nil"/>
              <w:bottom w:val="single" w:color="auto" w:sz="8" w:space="0"/>
              <w:right w:val="single" w:color="auto" w:sz="8" w:space="0"/>
            </w:tcBorders>
            <w:shd w:val="clear" w:color="auto" w:fill="auto"/>
            <w:vAlign w:val="center"/>
          </w:tcPr>
          <w:p w14:paraId="3FAF94FB">
            <w:pPr>
              <w:widowControl/>
              <w:jc w:val="center"/>
              <w:rPr>
                <w:rFonts w:ascii="仿宋_GB2312" w:eastAsia="仿宋_GB2312"/>
                <w:kern w:val="0"/>
                <w:sz w:val="28"/>
                <w:szCs w:val="28"/>
              </w:rPr>
            </w:pPr>
            <w:r>
              <w:rPr>
                <w:rFonts w:hint="eastAsia" w:ascii="仿宋_GB2312" w:eastAsia="仿宋_GB2312"/>
                <w:kern w:val="0"/>
                <w:sz w:val="28"/>
                <w:szCs w:val="28"/>
              </w:rPr>
              <w:t>L/min</w:t>
            </w:r>
          </w:p>
        </w:tc>
        <w:tc>
          <w:tcPr>
            <w:tcW w:w="206" w:type="pct"/>
            <w:tcBorders>
              <w:top w:val="nil"/>
              <w:left w:val="nil"/>
              <w:bottom w:val="single" w:color="auto" w:sz="8" w:space="0"/>
              <w:right w:val="single" w:color="auto" w:sz="8" w:space="0"/>
            </w:tcBorders>
            <w:shd w:val="clear" w:color="auto" w:fill="auto"/>
            <w:vAlign w:val="center"/>
          </w:tcPr>
          <w:p w14:paraId="4DF33BD9">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074BC56F">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00E1DF63">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744384F2">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5D5029A8">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675AED11">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2645999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57230037">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74CC1232">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53E30EA9">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2F254299">
        <w:tblPrEx>
          <w:tblCellMar>
            <w:top w:w="0" w:type="dxa"/>
            <w:left w:w="108" w:type="dxa"/>
            <w:bottom w:w="0" w:type="dxa"/>
            <w:right w:w="108" w:type="dxa"/>
          </w:tblCellMar>
        </w:tblPrEx>
        <w:trPr>
          <w:trHeight w:val="300" w:hRule="atLeast"/>
        </w:trPr>
        <w:tc>
          <w:tcPr>
            <w:tcW w:w="502" w:type="pct"/>
            <w:vMerge w:val="continue"/>
            <w:tcBorders>
              <w:top w:val="nil"/>
              <w:left w:val="single" w:color="auto" w:sz="8" w:space="0"/>
              <w:bottom w:val="single" w:color="000000" w:sz="8" w:space="0"/>
              <w:right w:val="single" w:color="auto" w:sz="8" w:space="0"/>
            </w:tcBorders>
            <w:vAlign w:val="center"/>
          </w:tcPr>
          <w:p w14:paraId="1383235E">
            <w:pPr>
              <w:widowControl/>
              <w:jc w:val="left"/>
              <w:rPr>
                <w:rFonts w:ascii="仿宋_GB2312" w:hAnsi="宋体" w:eastAsia="仿宋_GB2312" w:cs="宋体"/>
                <w:kern w:val="0"/>
                <w:sz w:val="28"/>
                <w:szCs w:val="28"/>
              </w:rPr>
            </w:pPr>
          </w:p>
        </w:tc>
        <w:tc>
          <w:tcPr>
            <w:tcW w:w="519" w:type="pct"/>
            <w:tcBorders>
              <w:top w:val="nil"/>
              <w:left w:val="nil"/>
              <w:bottom w:val="single" w:color="auto" w:sz="8" w:space="0"/>
              <w:right w:val="single" w:color="auto" w:sz="8" w:space="0"/>
            </w:tcBorders>
            <w:shd w:val="clear" w:color="auto" w:fill="auto"/>
            <w:vAlign w:val="center"/>
          </w:tcPr>
          <w:p w14:paraId="28F0905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流速⑦</w:t>
            </w:r>
          </w:p>
        </w:tc>
        <w:tc>
          <w:tcPr>
            <w:tcW w:w="617" w:type="pct"/>
            <w:tcBorders>
              <w:top w:val="nil"/>
              <w:left w:val="nil"/>
              <w:bottom w:val="single" w:color="auto" w:sz="8" w:space="0"/>
              <w:right w:val="single" w:color="auto" w:sz="8" w:space="0"/>
            </w:tcBorders>
            <w:shd w:val="clear" w:color="auto" w:fill="auto"/>
            <w:vAlign w:val="center"/>
          </w:tcPr>
          <w:p w14:paraId="2FDEF0A4">
            <w:pPr>
              <w:widowControl/>
              <w:jc w:val="center"/>
              <w:rPr>
                <w:rFonts w:ascii="仿宋_GB2312" w:eastAsia="仿宋_GB2312"/>
                <w:kern w:val="0"/>
                <w:sz w:val="28"/>
                <w:szCs w:val="28"/>
              </w:rPr>
            </w:pPr>
            <w:r>
              <w:rPr>
                <w:rFonts w:hint="eastAsia" w:ascii="仿宋_GB2312" w:eastAsia="仿宋_GB2312"/>
                <w:kern w:val="0"/>
                <w:sz w:val="28"/>
                <w:szCs w:val="28"/>
              </w:rPr>
              <w:t>L/min</w:t>
            </w:r>
          </w:p>
        </w:tc>
        <w:tc>
          <w:tcPr>
            <w:tcW w:w="206" w:type="pct"/>
            <w:tcBorders>
              <w:top w:val="nil"/>
              <w:left w:val="nil"/>
              <w:bottom w:val="single" w:color="auto" w:sz="8" w:space="0"/>
              <w:right w:val="single" w:color="auto" w:sz="8" w:space="0"/>
            </w:tcBorders>
            <w:shd w:val="clear" w:color="auto" w:fill="auto"/>
            <w:vAlign w:val="center"/>
          </w:tcPr>
          <w:p w14:paraId="16C2878A">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3FD6894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245E5CD0">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531B6B7B">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5DF7384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7037F461">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2DA72A98">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0119DEB7">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5881CF9F">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0706E8FF">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6B4BE7EF">
        <w:tblPrEx>
          <w:tblCellMar>
            <w:top w:w="0" w:type="dxa"/>
            <w:left w:w="108" w:type="dxa"/>
            <w:bottom w:w="0" w:type="dxa"/>
            <w:right w:w="108" w:type="dxa"/>
          </w:tblCellMar>
        </w:tblPrEx>
        <w:trPr>
          <w:trHeight w:val="300" w:hRule="atLeast"/>
        </w:trPr>
        <w:tc>
          <w:tcPr>
            <w:tcW w:w="502" w:type="pct"/>
            <w:vMerge w:val="continue"/>
            <w:tcBorders>
              <w:top w:val="nil"/>
              <w:left w:val="single" w:color="auto" w:sz="8" w:space="0"/>
              <w:bottom w:val="single" w:color="000000" w:sz="8" w:space="0"/>
              <w:right w:val="single" w:color="auto" w:sz="8" w:space="0"/>
            </w:tcBorders>
            <w:vAlign w:val="center"/>
          </w:tcPr>
          <w:p w14:paraId="4378B7C1">
            <w:pPr>
              <w:widowControl/>
              <w:jc w:val="left"/>
              <w:rPr>
                <w:rFonts w:ascii="仿宋_GB2312" w:hAnsi="宋体" w:eastAsia="仿宋_GB2312" w:cs="宋体"/>
                <w:kern w:val="0"/>
                <w:sz w:val="28"/>
                <w:szCs w:val="28"/>
              </w:rPr>
            </w:pPr>
          </w:p>
        </w:tc>
        <w:tc>
          <w:tcPr>
            <w:tcW w:w="519" w:type="pct"/>
            <w:tcBorders>
              <w:top w:val="nil"/>
              <w:left w:val="nil"/>
              <w:bottom w:val="single" w:color="auto" w:sz="8" w:space="0"/>
              <w:right w:val="single" w:color="auto" w:sz="8" w:space="0"/>
            </w:tcBorders>
            <w:shd w:val="clear" w:color="auto" w:fill="auto"/>
            <w:vAlign w:val="center"/>
          </w:tcPr>
          <w:p w14:paraId="092E4E98">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流速⑧</w:t>
            </w:r>
          </w:p>
        </w:tc>
        <w:tc>
          <w:tcPr>
            <w:tcW w:w="617" w:type="pct"/>
            <w:tcBorders>
              <w:top w:val="nil"/>
              <w:left w:val="nil"/>
              <w:bottom w:val="single" w:color="auto" w:sz="8" w:space="0"/>
              <w:right w:val="single" w:color="auto" w:sz="8" w:space="0"/>
            </w:tcBorders>
            <w:shd w:val="clear" w:color="auto" w:fill="auto"/>
            <w:vAlign w:val="center"/>
          </w:tcPr>
          <w:p w14:paraId="5089CAC6">
            <w:pPr>
              <w:widowControl/>
              <w:jc w:val="center"/>
              <w:rPr>
                <w:rFonts w:ascii="仿宋_GB2312" w:eastAsia="仿宋_GB2312"/>
                <w:kern w:val="0"/>
                <w:sz w:val="28"/>
                <w:szCs w:val="28"/>
              </w:rPr>
            </w:pPr>
            <w:r>
              <w:rPr>
                <w:rFonts w:hint="eastAsia" w:ascii="仿宋_GB2312" w:eastAsia="仿宋_GB2312"/>
                <w:kern w:val="0"/>
                <w:sz w:val="28"/>
                <w:szCs w:val="28"/>
              </w:rPr>
              <w:t>L/min</w:t>
            </w:r>
          </w:p>
        </w:tc>
        <w:tc>
          <w:tcPr>
            <w:tcW w:w="206" w:type="pct"/>
            <w:tcBorders>
              <w:top w:val="nil"/>
              <w:left w:val="nil"/>
              <w:bottom w:val="single" w:color="auto" w:sz="8" w:space="0"/>
              <w:right w:val="single" w:color="auto" w:sz="8" w:space="0"/>
            </w:tcBorders>
            <w:shd w:val="clear" w:color="auto" w:fill="auto"/>
            <w:vAlign w:val="center"/>
          </w:tcPr>
          <w:p w14:paraId="5134F88D">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78302544">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6A129F0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676CD7F1">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55A51C0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3A322751">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311B2D49">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7AA521B5">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2C0B14F1">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402F2284">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0F01470C">
        <w:tblPrEx>
          <w:tblCellMar>
            <w:top w:w="0" w:type="dxa"/>
            <w:left w:w="108" w:type="dxa"/>
            <w:bottom w:w="0" w:type="dxa"/>
            <w:right w:w="108" w:type="dxa"/>
          </w:tblCellMar>
        </w:tblPrEx>
        <w:trPr>
          <w:trHeight w:val="300" w:hRule="atLeast"/>
        </w:trPr>
        <w:tc>
          <w:tcPr>
            <w:tcW w:w="502" w:type="pct"/>
            <w:vMerge w:val="continue"/>
            <w:tcBorders>
              <w:top w:val="nil"/>
              <w:left w:val="single" w:color="auto" w:sz="8" w:space="0"/>
              <w:bottom w:val="single" w:color="000000" w:sz="8" w:space="0"/>
              <w:right w:val="single" w:color="auto" w:sz="8" w:space="0"/>
            </w:tcBorders>
            <w:vAlign w:val="center"/>
          </w:tcPr>
          <w:p w14:paraId="5A0DAEB0">
            <w:pPr>
              <w:widowControl/>
              <w:jc w:val="left"/>
              <w:rPr>
                <w:rFonts w:ascii="仿宋_GB2312" w:hAnsi="宋体" w:eastAsia="仿宋_GB2312" w:cs="宋体"/>
                <w:kern w:val="0"/>
                <w:sz w:val="28"/>
                <w:szCs w:val="28"/>
              </w:rPr>
            </w:pPr>
          </w:p>
        </w:tc>
        <w:tc>
          <w:tcPr>
            <w:tcW w:w="519" w:type="pct"/>
            <w:tcBorders>
              <w:top w:val="nil"/>
              <w:left w:val="nil"/>
              <w:bottom w:val="single" w:color="auto" w:sz="8" w:space="0"/>
              <w:right w:val="single" w:color="auto" w:sz="8" w:space="0"/>
            </w:tcBorders>
            <w:shd w:val="clear" w:color="auto" w:fill="auto"/>
            <w:vAlign w:val="center"/>
          </w:tcPr>
          <w:p w14:paraId="59F3814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流速⑨</w:t>
            </w:r>
          </w:p>
        </w:tc>
        <w:tc>
          <w:tcPr>
            <w:tcW w:w="617" w:type="pct"/>
            <w:tcBorders>
              <w:top w:val="nil"/>
              <w:left w:val="nil"/>
              <w:bottom w:val="single" w:color="auto" w:sz="8" w:space="0"/>
              <w:right w:val="single" w:color="auto" w:sz="8" w:space="0"/>
            </w:tcBorders>
            <w:shd w:val="clear" w:color="auto" w:fill="auto"/>
            <w:vAlign w:val="center"/>
          </w:tcPr>
          <w:p w14:paraId="6DB498B3">
            <w:pPr>
              <w:widowControl/>
              <w:jc w:val="center"/>
              <w:rPr>
                <w:rFonts w:ascii="仿宋_GB2312" w:eastAsia="仿宋_GB2312"/>
                <w:kern w:val="0"/>
                <w:sz w:val="28"/>
                <w:szCs w:val="28"/>
              </w:rPr>
            </w:pPr>
            <w:r>
              <w:rPr>
                <w:rFonts w:hint="eastAsia" w:ascii="仿宋_GB2312" w:eastAsia="仿宋_GB2312"/>
                <w:kern w:val="0"/>
                <w:sz w:val="28"/>
                <w:szCs w:val="28"/>
              </w:rPr>
              <w:t>L/min</w:t>
            </w:r>
          </w:p>
        </w:tc>
        <w:tc>
          <w:tcPr>
            <w:tcW w:w="206" w:type="pct"/>
            <w:tcBorders>
              <w:top w:val="nil"/>
              <w:left w:val="nil"/>
              <w:bottom w:val="single" w:color="auto" w:sz="8" w:space="0"/>
              <w:right w:val="single" w:color="auto" w:sz="8" w:space="0"/>
            </w:tcBorders>
            <w:shd w:val="clear" w:color="auto" w:fill="auto"/>
            <w:vAlign w:val="center"/>
          </w:tcPr>
          <w:p w14:paraId="44530589">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40083202">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15735D62">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05D2263D">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6A119706">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3FDBA91B">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68F3482C">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5824B83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13BD10D2">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573B0A26">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68926EAC">
        <w:tblPrEx>
          <w:tblCellMar>
            <w:top w:w="0" w:type="dxa"/>
            <w:left w:w="108" w:type="dxa"/>
            <w:bottom w:w="0" w:type="dxa"/>
            <w:right w:w="108" w:type="dxa"/>
          </w:tblCellMar>
        </w:tblPrEx>
        <w:trPr>
          <w:trHeight w:val="300" w:hRule="atLeast"/>
        </w:trPr>
        <w:tc>
          <w:tcPr>
            <w:tcW w:w="502" w:type="pct"/>
            <w:vMerge w:val="continue"/>
            <w:tcBorders>
              <w:top w:val="nil"/>
              <w:left w:val="single" w:color="auto" w:sz="8" w:space="0"/>
              <w:bottom w:val="single" w:color="000000" w:sz="8" w:space="0"/>
              <w:right w:val="single" w:color="auto" w:sz="8" w:space="0"/>
            </w:tcBorders>
            <w:vAlign w:val="center"/>
          </w:tcPr>
          <w:p w14:paraId="3F0F58C6">
            <w:pPr>
              <w:widowControl/>
              <w:jc w:val="left"/>
              <w:rPr>
                <w:rFonts w:ascii="仿宋_GB2312" w:hAnsi="宋体" w:eastAsia="仿宋_GB2312" w:cs="宋体"/>
                <w:kern w:val="0"/>
                <w:sz w:val="28"/>
                <w:szCs w:val="28"/>
              </w:rPr>
            </w:pPr>
          </w:p>
        </w:tc>
        <w:tc>
          <w:tcPr>
            <w:tcW w:w="519" w:type="pct"/>
            <w:tcBorders>
              <w:top w:val="nil"/>
              <w:left w:val="nil"/>
              <w:bottom w:val="single" w:color="auto" w:sz="8" w:space="0"/>
              <w:right w:val="single" w:color="auto" w:sz="8" w:space="0"/>
            </w:tcBorders>
            <w:shd w:val="clear" w:color="auto" w:fill="auto"/>
            <w:vAlign w:val="center"/>
          </w:tcPr>
          <w:p w14:paraId="4ACD6D5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潮气量⑩</w:t>
            </w:r>
          </w:p>
        </w:tc>
        <w:tc>
          <w:tcPr>
            <w:tcW w:w="617" w:type="pct"/>
            <w:tcBorders>
              <w:top w:val="nil"/>
              <w:left w:val="nil"/>
              <w:bottom w:val="single" w:color="auto" w:sz="8" w:space="0"/>
              <w:right w:val="single" w:color="auto" w:sz="8" w:space="0"/>
            </w:tcBorders>
            <w:shd w:val="clear" w:color="auto" w:fill="auto"/>
            <w:vAlign w:val="center"/>
          </w:tcPr>
          <w:p w14:paraId="45E93C90">
            <w:pPr>
              <w:widowControl/>
              <w:jc w:val="center"/>
              <w:rPr>
                <w:rFonts w:ascii="仿宋_GB2312" w:eastAsia="仿宋_GB2312"/>
                <w:kern w:val="0"/>
                <w:sz w:val="28"/>
                <w:szCs w:val="28"/>
              </w:rPr>
            </w:pPr>
            <w:r>
              <w:rPr>
                <w:rFonts w:hint="eastAsia" w:ascii="仿宋_GB2312" w:eastAsia="仿宋_GB2312"/>
                <w:kern w:val="0"/>
                <w:sz w:val="28"/>
                <w:szCs w:val="28"/>
              </w:rPr>
              <w:t>mL</w:t>
            </w:r>
          </w:p>
        </w:tc>
        <w:tc>
          <w:tcPr>
            <w:tcW w:w="206" w:type="pct"/>
            <w:tcBorders>
              <w:top w:val="nil"/>
              <w:left w:val="nil"/>
              <w:bottom w:val="single" w:color="auto" w:sz="8" w:space="0"/>
              <w:right w:val="single" w:color="auto" w:sz="8" w:space="0"/>
            </w:tcBorders>
            <w:shd w:val="clear" w:color="auto" w:fill="auto"/>
            <w:vAlign w:val="center"/>
          </w:tcPr>
          <w:p w14:paraId="1FC5277F">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6988FC0A">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473A01B8">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1760D3E0">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78ACFEA8">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1FB25B69">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18697FAC">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2253A9A0">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7E9F252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3A624F8C">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77BA3823">
        <w:tblPrEx>
          <w:tblCellMar>
            <w:top w:w="0" w:type="dxa"/>
            <w:left w:w="108" w:type="dxa"/>
            <w:bottom w:w="0" w:type="dxa"/>
            <w:right w:w="108" w:type="dxa"/>
          </w:tblCellMar>
        </w:tblPrEx>
        <w:trPr>
          <w:trHeight w:val="1065" w:hRule="atLeast"/>
        </w:trPr>
        <w:tc>
          <w:tcPr>
            <w:tcW w:w="502" w:type="pct"/>
            <w:vMerge w:val="continue"/>
            <w:tcBorders>
              <w:top w:val="nil"/>
              <w:left w:val="single" w:color="auto" w:sz="8" w:space="0"/>
              <w:bottom w:val="single" w:color="000000" w:sz="8" w:space="0"/>
              <w:right w:val="single" w:color="auto" w:sz="8" w:space="0"/>
            </w:tcBorders>
            <w:vAlign w:val="center"/>
          </w:tcPr>
          <w:p w14:paraId="54AC9AE5">
            <w:pPr>
              <w:widowControl/>
              <w:jc w:val="left"/>
              <w:rPr>
                <w:rFonts w:ascii="仿宋_GB2312" w:hAnsi="宋体" w:eastAsia="仿宋_GB2312" w:cs="宋体"/>
                <w:kern w:val="0"/>
                <w:sz w:val="28"/>
                <w:szCs w:val="28"/>
              </w:rPr>
            </w:pPr>
          </w:p>
        </w:tc>
        <w:tc>
          <w:tcPr>
            <w:tcW w:w="519" w:type="pct"/>
            <w:tcBorders>
              <w:top w:val="nil"/>
              <w:left w:val="nil"/>
              <w:bottom w:val="single" w:color="auto" w:sz="8" w:space="0"/>
              <w:right w:val="single" w:color="auto" w:sz="8" w:space="0"/>
            </w:tcBorders>
            <w:shd w:val="clear" w:color="auto" w:fill="auto"/>
            <w:vAlign w:val="center"/>
          </w:tcPr>
          <w:p w14:paraId="7CBF17E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潮气量</w:t>
            </w:r>
            <w:r>
              <w:rPr>
                <w:rFonts w:ascii="Cambria Math" w:hAnsi="Cambria Math" w:eastAsia="仿宋_GB2312" w:cs="Cambria Math"/>
                <w:i/>
                <w:iCs/>
                <w:kern w:val="0"/>
                <w:sz w:val="28"/>
                <w:szCs w:val="28"/>
              </w:rPr>
              <w:t>⑪</w:t>
            </w:r>
          </w:p>
        </w:tc>
        <w:tc>
          <w:tcPr>
            <w:tcW w:w="617" w:type="pct"/>
            <w:tcBorders>
              <w:top w:val="nil"/>
              <w:left w:val="nil"/>
              <w:bottom w:val="single" w:color="auto" w:sz="8" w:space="0"/>
              <w:right w:val="single" w:color="auto" w:sz="8" w:space="0"/>
            </w:tcBorders>
            <w:shd w:val="clear" w:color="auto" w:fill="auto"/>
            <w:vAlign w:val="center"/>
          </w:tcPr>
          <w:p w14:paraId="4A06165F">
            <w:pPr>
              <w:widowControl/>
              <w:jc w:val="center"/>
              <w:rPr>
                <w:rFonts w:ascii="仿宋_GB2312" w:eastAsia="仿宋_GB2312"/>
                <w:kern w:val="0"/>
                <w:sz w:val="28"/>
                <w:szCs w:val="28"/>
              </w:rPr>
            </w:pPr>
            <w:r>
              <w:rPr>
                <w:rFonts w:hint="eastAsia" w:ascii="仿宋_GB2312" w:eastAsia="仿宋_GB2312"/>
                <w:kern w:val="0"/>
                <w:sz w:val="28"/>
                <w:szCs w:val="28"/>
              </w:rPr>
              <w:t>mL</w:t>
            </w:r>
          </w:p>
        </w:tc>
        <w:tc>
          <w:tcPr>
            <w:tcW w:w="206" w:type="pct"/>
            <w:tcBorders>
              <w:top w:val="nil"/>
              <w:left w:val="nil"/>
              <w:bottom w:val="single" w:color="auto" w:sz="8" w:space="0"/>
              <w:right w:val="single" w:color="auto" w:sz="8" w:space="0"/>
            </w:tcBorders>
            <w:shd w:val="clear" w:color="auto" w:fill="auto"/>
            <w:vAlign w:val="center"/>
          </w:tcPr>
          <w:p w14:paraId="66951F97">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01E9BEF9">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7F500522">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3BE1EFC7">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65B86A73">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6ED8B0B7">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0A004EC0">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48D9CF60">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66F5757B">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71A8E731">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6D615CC1">
        <w:tblPrEx>
          <w:tblCellMar>
            <w:top w:w="0" w:type="dxa"/>
            <w:left w:w="108" w:type="dxa"/>
            <w:bottom w:w="0" w:type="dxa"/>
            <w:right w:w="108" w:type="dxa"/>
          </w:tblCellMar>
        </w:tblPrEx>
        <w:trPr>
          <w:trHeight w:val="1065" w:hRule="atLeast"/>
        </w:trPr>
        <w:tc>
          <w:tcPr>
            <w:tcW w:w="502" w:type="pct"/>
            <w:vMerge w:val="continue"/>
            <w:tcBorders>
              <w:top w:val="nil"/>
              <w:left w:val="single" w:color="auto" w:sz="8" w:space="0"/>
              <w:bottom w:val="single" w:color="000000" w:sz="8" w:space="0"/>
              <w:right w:val="single" w:color="auto" w:sz="8" w:space="0"/>
            </w:tcBorders>
            <w:vAlign w:val="center"/>
          </w:tcPr>
          <w:p w14:paraId="3E0881CA">
            <w:pPr>
              <w:widowControl/>
              <w:jc w:val="left"/>
              <w:rPr>
                <w:rFonts w:ascii="仿宋_GB2312" w:hAnsi="宋体" w:eastAsia="仿宋_GB2312" w:cs="宋体"/>
                <w:kern w:val="0"/>
                <w:sz w:val="28"/>
                <w:szCs w:val="28"/>
              </w:rPr>
            </w:pPr>
          </w:p>
        </w:tc>
        <w:tc>
          <w:tcPr>
            <w:tcW w:w="519" w:type="pct"/>
            <w:tcBorders>
              <w:top w:val="nil"/>
              <w:left w:val="nil"/>
              <w:bottom w:val="single" w:color="auto" w:sz="8" w:space="0"/>
              <w:right w:val="single" w:color="auto" w:sz="8" w:space="0"/>
            </w:tcBorders>
            <w:shd w:val="clear" w:color="auto" w:fill="auto"/>
            <w:vAlign w:val="center"/>
          </w:tcPr>
          <w:p w14:paraId="6767EB96">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潮气量</w:t>
            </w:r>
            <w:r>
              <w:rPr>
                <w:rFonts w:ascii="Cambria Math" w:hAnsi="Cambria Math" w:eastAsia="仿宋_GB2312" w:cs="Cambria Math"/>
                <w:i/>
                <w:iCs/>
                <w:kern w:val="0"/>
                <w:sz w:val="28"/>
                <w:szCs w:val="28"/>
              </w:rPr>
              <w:t>⑫</w:t>
            </w:r>
          </w:p>
        </w:tc>
        <w:tc>
          <w:tcPr>
            <w:tcW w:w="617" w:type="pct"/>
            <w:tcBorders>
              <w:top w:val="nil"/>
              <w:left w:val="nil"/>
              <w:bottom w:val="single" w:color="auto" w:sz="8" w:space="0"/>
              <w:right w:val="single" w:color="auto" w:sz="8" w:space="0"/>
            </w:tcBorders>
            <w:shd w:val="clear" w:color="auto" w:fill="auto"/>
            <w:vAlign w:val="center"/>
          </w:tcPr>
          <w:p w14:paraId="18C5C518">
            <w:pPr>
              <w:widowControl/>
              <w:jc w:val="center"/>
              <w:rPr>
                <w:rFonts w:ascii="仿宋_GB2312" w:eastAsia="仿宋_GB2312"/>
                <w:kern w:val="0"/>
                <w:sz w:val="28"/>
                <w:szCs w:val="28"/>
              </w:rPr>
            </w:pPr>
            <w:r>
              <w:rPr>
                <w:rFonts w:hint="eastAsia" w:ascii="仿宋_GB2312" w:eastAsia="仿宋_GB2312"/>
                <w:kern w:val="0"/>
                <w:sz w:val="28"/>
                <w:szCs w:val="28"/>
              </w:rPr>
              <w:t>mL</w:t>
            </w:r>
          </w:p>
        </w:tc>
        <w:tc>
          <w:tcPr>
            <w:tcW w:w="206" w:type="pct"/>
            <w:tcBorders>
              <w:top w:val="nil"/>
              <w:left w:val="nil"/>
              <w:bottom w:val="single" w:color="auto" w:sz="8" w:space="0"/>
              <w:right w:val="single" w:color="auto" w:sz="8" w:space="0"/>
            </w:tcBorders>
            <w:shd w:val="clear" w:color="auto" w:fill="auto"/>
            <w:vAlign w:val="center"/>
          </w:tcPr>
          <w:p w14:paraId="7626D6E6">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4B0F23B3">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1ED96451">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14EA4C8C">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7B875785">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12358028">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29823528">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033E02F9">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7D04A9D9">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36F4EE29">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3B7D1E39">
        <w:tblPrEx>
          <w:tblCellMar>
            <w:top w:w="0" w:type="dxa"/>
            <w:left w:w="108" w:type="dxa"/>
            <w:bottom w:w="0" w:type="dxa"/>
            <w:right w:w="108" w:type="dxa"/>
          </w:tblCellMar>
        </w:tblPrEx>
        <w:trPr>
          <w:trHeight w:val="1065" w:hRule="atLeast"/>
        </w:trPr>
        <w:tc>
          <w:tcPr>
            <w:tcW w:w="502" w:type="pct"/>
            <w:vMerge w:val="continue"/>
            <w:tcBorders>
              <w:top w:val="nil"/>
              <w:left w:val="single" w:color="auto" w:sz="8" w:space="0"/>
              <w:bottom w:val="single" w:color="000000" w:sz="8" w:space="0"/>
              <w:right w:val="single" w:color="auto" w:sz="8" w:space="0"/>
            </w:tcBorders>
            <w:vAlign w:val="center"/>
          </w:tcPr>
          <w:p w14:paraId="4B304B5A">
            <w:pPr>
              <w:widowControl/>
              <w:jc w:val="left"/>
              <w:rPr>
                <w:rFonts w:ascii="仿宋_GB2312" w:hAnsi="宋体" w:eastAsia="仿宋_GB2312" w:cs="宋体"/>
                <w:kern w:val="0"/>
                <w:sz w:val="28"/>
                <w:szCs w:val="28"/>
              </w:rPr>
            </w:pPr>
          </w:p>
        </w:tc>
        <w:tc>
          <w:tcPr>
            <w:tcW w:w="519" w:type="pct"/>
            <w:tcBorders>
              <w:top w:val="nil"/>
              <w:left w:val="nil"/>
              <w:bottom w:val="single" w:color="auto" w:sz="8" w:space="0"/>
              <w:right w:val="single" w:color="auto" w:sz="8" w:space="0"/>
            </w:tcBorders>
            <w:shd w:val="clear" w:color="auto" w:fill="auto"/>
            <w:vAlign w:val="center"/>
          </w:tcPr>
          <w:p w14:paraId="16C7A379">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潮气量</w:t>
            </w:r>
            <w:r>
              <w:rPr>
                <w:rFonts w:ascii="Cambria Math" w:hAnsi="Cambria Math" w:eastAsia="仿宋_GB2312" w:cs="Cambria Math"/>
                <w:i/>
                <w:iCs/>
                <w:kern w:val="0"/>
                <w:sz w:val="28"/>
                <w:szCs w:val="28"/>
              </w:rPr>
              <w:t>⑬</w:t>
            </w:r>
          </w:p>
        </w:tc>
        <w:tc>
          <w:tcPr>
            <w:tcW w:w="617" w:type="pct"/>
            <w:tcBorders>
              <w:top w:val="nil"/>
              <w:left w:val="nil"/>
              <w:bottom w:val="single" w:color="auto" w:sz="8" w:space="0"/>
              <w:right w:val="single" w:color="auto" w:sz="8" w:space="0"/>
            </w:tcBorders>
            <w:shd w:val="clear" w:color="auto" w:fill="auto"/>
            <w:vAlign w:val="center"/>
          </w:tcPr>
          <w:p w14:paraId="03D72264">
            <w:pPr>
              <w:widowControl/>
              <w:jc w:val="center"/>
              <w:rPr>
                <w:rFonts w:ascii="仿宋_GB2312" w:eastAsia="仿宋_GB2312"/>
                <w:kern w:val="0"/>
                <w:sz w:val="28"/>
                <w:szCs w:val="28"/>
              </w:rPr>
            </w:pPr>
            <w:r>
              <w:rPr>
                <w:rFonts w:hint="eastAsia" w:ascii="仿宋_GB2312" w:eastAsia="仿宋_GB2312"/>
                <w:kern w:val="0"/>
                <w:sz w:val="28"/>
                <w:szCs w:val="28"/>
              </w:rPr>
              <w:t>mL</w:t>
            </w:r>
          </w:p>
        </w:tc>
        <w:tc>
          <w:tcPr>
            <w:tcW w:w="206" w:type="pct"/>
            <w:tcBorders>
              <w:top w:val="nil"/>
              <w:left w:val="nil"/>
              <w:bottom w:val="single" w:color="auto" w:sz="8" w:space="0"/>
              <w:right w:val="single" w:color="auto" w:sz="8" w:space="0"/>
            </w:tcBorders>
            <w:shd w:val="clear" w:color="auto" w:fill="auto"/>
            <w:vAlign w:val="center"/>
          </w:tcPr>
          <w:p w14:paraId="6F4F0A1A">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464374F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24EBFD2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0C5C9D70">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58108F5A">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0E585C58">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6EDB5DFA">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70B140F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5B17562B">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2951A03D">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5CCF9DBC">
        <w:tblPrEx>
          <w:tblCellMar>
            <w:top w:w="0" w:type="dxa"/>
            <w:left w:w="108" w:type="dxa"/>
            <w:bottom w:w="0" w:type="dxa"/>
            <w:right w:w="108" w:type="dxa"/>
          </w:tblCellMar>
        </w:tblPrEx>
        <w:trPr>
          <w:trHeight w:val="300" w:hRule="atLeast"/>
        </w:trPr>
        <w:tc>
          <w:tcPr>
            <w:tcW w:w="502" w:type="pct"/>
            <w:vMerge w:val="restart"/>
            <w:tcBorders>
              <w:top w:val="nil"/>
              <w:left w:val="single" w:color="auto" w:sz="8" w:space="0"/>
              <w:bottom w:val="single" w:color="000000" w:sz="8" w:space="0"/>
              <w:right w:val="single" w:color="auto" w:sz="8" w:space="0"/>
            </w:tcBorders>
            <w:shd w:val="clear" w:color="auto" w:fill="auto"/>
            <w:vAlign w:val="center"/>
          </w:tcPr>
          <w:p w14:paraId="49FD5749">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斜率</w:t>
            </w:r>
          </w:p>
        </w:tc>
        <w:tc>
          <w:tcPr>
            <w:tcW w:w="519" w:type="pct"/>
            <w:tcBorders>
              <w:top w:val="nil"/>
              <w:left w:val="nil"/>
              <w:bottom w:val="single" w:color="auto" w:sz="8" w:space="0"/>
              <w:right w:val="single" w:color="auto" w:sz="8" w:space="0"/>
            </w:tcBorders>
            <w:shd w:val="clear" w:color="auto" w:fill="auto"/>
            <w:vAlign w:val="center"/>
          </w:tcPr>
          <w:p w14:paraId="170A588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斜率①→②</w:t>
            </w:r>
          </w:p>
        </w:tc>
        <w:tc>
          <w:tcPr>
            <w:tcW w:w="617" w:type="pct"/>
            <w:tcBorders>
              <w:top w:val="nil"/>
              <w:left w:val="nil"/>
              <w:bottom w:val="single" w:color="auto" w:sz="8" w:space="0"/>
              <w:right w:val="single" w:color="auto" w:sz="8" w:space="0"/>
            </w:tcBorders>
            <w:shd w:val="clear" w:color="auto" w:fill="auto"/>
            <w:vAlign w:val="center"/>
          </w:tcPr>
          <w:p w14:paraId="02F3C236">
            <w:pPr>
              <w:widowControl/>
              <w:jc w:val="center"/>
              <w:rPr>
                <w:rFonts w:ascii="仿宋_GB2312" w:eastAsia="仿宋_GB2312"/>
                <w:kern w:val="0"/>
                <w:sz w:val="28"/>
                <w:szCs w:val="28"/>
              </w:rPr>
            </w:pPr>
            <w:r>
              <w:rPr>
                <w:rFonts w:hint="eastAsia" w:ascii="仿宋_GB2312" w:eastAsia="仿宋_GB2312"/>
                <w:kern w:val="0"/>
                <w:sz w:val="28"/>
                <w:szCs w:val="28"/>
              </w:rPr>
              <w:t>cmH</w:t>
            </w:r>
            <w:r>
              <w:rPr>
                <w:rFonts w:hint="eastAsia" w:ascii="仿宋_GB2312" w:eastAsia="仿宋_GB2312"/>
                <w:kern w:val="0"/>
                <w:sz w:val="28"/>
                <w:szCs w:val="28"/>
                <w:vertAlign w:val="subscript"/>
              </w:rPr>
              <w:t>2</w:t>
            </w:r>
            <w:r>
              <w:rPr>
                <w:rFonts w:hint="eastAsia" w:ascii="仿宋_GB2312" w:eastAsia="仿宋_GB2312"/>
                <w:kern w:val="0"/>
                <w:sz w:val="28"/>
                <w:szCs w:val="28"/>
              </w:rPr>
              <w:t>O/s</w:t>
            </w:r>
          </w:p>
        </w:tc>
        <w:tc>
          <w:tcPr>
            <w:tcW w:w="206" w:type="pct"/>
            <w:tcBorders>
              <w:top w:val="nil"/>
              <w:left w:val="nil"/>
              <w:bottom w:val="single" w:color="auto" w:sz="8" w:space="0"/>
              <w:right w:val="single" w:color="auto" w:sz="8" w:space="0"/>
            </w:tcBorders>
            <w:shd w:val="clear" w:color="auto" w:fill="auto"/>
            <w:vAlign w:val="center"/>
          </w:tcPr>
          <w:p w14:paraId="5C6E52CE">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0F6B83BB">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2AA94DB7">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3C172279">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5E925040">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2E1D8E5A">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3EEAEA23">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55251994">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0B532CF1">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10EFDBCA">
            <w:pPr>
              <w:widowControl/>
              <w:jc w:val="center"/>
              <w:rPr>
                <w:rFonts w:ascii="仿宋_GB2312" w:eastAsia="仿宋_GB2312"/>
                <w:kern w:val="0"/>
                <w:sz w:val="28"/>
                <w:szCs w:val="28"/>
              </w:rPr>
            </w:pPr>
            <w:r>
              <w:rPr>
                <w:rFonts w:hint="eastAsia" w:ascii="仿宋_GB2312" w:eastAsia="仿宋_GB2312"/>
                <w:kern w:val="0"/>
                <w:sz w:val="28"/>
                <w:szCs w:val="28"/>
              </w:rPr>
              <w:t>　</w:t>
            </w:r>
          </w:p>
        </w:tc>
      </w:tr>
      <w:tr w14:paraId="11C0184F">
        <w:tblPrEx>
          <w:tblCellMar>
            <w:top w:w="0" w:type="dxa"/>
            <w:left w:w="108" w:type="dxa"/>
            <w:bottom w:w="0" w:type="dxa"/>
            <w:right w:w="108" w:type="dxa"/>
          </w:tblCellMar>
        </w:tblPrEx>
        <w:trPr>
          <w:trHeight w:val="300" w:hRule="atLeast"/>
        </w:trPr>
        <w:tc>
          <w:tcPr>
            <w:tcW w:w="502" w:type="pct"/>
            <w:vMerge w:val="continue"/>
            <w:tcBorders>
              <w:top w:val="nil"/>
              <w:left w:val="single" w:color="auto" w:sz="8" w:space="0"/>
              <w:bottom w:val="single" w:color="000000" w:sz="8" w:space="0"/>
              <w:right w:val="single" w:color="auto" w:sz="8" w:space="0"/>
            </w:tcBorders>
            <w:vAlign w:val="center"/>
          </w:tcPr>
          <w:p w14:paraId="23E32ED5">
            <w:pPr>
              <w:widowControl/>
              <w:jc w:val="left"/>
              <w:rPr>
                <w:rFonts w:ascii="仿宋_GB2312" w:hAnsi="宋体" w:eastAsia="仿宋_GB2312" w:cs="宋体"/>
                <w:kern w:val="0"/>
                <w:sz w:val="28"/>
                <w:szCs w:val="28"/>
              </w:rPr>
            </w:pPr>
          </w:p>
        </w:tc>
        <w:tc>
          <w:tcPr>
            <w:tcW w:w="519" w:type="pct"/>
            <w:tcBorders>
              <w:top w:val="nil"/>
              <w:left w:val="nil"/>
              <w:bottom w:val="single" w:color="auto" w:sz="8" w:space="0"/>
              <w:right w:val="single" w:color="auto" w:sz="8" w:space="0"/>
            </w:tcBorders>
            <w:shd w:val="clear" w:color="auto" w:fill="auto"/>
            <w:vAlign w:val="center"/>
          </w:tcPr>
          <w:p w14:paraId="5D886CAE">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斜率②→③</w:t>
            </w:r>
          </w:p>
        </w:tc>
        <w:tc>
          <w:tcPr>
            <w:tcW w:w="617" w:type="pct"/>
            <w:tcBorders>
              <w:top w:val="nil"/>
              <w:left w:val="nil"/>
              <w:bottom w:val="single" w:color="auto" w:sz="8" w:space="0"/>
              <w:right w:val="single" w:color="auto" w:sz="8" w:space="0"/>
            </w:tcBorders>
            <w:shd w:val="clear" w:color="auto" w:fill="auto"/>
            <w:vAlign w:val="center"/>
          </w:tcPr>
          <w:p w14:paraId="55BE3E1B">
            <w:pPr>
              <w:widowControl/>
              <w:jc w:val="center"/>
              <w:rPr>
                <w:rFonts w:ascii="仿宋_GB2312" w:eastAsia="仿宋_GB2312"/>
                <w:kern w:val="0"/>
                <w:sz w:val="28"/>
                <w:szCs w:val="28"/>
              </w:rPr>
            </w:pPr>
            <w:r>
              <w:rPr>
                <w:rFonts w:hint="eastAsia" w:ascii="仿宋_GB2312" w:eastAsia="仿宋_GB2312"/>
                <w:kern w:val="0"/>
                <w:sz w:val="28"/>
                <w:szCs w:val="28"/>
              </w:rPr>
              <w:t>cmH</w:t>
            </w:r>
            <w:r>
              <w:rPr>
                <w:rFonts w:hint="eastAsia" w:ascii="仿宋_GB2312" w:eastAsia="仿宋_GB2312"/>
                <w:kern w:val="0"/>
                <w:sz w:val="28"/>
                <w:szCs w:val="28"/>
                <w:vertAlign w:val="subscript"/>
              </w:rPr>
              <w:t>2</w:t>
            </w:r>
            <w:r>
              <w:rPr>
                <w:rFonts w:hint="eastAsia" w:ascii="仿宋_GB2312" w:eastAsia="仿宋_GB2312"/>
                <w:kern w:val="0"/>
                <w:sz w:val="28"/>
                <w:szCs w:val="28"/>
              </w:rPr>
              <w:t>O/s</w:t>
            </w:r>
          </w:p>
        </w:tc>
        <w:tc>
          <w:tcPr>
            <w:tcW w:w="206" w:type="pct"/>
            <w:tcBorders>
              <w:top w:val="nil"/>
              <w:left w:val="nil"/>
              <w:bottom w:val="single" w:color="auto" w:sz="8" w:space="0"/>
              <w:right w:val="single" w:color="auto" w:sz="8" w:space="0"/>
            </w:tcBorders>
            <w:shd w:val="clear" w:color="auto" w:fill="auto"/>
            <w:vAlign w:val="center"/>
          </w:tcPr>
          <w:p w14:paraId="7E61650D">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0" w:type="pct"/>
            <w:tcBorders>
              <w:top w:val="nil"/>
              <w:left w:val="nil"/>
              <w:bottom w:val="single" w:color="auto" w:sz="8" w:space="0"/>
              <w:right w:val="single" w:color="auto" w:sz="8" w:space="0"/>
            </w:tcBorders>
            <w:shd w:val="clear" w:color="auto" w:fill="auto"/>
            <w:vAlign w:val="center"/>
          </w:tcPr>
          <w:p w14:paraId="796E9C5B">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237139D5">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2" w:type="pct"/>
            <w:tcBorders>
              <w:top w:val="nil"/>
              <w:left w:val="nil"/>
              <w:bottom w:val="single" w:color="auto" w:sz="8" w:space="0"/>
              <w:right w:val="single" w:color="auto" w:sz="8" w:space="0"/>
            </w:tcBorders>
            <w:shd w:val="clear" w:color="auto" w:fill="auto"/>
            <w:vAlign w:val="center"/>
          </w:tcPr>
          <w:p w14:paraId="49C47413">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10A5D2A0">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233" w:type="pct"/>
            <w:tcBorders>
              <w:top w:val="nil"/>
              <w:left w:val="nil"/>
              <w:bottom w:val="single" w:color="auto" w:sz="8" w:space="0"/>
              <w:right w:val="single" w:color="auto" w:sz="8" w:space="0"/>
            </w:tcBorders>
            <w:shd w:val="clear" w:color="auto" w:fill="auto"/>
            <w:vAlign w:val="center"/>
          </w:tcPr>
          <w:p w14:paraId="448DEFCF">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620" w:type="pct"/>
            <w:tcBorders>
              <w:top w:val="nil"/>
              <w:left w:val="nil"/>
              <w:bottom w:val="single" w:color="auto" w:sz="8" w:space="0"/>
              <w:right w:val="single" w:color="auto" w:sz="8" w:space="0"/>
            </w:tcBorders>
            <w:shd w:val="clear" w:color="auto" w:fill="auto"/>
            <w:vAlign w:val="center"/>
          </w:tcPr>
          <w:p w14:paraId="1435AE12">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6A63A228">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65" w:type="pct"/>
            <w:tcBorders>
              <w:top w:val="nil"/>
              <w:left w:val="nil"/>
              <w:bottom w:val="single" w:color="auto" w:sz="8" w:space="0"/>
              <w:right w:val="single" w:color="auto" w:sz="8" w:space="0"/>
            </w:tcBorders>
            <w:shd w:val="clear" w:color="auto" w:fill="auto"/>
            <w:vAlign w:val="center"/>
          </w:tcPr>
          <w:p w14:paraId="0B50CC86">
            <w:pPr>
              <w:widowControl/>
              <w:jc w:val="center"/>
              <w:rPr>
                <w:rFonts w:ascii="仿宋_GB2312" w:eastAsia="仿宋_GB2312"/>
                <w:kern w:val="0"/>
                <w:sz w:val="28"/>
                <w:szCs w:val="28"/>
              </w:rPr>
            </w:pPr>
            <w:r>
              <w:rPr>
                <w:rFonts w:hint="eastAsia" w:ascii="仿宋_GB2312" w:eastAsia="仿宋_GB2312"/>
                <w:kern w:val="0"/>
                <w:sz w:val="28"/>
                <w:szCs w:val="28"/>
              </w:rPr>
              <w:t>　</w:t>
            </w:r>
          </w:p>
        </w:tc>
        <w:tc>
          <w:tcPr>
            <w:tcW w:w="447" w:type="pct"/>
            <w:tcBorders>
              <w:top w:val="nil"/>
              <w:left w:val="nil"/>
              <w:bottom w:val="single" w:color="auto" w:sz="8" w:space="0"/>
              <w:right w:val="single" w:color="auto" w:sz="8" w:space="0"/>
            </w:tcBorders>
            <w:shd w:val="clear" w:color="auto" w:fill="auto"/>
            <w:vAlign w:val="center"/>
          </w:tcPr>
          <w:p w14:paraId="35C2EB0D">
            <w:pPr>
              <w:widowControl/>
              <w:jc w:val="center"/>
              <w:rPr>
                <w:rFonts w:ascii="仿宋_GB2312" w:eastAsia="仿宋_GB2312"/>
                <w:kern w:val="0"/>
                <w:sz w:val="28"/>
                <w:szCs w:val="28"/>
              </w:rPr>
            </w:pPr>
            <w:r>
              <w:rPr>
                <w:rFonts w:hint="eastAsia" w:ascii="仿宋_GB2312" w:eastAsia="仿宋_GB2312"/>
                <w:kern w:val="0"/>
                <w:sz w:val="28"/>
                <w:szCs w:val="28"/>
              </w:rPr>
              <w:t>　</w:t>
            </w:r>
          </w:p>
        </w:tc>
      </w:tr>
    </w:tbl>
    <w:p w14:paraId="39C95679">
      <w:pPr>
        <w:ind w:firstLine="640" w:firstLineChars="200"/>
        <w:jc w:val="left"/>
        <w:rPr>
          <w:rFonts w:ascii="仿宋_GB2312" w:eastAsia="仿宋_GB2312"/>
          <w:sz w:val="32"/>
          <w:szCs w:val="32"/>
        </w:rPr>
      </w:pPr>
    </w:p>
    <w:p w14:paraId="40509789">
      <w:pPr>
        <w:spacing w:line="520" w:lineRule="exact"/>
        <w:ind w:firstLine="640" w:firstLineChars="200"/>
        <w:jc w:val="left"/>
        <w:rPr>
          <w:rFonts w:ascii="仿宋_GB2312" w:eastAsia="仿宋_GB2312"/>
          <w:sz w:val="32"/>
          <w:szCs w:val="32"/>
        </w:rPr>
      </w:pPr>
      <w:r>
        <w:rPr>
          <w:rFonts w:hint="eastAsia" w:ascii="仿宋_GB2312" w:eastAsia="仿宋_GB2312"/>
          <w:sz w:val="32"/>
          <w:szCs w:val="32"/>
        </w:rPr>
        <w:t>4.2 PCV模式</w:t>
      </w:r>
    </w:p>
    <w:p w14:paraId="6C325E96">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p>
    <w:p w14:paraId="604A3BA4">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5.测试结果分析</w:t>
      </w:r>
    </w:p>
    <w:p w14:paraId="7B146FC7">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说明实测波形中各参数的选择依据。分析论证测试结果的可接受性，相关参数选择和结果可接受性论证建议充分参考相关临床指南等文献资料。</w:t>
      </w:r>
    </w:p>
    <w:p w14:paraId="1EB2CA0D">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6.附录</w:t>
      </w:r>
    </w:p>
    <w:p w14:paraId="3AA0C599">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附录中需列出具体参考的临床文献信息，需给出测试的现场布置照片和器械连接照片，对照与实验器械标签/铭牌照片等信息。</w:t>
      </w:r>
    </w:p>
    <w:p w14:paraId="29A299D1">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注</w:t>
      </w:r>
      <w:r>
        <w:rPr>
          <w:rFonts w:eastAsia="仿宋_GB2312"/>
          <w:color w:val="000000" w:themeColor="text1"/>
          <w:sz w:val="32"/>
          <w:szCs w:val="32"/>
          <w14:textFill>
            <w14:solidFill>
              <w14:schemeClr w14:val="tx1"/>
            </w14:solidFill>
          </w14:textFill>
        </w:rPr>
        <w:t>：此处仅为举例，申请人亦可采用其他合理的报告形式。</w:t>
      </w:r>
    </w:p>
    <w:p w14:paraId="5DF3C33C">
      <w:pPr>
        <w:overflowPunct w:val="0"/>
        <w:spacing w:line="520" w:lineRule="exact"/>
        <w:ind w:firstLine="640" w:firstLineChars="200"/>
        <w:rPr>
          <w:rFonts w:eastAsia="仿宋_GB2312"/>
          <w:color w:val="000000" w:themeColor="text1"/>
          <w:sz w:val="32"/>
          <w:szCs w:val="32"/>
          <w14:textFill>
            <w14:solidFill>
              <w14:schemeClr w14:val="tx1"/>
            </w14:solidFill>
          </w14:textFill>
        </w:rPr>
      </w:pPr>
    </w:p>
    <w:bookmarkEnd w:id="5"/>
    <w:p w14:paraId="2EF16103">
      <w:pPr>
        <w:overflowPunct w:val="0"/>
        <w:spacing w:line="560" w:lineRule="exact"/>
        <w:ind w:firstLine="640" w:firstLineChars="200"/>
        <w:outlineLvl w:val="0"/>
        <w:rPr>
          <w:rFonts w:ascii="黑体" w:hAnsi="黑体" w:eastAsia="黑体"/>
          <w:color w:val="000000" w:themeColor="text1"/>
          <w:sz w:val="32"/>
          <w:szCs w:val="32"/>
          <w14:textFill>
            <w14:solidFill>
              <w14:schemeClr w14:val="tx1"/>
            </w14:solidFill>
          </w14:textFill>
        </w:rPr>
      </w:pPr>
      <w:bookmarkStart w:id="18" w:name="_Toc82094055"/>
      <w:r>
        <w:rPr>
          <w:rFonts w:ascii="黑体" w:hAnsi="黑体" w:eastAsia="黑体"/>
          <w:color w:val="000000" w:themeColor="text1"/>
          <w:sz w:val="32"/>
          <w:szCs w:val="32"/>
          <w14:textFill>
            <w14:solidFill>
              <w14:schemeClr w14:val="tx1"/>
            </w14:solidFill>
          </w14:textFill>
        </w:rPr>
        <w:t>参考文献</w:t>
      </w:r>
      <w:bookmarkEnd w:id="18"/>
    </w:p>
    <w:p w14:paraId="7D237B3D">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（一）《医疗器械监督管理条例》（国务院令第</w:t>
      </w:r>
      <w:r>
        <w:rPr>
          <w:rFonts w:hint="eastAsia" w:eastAsia="仿宋_GB2312"/>
          <w:color w:val="000000" w:themeColor="text1"/>
          <w:sz w:val="32"/>
          <w:szCs w:val="32"/>
          <w14:textFill>
            <w14:solidFill>
              <w14:schemeClr w14:val="tx1"/>
            </w14:solidFill>
          </w14:textFill>
        </w:rPr>
        <w:t>739号</w:t>
      </w:r>
      <w:r>
        <w:rPr>
          <w:rFonts w:eastAsia="仿宋_GB2312"/>
          <w:color w:val="000000" w:themeColor="text1"/>
          <w:sz w:val="32"/>
          <w:szCs w:val="32"/>
          <w14:textFill>
            <w14:solidFill>
              <w14:schemeClr w14:val="tx1"/>
            </w14:solidFill>
          </w14:textFill>
        </w:rPr>
        <w:t>）。</w:t>
      </w:r>
    </w:p>
    <w:p w14:paraId="553BDA7B">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（二）</w:t>
      </w:r>
      <w:r>
        <w:rPr>
          <w:rFonts w:hint="eastAsia" w:eastAsia="仿宋_GB2312"/>
          <w:color w:val="000000" w:themeColor="text1"/>
          <w:sz w:val="32"/>
          <w:szCs w:val="32"/>
          <w14:textFill>
            <w14:solidFill>
              <w14:schemeClr w14:val="tx1"/>
            </w14:solidFill>
          </w14:textFill>
        </w:rPr>
        <w:t>《医疗器械注册与备案管理办法》</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国家市场监督管理总局令第47号</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w:t>
      </w:r>
    </w:p>
    <w:p w14:paraId="74397C51">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（三）《医疗器械临床试验质量管理规范》（国家食品药品监督管理总局、国家卫生和计划生育委员会令第25号）。</w:t>
      </w:r>
    </w:p>
    <w:p w14:paraId="5C63353F">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（四）</w:t>
      </w:r>
      <w:bookmarkStart w:id="19" w:name="OLE_LINK5"/>
      <w:bookmarkStart w:id="20" w:name="OLE_LINK44"/>
      <w:r>
        <w:rPr>
          <w:rFonts w:eastAsia="仿宋_GB2312"/>
          <w:color w:val="000000" w:themeColor="text1"/>
          <w:sz w:val="32"/>
          <w:szCs w:val="32"/>
          <w14:textFill>
            <w14:solidFill>
              <w14:schemeClr w14:val="tx1"/>
            </w14:solidFill>
          </w14:textFill>
        </w:rPr>
        <w:t>《</w:t>
      </w:r>
      <w:bookmarkEnd w:id="19"/>
      <w:r>
        <w:rPr>
          <w:rFonts w:eastAsia="仿宋_GB2312"/>
          <w:color w:val="000000" w:themeColor="text1"/>
          <w:sz w:val="32"/>
          <w:szCs w:val="32"/>
          <w14:textFill>
            <w14:solidFill>
              <w14:schemeClr w14:val="tx1"/>
            </w14:solidFill>
          </w14:textFill>
        </w:rPr>
        <w:t>医疗器械临床评价技术指导原则</w:t>
      </w:r>
      <w:bookmarkStart w:id="21" w:name="OLE_LINK4"/>
      <w:r>
        <w:rPr>
          <w:rFonts w:eastAsia="仿宋_GB2312"/>
          <w:color w:val="000000" w:themeColor="text1"/>
          <w:sz w:val="32"/>
          <w:szCs w:val="32"/>
          <w14:textFill>
            <w14:solidFill>
              <w14:schemeClr w14:val="tx1"/>
            </w14:solidFill>
          </w14:textFill>
        </w:rPr>
        <w:t>》</w:t>
      </w:r>
      <w:bookmarkEnd w:id="20"/>
      <w:bookmarkEnd w:id="21"/>
      <w:r>
        <w:rPr>
          <w:rFonts w:eastAsia="仿宋_GB2312"/>
          <w:color w:val="000000" w:themeColor="text1"/>
          <w:sz w:val="32"/>
          <w:szCs w:val="32"/>
          <w14:textFill>
            <w14:solidFill>
              <w14:schemeClr w14:val="tx1"/>
            </w14:solidFill>
          </w14:textFill>
        </w:rPr>
        <w:t>（国家食品药品监督管理总局通告2015年第14号）。</w:t>
      </w:r>
    </w:p>
    <w:p w14:paraId="64FE9B9C">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（五）《治疗呼吸机注册技术审查指导原则》（国家食品药品监督管理总局通告2016年第21号）。</w:t>
      </w:r>
    </w:p>
    <w:p w14:paraId="42EE44BC">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六、《治疗呼吸机临床评价技术审查指导原则》（国家食品药品监督管理总局通告2017年第212号）</w:t>
      </w:r>
    </w:p>
    <w:p w14:paraId="49CD5ECE">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七</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《中华</w:t>
      </w:r>
      <w:r>
        <w:rPr>
          <w:rFonts w:eastAsia="仿宋_GB2312"/>
          <w:color w:val="000000" w:themeColor="text1"/>
          <w:sz w:val="32"/>
          <w:szCs w:val="32"/>
          <w14:textFill>
            <w14:solidFill>
              <w14:schemeClr w14:val="tx1"/>
            </w14:solidFill>
          </w14:textFill>
        </w:rPr>
        <w:t>儿科</w:t>
      </w:r>
      <w:r>
        <w:rPr>
          <w:rFonts w:hint="eastAsia" w:eastAsia="仿宋_GB2312"/>
          <w:color w:val="000000" w:themeColor="text1"/>
          <w:sz w:val="32"/>
          <w:szCs w:val="32"/>
          <w14:textFill>
            <w14:solidFill>
              <w14:schemeClr w14:val="tx1"/>
            </w14:solidFill>
          </w14:textFill>
        </w:rPr>
        <w:t>杂志》编辑</w:t>
      </w:r>
      <w:r>
        <w:rPr>
          <w:rFonts w:eastAsia="仿宋_GB2312"/>
          <w:color w:val="000000" w:themeColor="text1"/>
          <w:sz w:val="32"/>
          <w:szCs w:val="32"/>
          <w14:textFill>
            <w14:solidFill>
              <w14:schemeClr w14:val="tx1"/>
            </w14:solidFill>
          </w14:textFill>
        </w:rPr>
        <w:t>委员会，中华医学会儿科学会分会新生儿</w:t>
      </w:r>
      <w:r>
        <w:rPr>
          <w:rFonts w:hint="eastAsia" w:eastAsia="仿宋_GB2312"/>
          <w:color w:val="000000" w:themeColor="text1"/>
          <w:sz w:val="32"/>
          <w:szCs w:val="32"/>
          <w14:textFill>
            <w14:solidFill>
              <w14:schemeClr w14:val="tx1"/>
            </w14:solidFill>
          </w14:textFill>
        </w:rPr>
        <w:t>学组. 新生儿常频机械</w:t>
      </w:r>
      <w:r>
        <w:rPr>
          <w:rFonts w:eastAsia="仿宋_GB2312"/>
          <w:color w:val="000000" w:themeColor="text1"/>
          <w:sz w:val="32"/>
          <w:szCs w:val="32"/>
          <w14:textFill>
            <w14:solidFill>
              <w14:schemeClr w14:val="tx1"/>
            </w14:solidFill>
          </w14:textFill>
        </w:rPr>
        <w:t>通气常规</w:t>
      </w:r>
      <w:r>
        <w:rPr>
          <w:rFonts w:hint="eastAsia" w:eastAsia="仿宋_GB2312"/>
          <w:color w:val="000000" w:themeColor="text1"/>
          <w:sz w:val="32"/>
          <w:szCs w:val="32"/>
          <w14:textFill>
            <w14:solidFill>
              <w14:schemeClr w14:val="tx1"/>
            </w14:solidFill>
          </w14:textFill>
        </w:rPr>
        <w:t>[J]. 中华儿科</w:t>
      </w:r>
      <w:r>
        <w:rPr>
          <w:rFonts w:eastAsia="仿宋_GB2312"/>
          <w:color w:val="000000" w:themeColor="text1"/>
          <w:sz w:val="32"/>
          <w:szCs w:val="32"/>
          <w14:textFill>
            <w14:solidFill>
              <w14:schemeClr w14:val="tx1"/>
            </w14:solidFill>
          </w14:textFill>
        </w:rPr>
        <w:t>杂志，</w:t>
      </w:r>
      <w:r>
        <w:rPr>
          <w:rFonts w:hint="eastAsia" w:eastAsia="仿宋_GB2312"/>
          <w:color w:val="000000" w:themeColor="text1"/>
          <w:sz w:val="32"/>
          <w:szCs w:val="32"/>
          <w14:textFill>
            <w14:solidFill>
              <w14:schemeClr w14:val="tx1"/>
            </w14:solidFill>
          </w14:textFill>
        </w:rPr>
        <w:t>2004， 42（5）；356</w:t>
      </w:r>
      <w:r>
        <w:rPr>
          <w:rFonts w:eastAsia="仿宋_GB2312"/>
          <w:color w:val="000000" w:themeColor="text1"/>
          <w:sz w:val="32"/>
          <w:szCs w:val="32"/>
          <w14:textFill>
            <w14:solidFill>
              <w14:schemeClr w14:val="tx1"/>
            </w14:solidFill>
          </w14:textFill>
        </w:rPr>
        <w:t>-357.</w:t>
      </w:r>
    </w:p>
    <w:p w14:paraId="3F10089D">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八</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邵</w:t>
      </w:r>
      <w:r>
        <w:rPr>
          <w:rFonts w:eastAsia="仿宋_GB2312"/>
          <w:color w:val="000000" w:themeColor="text1"/>
          <w:sz w:val="32"/>
          <w:szCs w:val="32"/>
          <w14:textFill>
            <w14:solidFill>
              <w14:schemeClr w14:val="tx1"/>
            </w14:solidFill>
          </w14:textFill>
        </w:rPr>
        <w:t>肖梅</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叶鸿瑁，丘小仙</w:t>
      </w:r>
      <w:r>
        <w:rPr>
          <w:rFonts w:hint="eastAsia" w:eastAsia="仿宋_GB2312"/>
          <w:color w:val="000000" w:themeColor="text1"/>
          <w:sz w:val="32"/>
          <w:szCs w:val="32"/>
          <w14:textFill>
            <w14:solidFill>
              <w14:schemeClr w14:val="tx1"/>
            </w14:solidFill>
          </w14:textFill>
        </w:rPr>
        <w:t xml:space="preserve">. 实用新生儿学[M]. </w:t>
      </w:r>
      <w:r>
        <w:rPr>
          <w:rFonts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版</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北京； 人民卫生</w:t>
      </w:r>
      <w:r>
        <w:rPr>
          <w:rFonts w:eastAsia="仿宋_GB2312"/>
          <w:color w:val="000000" w:themeColor="text1"/>
          <w:sz w:val="32"/>
          <w:szCs w:val="32"/>
          <w14:textFill>
            <w14:solidFill>
              <w14:schemeClr w14:val="tx1"/>
            </w14:solidFill>
          </w14:textFill>
        </w:rPr>
        <w:t>出版社，</w:t>
      </w:r>
      <w:r>
        <w:rPr>
          <w:rFonts w:hint="eastAsia" w:eastAsia="仿宋_GB2312"/>
          <w:color w:val="000000" w:themeColor="text1"/>
          <w:sz w:val="32"/>
          <w:szCs w:val="32"/>
          <w14:textFill>
            <w14:solidFill>
              <w14:schemeClr w14:val="tx1"/>
            </w14:solidFill>
          </w14:textFill>
        </w:rPr>
        <w:t xml:space="preserve"> 2012.</w:t>
      </w:r>
    </w:p>
    <w:p w14:paraId="1C2A9664">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九</w:t>
      </w:r>
      <w:r>
        <w:rPr>
          <w:rFonts w:eastAsia="仿宋_GB2312"/>
          <w:color w:val="000000" w:themeColor="text1"/>
          <w:sz w:val="32"/>
          <w:szCs w:val="32"/>
          <w14:textFill>
            <w14:solidFill>
              <w14:schemeClr w14:val="tx1"/>
            </w14:solidFill>
          </w14:textFill>
        </w:rPr>
        <w:t>、薛新东</w:t>
      </w:r>
      <w:r>
        <w:rPr>
          <w:rFonts w:hint="eastAsia" w:eastAsia="仿宋_GB2312"/>
          <w:color w:val="000000" w:themeColor="text1"/>
          <w:sz w:val="32"/>
          <w:szCs w:val="32"/>
          <w14:textFill>
            <w14:solidFill>
              <w14:schemeClr w14:val="tx1"/>
            </w14:solidFill>
          </w14:textFill>
        </w:rPr>
        <w:t>. 儿科学</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供8年</w:t>
      </w:r>
      <w:r>
        <w:rPr>
          <w:rFonts w:eastAsia="仿宋_GB2312"/>
          <w:color w:val="000000" w:themeColor="text1"/>
          <w:sz w:val="32"/>
          <w:szCs w:val="32"/>
          <w14:textFill>
            <w14:solidFill>
              <w14:schemeClr w14:val="tx1"/>
            </w14:solidFill>
          </w14:textFill>
        </w:rPr>
        <w:t>制及</w:t>
      </w:r>
      <w:r>
        <w:rPr>
          <w:rFonts w:hint="eastAsia" w:eastAsia="仿宋_GB2312"/>
          <w:color w:val="000000" w:themeColor="text1"/>
          <w:sz w:val="32"/>
          <w:szCs w:val="32"/>
          <w14:textFill>
            <w14:solidFill>
              <w14:schemeClr w14:val="tx1"/>
            </w14:solidFill>
          </w14:textFill>
        </w:rPr>
        <w:t>7年制临床</w:t>
      </w:r>
      <w:r>
        <w:rPr>
          <w:rFonts w:eastAsia="仿宋_GB2312"/>
          <w:color w:val="000000" w:themeColor="text1"/>
          <w:sz w:val="32"/>
          <w:szCs w:val="32"/>
          <w14:textFill>
            <w14:solidFill>
              <w14:schemeClr w14:val="tx1"/>
            </w14:solidFill>
          </w14:textFill>
        </w:rPr>
        <w:t>医学等专业用）</w:t>
      </w:r>
      <w:r>
        <w:rPr>
          <w:rFonts w:hint="eastAsia" w:eastAsia="仿宋_GB2312"/>
          <w:color w:val="000000" w:themeColor="text1"/>
          <w:sz w:val="32"/>
          <w:szCs w:val="32"/>
          <w14:textFill>
            <w14:solidFill>
              <w14:schemeClr w14:val="tx1"/>
            </w14:solidFill>
          </w14:textFill>
        </w:rPr>
        <w:t xml:space="preserve"> [M]. </w:t>
      </w: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版</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北京</w:t>
      </w:r>
      <w:r>
        <w:rPr>
          <w:rFonts w:eastAsia="仿宋_GB2312"/>
          <w:color w:val="000000" w:themeColor="text1"/>
          <w:sz w:val="32"/>
          <w:szCs w:val="32"/>
          <w14:textFill>
            <w14:solidFill>
              <w14:schemeClr w14:val="tx1"/>
            </w14:solidFill>
          </w14:textFill>
        </w:rPr>
        <w:t>：人民卫生出版社，</w:t>
      </w:r>
      <w:r>
        <w:rPr>
          <w:rFonts w:hint="eastAsia" w:eastAsia="仿宋_GB2312"/>
          <w:color w:val="000000" w:themeColor="text1"/>
          <w:sz w:val="32"/>
          <w:szCs w:val="32"/>
          <w14:textFill>
            <w14:solidFill>
              <w14:schemeClr w14:val="tx1"/>
            </w14:solidFill>
          </w14:textFill>
        </w:rPr>
        <w:t xml:space="preserve"> 2010.</w:t>
      </w:r>
    </w:p>
    <w:p w14:paraId="7B6EA0A6">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十</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中华医学会</w:t>
      </w:r>
      <w:r>
        <w:rPr>
          <w:rFonts w:eastAsia="仿宋_GB2312"/>
          <w:color w:val="000000" w:themeColor="text1"/>
          <w:sz w:val="32"/>
          <w:szCs w:val="32"/>
          <w14:textFill>
            <w14:solidFill>
              <w14:schemeClr w14:val="tx1"/>
            </w14:solidFill>
          </w14:textFill>
        </w:rPr>
        <w:t>呼吸病学分会</w:t>
      </w:r>
      <w:r>
        <w:rPr>
          <w:rFonts w:hint="eastAsia" w:eastAsia="仿宋_GB2312"/>
          <w:color w:val="000000" w:themeColor="text1"/>
          <w:sz w:val="32"/>
          <w:szCs w:val="32"/>
          <w14:textFill>
            <w14:solidFill>
              <w14:schemeClr w14:val="tx1"/>
            </w14:solidFill>
          </w14:textFill>
        </w:rPr>
        <w:t>呼吸</w:t>
      </w:r>
      <w:r>
        <w:rPr>
          <w:rFonts w:eastAsia="仿宋_GB2312"/>
          <w:color w:val="000000" w:themeColor="text1"/>
          <w:sz w:val="32"/>
          <w:szCs w:val="32"/>
          <w14:textFill>
            <w14:solidFill>
              <w14:schemeClr w14:val="tx1"/>
            </w14:solidFill>
          </w14:textFill>
        </w:rPr>
        <w:t>危重症</w:t>
      </w:r>
      <w:r>
        <w:rPr>
          <w:rFonts w:hint="eastAsia" w:eastAsia="仿宋_GB2312"/>
          <w:color w:val="000000" w:themeColor="text1"/>
          <w:sz w:val="32"/>
          <w:szCs w:val="32"/>
          <w14:textFill>
            <w14:solidFill>
              <w14:schemeClr w14:val="tx1"/>
            </w14:solidFill>
          </w14:textFill>
        </w:rPr>
        <w:t>医学</w:t>
      </w:r>
      <w:r>
        <w:rPr>
          <w:rFonts w:eastAsia="仿宋_GB2312"/>
          <w:color w:val="000000" w:themeColor="text1"/>
          <w:sz w:val="32"/>
          <w:szCs w:val="32"/>
          <w14:textFill>
            <w14:solidFill>
              <w14:schemeClr w14:val="tx1"/>
            </w14:solidFill>
          </w14:textFill>
        </w:rPr>
        <w:t>学组</w:t>
      </w:r>
      <w:r>
        <w:rPr>
          <w:rFonts w:hint="eastAsia" w:eastAsia="仿宋_GB2312"/>
          <w:color w:val="000000" w:themeColor="text1"/>
          <w:sz w:val="32"/>
          <w:szCs w:val="32"/>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急性呼吸窘迫综合征患者机械通气指南（</w:t>
      </w:r>
      <w:r>
        <w:rPr>
          <w:rFonts w:hint="eastAsia" w:eastAsia="仿宋_GB2312"/>
          <w:color w:val="000000" w:themeColor="text1"/>
          <w:sz w:val="32"/>
          <w:szCs w:val="32"/>
          <w14:textFill>
            <w14:solidFill>
              <w14:schemeClr w14:val="tx1"/>
            </w14:solidFill>
          </w14:textFill>
        </w:rPr>
        <w:t>试行</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[J]. 中华</w:t>
      </w:r>
      <w:r>
        <w:rPr>
          <w:rFonts w:eastAsia="仿宋_GB2312"/>
          <w:color w:val="000000" w:themeColor="text1"/>
          <w:sz w:val="32"/>
          <w:szCs w:val="32"/>
          <w14:textFill>
            <w14:solidFill>
              <w14:schemeClr w14:val="tx1"/>
            </w14:solidFill>
          </w14:textFill>
        </w:rPr>
        <w:t>医学杂志，</w:t>
      </w:r>
      <w:r>
        <w:rPr>
          <w:rFonts w:hint="eastAsia" w:eastAsia="仿宋_GB2312"/>
          <w:color w:val="000000" w:themeColor="text1"/>
          <w:sz w:val="32"/>
          <w:szCs w:val="32"/>
          <w14:textFill>
            <w14:solidFill>
              <w14:schemeClr w14:val="tx1"/>
            </w14:solidFill>
          </w14:textFill>
        </w:rPr>
        <w:t xml:space="preserve"> 2016,96（6）； 404</w:t>
      </w:r>
      <w:r>
        <w:rPr>
          <w:rFonts w:eastAsia="仿宋_GB2312"/>
          <w:color w:val="000000" w:themeColor="text1"/>
          <w:sz w:val="32"/>
          <w:szCs w:val="32"/>
          <w14:textFill>
            <w14:solidFill>
              <w14:schemeClr w14:val="tx1"/>
            </w14:solidFill>
          </w14:textFill>
        </w:rPr>
        <w:t>-424.</w:t>
      </w:r>
    </w:p>
    <w:p w14:paraId="7FC2B20C">
      <w:pPr>
        <w:overflowPunct w:val="0"/>
        <w:spacing w:line="520" w:lineRule="exact"/>
        <w:ind w:firstLine="640" w:firstLineChars="200"/>
        <w:rPr>
          <w:rFonts w:eastAsia="仿宋_GB2312"/>
          <w:color w:val="000000" w:themeColor="text1"/>
          <w:sz w:val="32"/>
          <w:szCs w:val="32"/>
          <w14:textFill>
            <w14:solidFill>
              <w14:schemeClr w14:val="tx1"/>
            </w14:solidFill>
          </w14:textFill>
        </w:rPr>
      </w:pPr>
    </w:p>
    <w:p w14:paraId="49CFB138">
      <w:pPr>
        <w:overflowPunct w:val="0"/>
        <w:spacing w:line="520" w:lineRule="exact"/>
        <w:ind w:firstLine="640" w:firstLineChars="200"/>
        <w:outlineLvl w:val="0"/>
        <w:rPr>
          <w:rFonts w:ascii="黑体" w:hAnsi="黑体" w:eastAsia="黑体"/>
          <w:color w:val="000000" w:themeColor="text1"/>
          <w:sz w:val="32"/>
          <w:szCs w:val="32"/>
          <w14:textFill>
            <w14:solidFill>
              <w14:schemeClr w14:val="tx1"/>
            </w14:solidFill>
          </w14:textFill>
        </w:rPr>
      </w:pPr>
      <w:bookmarkStart w:id="22" w:name="_Toc82094056"/>
      <w:r>
        <w:rPr>
          <w:rFonts w:hint="eastAsia" w:ascii="黑体" w:hAnsi="黑体" w:eastAsia="黑体"/>
          <w:color w:val="000000" w:themeColor="text1"/>
          <w:sz w:val="32"/>
          <w:szCs w:val="32"/>
          <w14:textFill>
            <w14:solidFill>
              <w14:schemeClr w14:val="tx1"/>
            </w14:solidFill>
          </w14:textFill>
        </w:rPr>
        <w:t>编制</w:t>
      </w:r>
      <w:r>
        <w:rPr>
          <w:rFonts w:ascii="黑体" w:hAnsi="黑体" w:eastAsia="黑体"/>
          <w:color w:val="000000" w:themeColor="text1"/>
          <w:sz w:val="32"/>
          <w:szCs w:val="32"/>
          <w14:textFill>
            <w14:solidFill>
              <w14:schemeClr w14:val="tx1"/>
            </w14:solidFill>
          </w14:textFill>
        </w:rPr>
        <w:t>单位</w:t>
      </w:r>
      <w:bookmarkEnd w:id="22"/>
    </w:p>
    <w:p w14:paraId="3269BF53">
      <w:pPr>
        <w:overflowPunct w:val="0"/>
        <w:spacing w:line="52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国家药品监督管理局医疗器械技术审评中心。</w:t>
      </w:r>
    </w:p>
    <w:p w14:paraId="583D8B8C">
      <w:pPr>
        <w:overflowPunct w:val="0"/>
        <w:spacing w:line="560" w:lineRule="exact"/>
        <w:jc w:val="center"/>
        <w:rPr>
          <w:rFonts w:hint="eastAsia" w:eastAsia="宋体"/>
          <w:lang w:eastAsia="zh-CN"/>
        </w:rPr>
      </w:pPr>
    </w:p>
    <w:p w14:paraId="0F0BC105">
      <w:pPr>
        <w:overflowPunct w:val="0"/>
        <w:spacing w:line="560" w:lineRule="exact"/>
        <w:jc w:val="center"/>
        <w:rPr>
          <w:rFonts w:hint="eastAsia" w:eastAsia="宋体"/>
          <w:lang w:eastAsia="zh-CN"/>
        </w:rPr>
      </w:pPr>
    </w:p>
    <w:p w14:paraId="2E515E76">
      <w:pPr>
        <w:overflowPunct w:val="0"/>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4" w:type="default"/>
      <w:footerReference r:id="rId5"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883737"/>
      <w:docPartObj>
        <w:docPartGallery w:val="AutoText"/>
      </w:docPartObj>
    </w:sdtPr>
    <w:sdtContent>
      <w:sdt>
        <w:sdtPr>
          <w:id w:val="-1669238322"/>
          <w:docPartObj>
            <w:docPartGallery w:val="AutoText"/>
          </w:docPartObj>
        </w:sdtPr>
        <w:sdtContent>
          <w:p w14:paraId="51D30EC2">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17</w:t>
            </w:r>
            <w:r>
              <w:rPr>
                <w:b/>
                <w:bCs/>
                <w:sz w:val="24"/>
                <w:szCs w:val="24"/>
              </w:rPr>
              <w:fldChar w:fldCharType="end"/>
            </w:r>
          </w:p>
        </w:sdtContent>
      </w:sdt>
    </w:sdtContent>
  </w:sdt>
  <w:p w14:paraId="28EA1619">
    <w:pPr>
      <w:pStyle w:val="10"/>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EC6C5">
    <w:pPr>
      <w:pStyle w:val="10"/>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28</w:t>
    </w:r>
    <w:r>
      <w:rPr>
        <w:sz w:val="28"/>
        <w:szCs w:val="28"/>
      </w:rPr>
      <w:fldChar w:fldCharType="end"/>
    </w:r>
    <w:r>
      <w:rPr>
        <w:rFonts w:hint="eastAsia"/>
        <w:sz w:val="28"/>
        <w:szCs w:val="28"/>
      </w:rPr>
      <w:t xml:space="preserve"> —</w:t>
    </w:r>
  </w:p>
  <w:p w14:paraId="04EC4458">
    <w:pPr>
      <w:pStyle w:val="1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C6EF867">
      <w:pPr>
        <w:pStyle w:val="13"/>
        <w:rPr>
          <w:rFonts w:eastAsia="仿宋_GB2312"/>
          <w:sz w:val="8"/>
          <w:szCs w:val="8"/>
        </w:rPr>
      </w:pPr>
      <w:r>
        <w:rPr>
          <w:rStyle w:val="19"/>
        </w:rPr>
        <w:footnoteRef/>
      </w:r>
      <w:r>
        <w:t xml:space="preserve"> </w:t>
      </w:r>
      <w:r>
        <w:rPr>
          <w:rFonts w:hint="eastAsia" w:ascii="Times New Roman" w:hAnsi="Times New Roman" w:eastAsia="仿宋_GB2312"/>
        </w:rPr>
        <w:t>《治疗呼吸机临床评价技术审查指导原则》（2017年第212号）中“在某些情况下，开展符合要求的临床试验来验证产品的安全性和有效性是必要的。符合以下情形之一的，应考虑进行临床试验：一是注册申请人的治疗呼吸机产品从未在中国境内上市。二是拟注册的产品属于申请人的全新产品，或产品包含全新的临床应用功能”，本指南发布后，不对申请人在中国申请第一个呼吸机产品注册的临床评价方式进行限制。</w:t>
      </w:r>
    </w:p>
  </w:footnote>
  <w:footnote w:id="1">
    <w:p w14:paraId="2E86B338">
      <w:pPr>
        <w:pStyle w:val="13"/>
      </w:pPr>
      <w:r>
        <w:rPr>
          <w:rStyle w:val="19"/>
        </w:rPr>
        <w:footnoteRef/>
      </w:r>
      <w:r>
        <w:t xml:space="preserve"> </w:t>
      </w:r>
      <w:r>
        <w:rPr>
          <w:rFonts w:hint="eastAsia" w:ascii="Times New Roman" w:hAnsi="Times New Roman" w:eastAsia="仿宋_GB2312"/>
        </w:rPr>
        <w:t>《治疗呼吸机临床评价技术审查指导原则》（2017年第212号）中提出“气动型呼吸机与电动型呼吸不是同品种产品。例如，由高压气体驱动的气动电控型呼吸机，与由内部涡轮（Turbine）或者内部风扇（Blower）驱动的电动电控型治疗呼吸机，不应判定为同品种产品”，本指南发布后，不再对气动型呼吸机与电动型呼吸机</w:t>
      </w:r>
      <w:r>
        <w:rPr>
          <w:rFonts w:ascii="Times New Roman" w:hAnsi="Times New Roman" w:eastAsia="仿宋_GB2312"/>
        </w:rPr>
        <w:t>之</w:t>
      </w:r>
      <w:r>
        <w:rPr>
          <w:rFonts w:hint="eastAsia" w:ascii="Times New Roman" w:hAnsi="Times New Roman" w:eastAsia="仿宋_GB2312"/>
        </w:rPr>
        <w:t>间</w:t>
      </w:r>
      <w:r>
        <w:rPr>
          <w:rFonts w:ascii="Times New Roman" w:hAnsi="Times New Roman" w:eastAsia="仿宋_GB2312"/>
        </w:rPr>
        <w:t>的同品种对比</w:t>
      </w:r>
      <w:r>
        <w:rPr>
          <w:rFonts w:hint="eastAsia" w:ascii="Times New Roman" w:hAnsi="Times New Roman" w:eastAsia="仿宋_GB2312"/>
        </w:rPr>
        <w:t>进行限制。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51BEF"/>
    <w:multiLevelType w:val="multilevel"/>
    <w:tmpl w:val="02F51BEF"/>
    <w:lvl w:ilvl="0" w:tentative="0">
      <w:start w:val="1"/>
      <w:numFmt w:val="bullet"/>
      <w:pStyle w:val="25"/>
      <w:lvlText w:val=""/>
      <w:lvlJc w:val="left"/>
      <w:pPr>
        <w:tabs>
          <w:tab w:val="left" w:pos="420"/>
        </w:tabs>
        <w:ind w:left="420" w:hanging="420"/>
      </w:pPr>
      <w:rPr>
        <w:rFonts w:hint="default" w:ascii="Wingdings" w:hAnsi="Wingdings"/>
        <w:sz w:val="20"/>
      </w:rPr>
    </w:lvl>
    <w:lvl w:ilvl="1" w:tentative="0">
      <w:start w:val="1"/>
      <w:numFmt w:val="bullet"/>
      <w:lvlText w:val=""/>
      <w:lvlJc w:val="left"/>
      <w:pPr>
        <w:tabs>
          <w:tab w:val="left" w:pos="620"/>
        </w:tabs>
        <w:ind w:left="620" w:hanging="420"/>
      </w:pPr>
      <w:rPr>
        <w:rFonts w:hint="default" w:ascii="Wingdings" w:hAnsi="Wingdings"/>
      </w:rPr>
    </w:lvl>
    <w:lvl w:ilvl="2" w:tentative="0">
      <w:start w:val="1"/>
      <w:numFmt w:val="bullet"/>
      <w:lvlText w:val=""/>
      <w:lvlJc w:val="left"/>
      <w:pPr>
        <w:tabs>
          <w:tab w:val="left" w:pos="1040"/>
        </w:tabs>
        <w:ind w:left="1040" w:hanging="420"/>
      </w:pPr>
      <w:rPr>
        <w:rFonts w:hint="default" w:ascii="Wingdings" w:hAnsi="Wingdings"/>
      </w:rPr>
    </w:lvl>
    <w:lvl w:ilvl="3" w:tentative="0">
      <w:start w:val="1"/>
      <w:numFmt w:val="bullet"/>
      <w:lvlText w:val=""/>
      <w:lvlJc w:val="left"/>
      <w:pPr>
        <w:tabs>
          <w:tab w:val="left" w:pos="1460"/>
        </w:tabs>
        <w:ind w:left="1460" w:hanging="420"/>
      </w:pPr>
      <w:rPr>
        <w:rFonts w:hint="default" w:ascii="Wingdings" w:hAnsi="Wingdings"/>
      </w:rPr>
    </w:lvl>
    <w:lvl w:ilvl="4" w:tentative="0">
      <w:start w:val="1"/>
      <w:numFmt w:val="bullet"/>
      <w:lvlText w:val=""/>
      <w:lvlJc w:val="left"/>
      <w:pPr>
        <w:tabs>
          <w:tab w:val="left" w:pos="1880"/>
        </w:tabs>
        <w:ind w:left="1880" w:hanging="420"/>
      </w:pPr>
      <w:rPr>
        <w:rFonts w:hint="default" w:ascii="Wingdings" w:hAnsi="Wingdings"/>
      </w:rPr>
    </w:lvl>
    <w:lvl w:ilvl="5" w:tentative="0">
      <w:start w:val="1"/>
      <w:numFmt w:val="bullet"/>
      <w:lvlText w:val=""/>
      <w:lvlJc w:val="left"/>
      <w:pPr>
        <w:tabs>
          <w:tab w:val="left" w:pos="2300"/>
        </w:tabs>
        <w:ind w:left="2300" w:hanging="420"/>
      </w:pPr>
      <w:rPr>
        <w:rFonts w:hint="default" w:ascii="Wingdings" w:hAnsi="Wingdings"/>
      </w:rPr>
    </w:lvl>
    <w:lvl w:ilvl="6" w:tentative="0">
      <w:start w:val="1"/>
      <w:numFmt w:val="bullet"/>
      <w:lvlText w:val=""/>
      <w:lvlJc w:val="left"/>
      <w:pPr>
        <w:tabs>
          <w:tab w:val="left" w:pos="2720"/>
        </w:tabs>
        <w:ind w:left="2720" w:hanging="420"/>
      </w:pPr>
      <w:rPr>
        <w:rFonts w:hint="default" w:ascii="Wingdings" w:hAnsi="Wingdings"/>
      </w:rPr>
    </w:lvl>
    <w:lvl w:ilvl="7" w:tentative="0">
      <w:start w:val="1"/>
      <w:numFmt w:val="bullet"/>
      <w:lvlText w:val=""/>
      <w:lvlJc w:val="left"/>
      <w:pPr>
        <w:tabs>
          <w:tab w:val="left" w:pos="3140"/>
        </w:tabs>
        <w:ind w:left="3140" w:hanging="420"/>
      </w:pPr>
      <w:rPr>
        <w:rFonts w:hint="default" w:ascii="Wingdings" w:hAnsi="Wingdings"/>
      </w:rPr>
    </w:lvl>
    <w:lvl w:ilvl="8" w:tentative="0">
      <w:start w:val="1"/>
      <w:numFmt w:val="bullet"/>
      <w:lvlText w:val=""/>
      <w:lvlJc w:val="left"/>
      <w:pPr>
        <w:tabs>
          <w:tab w:val="left" w:pos="3560"/>
        </w:tabs>
        <w:ind w:left="35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FA"/>
    <w:rsid w:val="000005A9"/>
    <w:rsid w:val="0000077C"/>
    <w:rsid w:val="00002C62"/>
    <w:rsid w:val="0000326B"/>
    <w:rsid w:val="00003D4D"/>
    <w:rsid w:val="00003F8A"/>
    <w:rsid w:val="00003F94"/>
    <w:rsid w:val="00005D5F"/>
    <w:rsid w:val="00007487"/>
    <w:rsid w:val="00010CA4"/>
    <w:rsid w:val="00011101"/>
    <w:rsid w:val="00012E1B"/>
    <w:rsid w:val="00013283"/>
    <w:rsid w:val="000139D8"/>
    <w:rsid w:val="000160BB"/>
    <w:rsid w:val="00023A44"/>
    <w:rsid w:val="00023B51"/>
    <w:rsid w:val="0002579D"/>
    <w:rsid w:val="0002700F"/>
    <w:rsid w:val="00027ED4"/>
    <w:rsid w:val="00030525"/>
    <w:rsid w:val="000325D6"/>
    <w:rsid w:val="00033CF0"/>
    <w:rsid w:val="0003402B"/>
    <w:rsid w:val="0004090B"/>
    <w:rsid w:val="0004193A"/>
    <w:rsid w:val="00042FAA"/>
    <w:rsid w:val="00044330"/>
    <w:rsid w:val="000451AA"/>
    <w:rsid w:val="00046370"/>
    <w:rsid w:val="00047D94"/>
    <w:rsid w:val="00051996"/>
    <w:rsid w:val="00051D7D"/>
    <w:rsid w:val="000526D7"/>
    <w:rsid w:val="00052D08"/>
    <w:rsid w:val="000540F8"/>
    <w:rsid w:val="0005423C"/>
    <w:rsid w:val="000565F4"/>
    <w:rsid w:val="000569E9"/>
    <w:rsid w:val="00057C2D"/>
    <w:rsid w:val="00060A3E"/>
    <w:rsid w:val="00061115"/>
    <w:rsid w:val="00066044"/>
    <w:rsid w:val="00071280"/>
    <w:rsid w:val="00072E60"/>
    <w:rsid w:val="00073C1A"/>
    <w:rsid w:val="00074050"/>
    <w:rsid w:val="00074EA1"/>
    <w:rsid w:val="00076CD3"/>
    <w:rsid w:val="00082161"/>
    <w:rsid w:val="00082F63"/>
    <w:rsid w:val="00084B02"/>
    <w:rsid w:val="00084C84"/>
    <w:rsid w:val="00085283"/>
    <w:rsid w:val="000854C3"/>
    <w:rsid w:val="00090724"/>
    <w:rsid w:val="00093582"/>
    <w:rsid w:val="000937FB"/>
    <w:rsid w:val="00094AAA"/>
    <w:rsid w:val="000962F6"/>
    <w:rsid w:val="0009722B"/>
    <w:rsid w:val="00097406"/>
    <w:rsid w:val="000975F0"/>
    <w:rsid w:val="000A12CA"/>
    <w:rsid w:val="000A1A58"/>
    <w:rsid w:val="000A2B68"/>
    <w:rsid w:val="000A46B8"/>
    <w:rsid w:val="000A665C"/>
    <w:rsid w:val="000A778B"/>
    <w:rsid w:val="000B0E03"/>
    <w:rsid w:val="000B0FEA"/>
    <w:rsid w:val="000B11E4"/>
    <w:rsid w:val="000B2A3A"/>
    <w:rsid w:val="000C039E"/>
    <w:rsid w:val="000C122F"/>
    <w:rsid w:val="000C43F3"/>
    <w:rsid w:val="000C56D4"/>
    <w:rsid w:val="000C6835"/>
    <w:rsid w:val="000C7FED"/>
    <w:rsid w:val="000D38EA"/>
    <w:rsid w:val="000E0271"/>
    <w:rsid w:val="000E32F9"/>
    <w:rsid w:val="000E5B30"/>
    <w:rsid w:val="000E5FFB"/>
    <w:rsid w:val="000E6F51"/>
    <w:rsid w:val="000E7F9D"/>
    <w:rsid w:val="000F1173"/>
    <w:rsid w:val="000F17B2"/>
    <w:rsid w:val="000F2C0A"/>
    <w:rsid w:val="000F56C5"/>
    <w:rsid w:val="00100474"/>
    <w:rsid w:val="00105229"/>
    <w:rsid w:val="00106028"/>
    <w:rsid w:val="00110176"/>
    <w:rsid w:val="0011361D"/>
    <w:rsid w:val="001143B7"/>
    <w:rsid w:val="001143FE"/>
    <w:rsid w:val="00117BEB"/>
    <w:rsid w:val="00120E01"/>
    <w:rsid w:val="001210AF"/>
    <w:rsid w:val="001227FE"/>
    <w:rsid w:val="001253BB"/>
    <w:rsid w:val="00126040"/>
    <w:rsid w:val="00126929"/>
    <w:rsid w:val="001314F8"/>
    <w:rsid w:val="00132BB4"/>
    <w:rsid w:val="00133E97"/>
    <w:rsid w:val="0013520F"/>
    <w:rsid w:val="001401C4"/>
    <w:rsid w:val="0014090F"/>
    <w:rsid w:val="00140F07"/>
    <w:rsid w:val="00141F49"/>
    <w:rsid w:val="0014228F"/>
    <w:rsid w:val="00143B61"/>
    <w:rsid w:val="00143EE6"/>
    <w:rsid w:val="00146537"/>
    <w:rsid w:val="001535F4"/>
    <w:rsid w:val="0015396C"/>
    <w:rsid w:val="00153B6A"/>
    <w:rsid w:val="001551F7"/>
    <w:rsid w:val="00155554"/>
    <w:rsid w:val="00157F00"/>
    <w:rsid w:val="00160113"/>
    <w:rsid w:val="0016544D"/>
    <w:rsid w:val="001662BB"/>
    <w:rsid w:val="00170341"/>
    <w:rsid w:val="001704D5"/>
    <w:rsid w:val="00175071"/>
    <w:rsid w:val="00176817"/>
    <w:rsid w:val="00176B76"/>
    <w:rsid w:val="00176CBB"/>
    <w:rsid w:val="0018231A"/>
    <w:rsid w:val="00183E60"/>
    <w:rsid w:val="00185919"/>
    <w:rsid w:val="001864FA"/>
    <w:rsid w:val="001900C7"/>
    <w:rsid w:val="00190CFA"/>
    <w:rsid w:val="00190E32"/>
    <w:rsid w:val="00192ECE"/>
    <w:rsid w:val="001939A0"/>
    <w:rsid w:val="00196AC0"/>
    <w:rsid w:val="0019723D"/>
    <w:rsid w:val="00197B35"/>
    <w:rsid w:val="00197C2D"/>
    <w:rsid w:val="001A12DB"/>
    <w:rsid w:val="001A33E4"/>
    <w:rsid w:val="001A3F5A"/>
    <w:rsid w:val="001B1118"/>
    <w:rsid w:val="001B1D30"/>
    <w:rsid w:val="001B2FF3"/>
    <w:rsid w:val="001B7538"/>
    <w:rsid w:val="001C0C9E"/>
    <w:rsid w:val="001C40E8"/>
    <w:rsid w:val="001C4446"/>
    <w:rsid w:val="001C59DF"/>
    <w:rsid w:val="001C7A5D"/>
    <w:rsid w:val="001D351B"/>
    <w:rsid w:val="001D5AAD"/>
    <w:rsid w:val="001D632A"/>
    <w:rsid w:val="001D6763"/>
    <w:rsid w:val="001D6A1A"/>
    <w:rsid w:val="001D744B"/>
    <w:rsid w:val="001D7A22"/>
    <w:rsid w:val="001E19E2"/>
    <w:rsid w:val="001E223F"/>
    <w:rsid w:val="001E2529"/>
    <w:rsid w:val="001E4DF7"/>
    <w:rsid w:val="001E5A75"/>
    <w:rsid w:val="001E5CAF"/>
    <w:rsid w:val="001E5EE4"/>
    <w:rsid w:val="001E7F08"/>
    <w:rsid w:val="001F04B2"/>
    <w:rsid w:val="001F244D"/>
    <w:rsid w:val="0020170E"/>
    <w:rsid w:val="00201DC1"/>
    <w:rsid w:val="00202BC0"/>
    <w:rsid w:val="00203D06"/>
    <w:rsid w:val="00204ED3"/>
    <w:rsid w:val="002126D2"/>
    <w:rsid w:val="00215B8D"/>
    <w:rsid w:val="002160A7"/>
    <w:rsid w:val="00216D42"/>
    <w:rsid w:val="00217B28"/>
    <w:rsid w:val="00217BE7"/>
    <w:rsid w:val="00220079"/>
    <w:rsid w:val="00220F7D"/>
    <w:rsid w:val="00223805"/>
    <w:rsid w:val="002262AF"/>
    <w:rsid w:val="00226816"/>
    <w:rsid w:val="00227140"/>
    <w:rsid w:val="002278F3"/>
    <w:rsid w:val="002339B9"/>
    <w:rsid w:val="00235313"/>
    <w:rsid w:val="00237FA4"/>
    <w:rsid w:val="00245D7F"/>
    <w:rsid w:val="00247C59"/>
    <w:rsid w:val="0025039B"/>
    <w:rsid w:val="002521AF"/>
    <w:rsid w:val="00252459"/>
    <w:rsid w:val="002529DA"/>
    <w:rsid w:val="00252F3D"/>
    <w:rsid w:val="00256093"/>
    <w:rsid w:val="00256F8E"/>
    <w:rsid w:val="002609DC"/>
    <w:rsid w:val="00262806"/>
    <w:rsid w:val="002629AE"/>
    <w:rsid w:val="00264EA5"/>
    <w:rsid w:val="002668C0"/>
    <w:rsid w:val="0026748F"/>
    <w:rsid w:val="00273F7F"/>
    <w:rsid w:val="002765D2"/>
    <w:rsid w:val="00277D4C"/>
    <w:rsid w:val="0028244C"/>
    <w:rsid w:val="002837E3"/>
    <w:rsid w:val="00284748"/>
    <w:rsid w:val="00287B27"/>
    <w:rsid w:val="002A13CE"/>
    <w:rsid w:val="002A1924"/>
    <w:rsid w:val="002A528E"/>
    <w:rsid w:val="002A5813"/>
    <w:rsid w:val="002A60F0"/>
    <w:rsid w:val="002B0A9D"/>
    <w:rsid w:val="002B51D7"/>
    <w:rsid w:val="002C1699"/>
    <w:rsid w:val="002C24BA"/>
    <w:rsid w:val="002C2D8C"/>
    <w:rsid w:val="002C60F7"/>
    <w:rsid w:val="002C7CFB"/>
    <w:rsid w:val="002D0602"/>
    <w:rsid w:val="002D1E07"/>
    <w:rsid w:val="002D1EB1"/>
    <w:rsid w:val="002D3147"/>
    <w:rsid w:val="002D3262"/>
    <w:rsid w:val="002D4FB4"/>
    <w:rsid w:val="002D545D"/>
    <w:rsid w:val="002D7755"/>
    <w:rsid w:val="002E14CF"/>
    <w:rsid w:val="002E1893"/>
    <w:rsid w:val="002E22EC"/>
    <w:rsid w:val="002F1AE6"/>
    <w:rsid w:val="002F1D82"/>
    <w:rsid w:val="002F3D79"/>
    <w:rsid w:val="002F41EF"/>
    <w:rsid w:val="002F493D"/>
    <w:rsid w:val="002F559B"/>
    <w:rsid w:val="002F65E3"/>
    <w:rsid w:val="0030041C"/>
    <w:rsid w:val="003005CA"/>
    <w:rsid w:val="00302FA0"/>
    <w:rsid w:val="003036DD"/>
    <w:rsid w:val="00303E5F"/>
    <w:rsid w:val="00304137"/>
    <w:rsid w:val="00307F38"/>
    <w:rsid w:val="003108C3"/>
    <w:rsid w:val="00312662"/>
    <w:rsid w:val="0031562C"/>
    <w:rsid w:val="00316170"/>
    <w:rsid w:val="00317AEA"/>
    <w:rsid w:val="00320BFB"/>
    <w:rsid w:val="003249A7"/>
    <w:rsid w:val="00326960"/>
    <w:rsid w:val="00326EB1"/>
    <w:rsid w:val="00331EA0"/>
    <w:rsid w:val="00332AC2"/>
    <w:rsid w:val="00332FF7"/>
    <w:rsid w:val="003331E7"/>
    <w:rsid w:val="00335255"/>
    <w:rsid w:val="00335409"/>
    <w:rsid w:val="00335DA8"/>
    <w:rsid w:val="00336C3B"/>
    <w:rsid w:val="00337E0C"/>
    <w:rsid w:val="0034450B"/>
    <w:rsid w:val="003523E8"/>
    <w:rsid w:val="00354C3C"/>
    <w:rsid w:val="00362256"/>
    <w:rsid w:val="003635C4"/>
    <w:rsid w:val="00363705"/>
    <w:rsid w:val="003637CD"/>
    <w:rsid w:val="00363BB8"/>
    <w:rsid w:val="0037673E"/>
    <w:rsid w:val="00380652"/>
    <w:rsid w:val="00380B63"/>
    <w:rsid w:val="00382B95"/>
    <w:rsid w:val="003830B6"/>
    <w:rsid w:val="00383E57"/>
    <w:rsid w:val="003846F0"/>
    <w:rsid w:val="0038535B"/>
    <w:rsid w:val="00386F78"/>
    <w:rsid w:val="00387554"/>
    <w:rsid w:val="003878B3"/>
    <w:rsid w:val="00394EA3"/>
    <w:rsid w:val="0039509F"/>
    <w:rsid w:val="00396E61"/>
    <w:rsid w:val="003978A7"/>
    <w:rsid w:val="003A0791"/>
    <w:rsid w:val="003A1668"/>
    <w:rsid w:val="003A43CE"/>
    <w:rsid w:val="003A472C"/>
    <w:rsid w:val="003A5BB1"/>
    <w:rsid w:val="003B0B8D"/>
    <w:rsid w:val="003B2580"/>
    <w:rsid w:val="003B5C69"/>
    <w:rsid w:val="003B5C75"/>
    <w:rsid w:val="003B67E6"/>
    <w:rsid w:val="003B6924"/>
    <w:rsid w:val="003B7CBB"/>
    <w:rsid w:val="003B7CE3"/>
    <w:rsid w:val="003C0203"/>
    <w:rsid w:val="003C1A6B"/>
    <w:rsid w:val="003C1D07"/>
    <w:rsid w:val="003C21EC"/>
    <w:rsid w:val="003C23C8"/>
    <w:rsid w:val="003C3301"/>
    <w:rsid w:val="003C38B2"/>
    <w:rsid w:val="003C3969"/>
    <w:rsid w:val="003C5533"/>
    <w:rsid w:val="003C75A7"/>
    <w:rsid w:val="003C78D0"/>
    <w:rsid w:val="003C7A7A"/>
    <w:rsid w:val="003D0548"/>
    <w:rsid w:val="003D074B"/>
    <w:rsid w:val="003D1D6C"/>
    <w:rsid w:val="003D3ED3"/>
    <w:rsid w:val="003D62FE"/>
    <w:rsid w:val="003D7620"/>
    <w:rsid w:val="003E0D53"/>
    <w:rsid w:val="003E0D6D"/>
    <w:rsid w:val="003E1808"/>
    <w:rsid w:val="003E34C4"/>
    <w:rsid w:val="003E4184"/>
    <w:rsid w:val="003E6D11"/>
    <w:rsid w:val="003E733B"/>
    <w:rsid w:val="003F0262"/>
    <w:rsid w:val="003F1C3E"/>
    <w:rsid w:val="003F248C"/>
    <w:rsid w:val="003F2FED"/>
    <w:rsid w:val="003F65AF"/>
    <w:rsid w:val="003F7C30"/>
    <w:rsid w:val="0040014A"/>
    <w:rsid w:val="0040315B"/>
    <w:rsid w:val="00403938"/>
    <w:rsid w:val="0040395D"/>
    <w:rsid w:val="00403A31"/>
    <w:rsid w:val="00403C13"/>
    <w:rsid w:val="0040499F"/>
    <w:rsid w:val="00405A1C"/>
    <w:rsid w:val="00406066"/>
    <w:rsid w:val="00406253"/>
    <w:rsid w:val="00407037"/>
    <w:rsid w:val="00407AD2"/>
    <w:rsid w:val="004102C1"/>
    <w:rsid w:val="00410C5E"/>
    <w:rsid w:val="00413C73"/>
    <w:rsid w:val="00413DE3"/>
    <w:rsid w:val="00413EBC"/>
    <w:rsid w:val="00414F3B"/>
    <w:rsid w:val="00414F54"/>
    <w:rsid w:val="004165F1"/>
    <w:rsid w:val="00420069"/>
    <w:rsid w:val="004240F9"/>
    <w:rsid w:val="00424D23"/>
    <w:rsid w:val="00425138"/>
    <w:rsid w:val="00426B13"/>
    <w:rsid w:val="00430BBF"/>
    <w:rsid w:val="00431306"/>
    <w:rsid w:val="004324AD"/>
    <w:rsid w:val="0043346B"/>
    <w:rsid w:val="00433B11"/>
    <w:rsid w:val="00433E70"/>
    <w:rsid w:val="00435896"/>
    <w:rsid w:val="004370D3"/>
    <w:rsid w:val="0044003B"/>
    <w:rsid w:val="0044082F"/>
    <w:rsid w:val="00440B87"/>
    <w:rsid w:val="00443975"/>
    <w:rsid w:val="00443FF2"/>
    <w:rsid w:val="004440D5"/>
    <w:rsid w:val="0044640A"/>
    <w:rsid w:val="004531B4"/>
    <w:rsid w:val="00454509"/>
    <w:rsid w:val="0045487A"/>
    <w:rsid w:val="0045552A"/>
    <w:rsid w:val="004561C8"/>
    <w:rsid w:val="00462613"/>
    <w:rsid w:val="00462EE1"/>
    <w:rsid w:val="004671F9"/>
    <w:rsid w:val="00467908"/>
    <w:rsid w:val="00467F9A"/>
    <w:rsid w:val="004704A7"/>
    <w:rsid w:val="00470EE6"/>
    <w:rsid w:val="00476A66"/>
    <w:rsid w:val="004771CA"/>
    <w:rsid w:val="0048186D"/>
    <w:rsid w:val="00481C4E"/>
    <w:rsid w:val="00481CDB"/>
    <w:rsid w:val="00482A5F"/>
    <w:rsid w:val="00482FC7"/>
    <w:rsid w:val="0048588A"/>
    <w:rsid w:val="00485FB5"/>
    <w:rsid w:val="00487D9E"/>
    <w:rsid w:val="00490C48"/>
    <w:rsid w:val="0049168B"/>
    <w:rsid w:val="00492462"/>
    <w:rsid w:val="00493CB5"/>
    <w:rsid w:val="00494764"/>
    <w:rsid w:val="00494C6F"/>
    <w:rsid w:val="00495667"/>
    <w:rsid w:val="00495683"/>
    <w:rsid w:val="004A6430"/>
    <w:rsid w:val="004A7407"/>
    <w:rsid w:val="004B2127"/>
    <w:rsid w:val="004B45A3"/>
    <w:rsid w:val="004B531F"/>
    <w:rsid w:val="004B5D49"/>
    <w:rsid w:val="004C0B7C"/>
    <w:rsid w:val="004C124E"/>
    <w:rsid w:val="004C29B7"/>
    <w:rsid w:val="004C2B3B"/>
    <w:rsid w:val="004C4438"/>
    <w:rsid w:val="004C4FB1"/>
    <w:rsid w:val="004C6A8A"/>
    <w:rsid w:val="004D7C8E"/>
    <w:rsid w:val="004E0D0B"/>
    <w:rsid w:val="004E352E"/>
    <w:rsid w:val="004E4B42"/>
    <w:rsid w:val="004E62E9"/>
    <w:rsid w:val="004E6B99"/>
    <w:rsid w:val="004F0C03"/>
    <w:rsid w:val="004F0FFF"/>
    <w:rsid w:val="004F27FA"/>
    <w:rsid w:val="00500008"/>
    <w:rsid w:val="00501590"/>
    <w:rsid w:val="00502B4A"/>
    <w:rsid w:val="00506A26"/>
    <w:rsid w:val="00506B80"/>
    <w:rsid w:val="00507BE6"/>
    <w:rsid w:val="0051035E"/>
    <w:rsid w:val="00511616"/>
    <w:rsid w:val="005117A8"/>
    <w:rsid w:val="00511C3B"/>
    <w:rsid w:val="00516073"/>
    <w:rsid w:val="00516F98"/>
    <w:rsid w:val="00523C4D"/>
    <w:rsid w:val="0052535B"/>
    <w:rsid w:val="005260B1"/>
    <w:rsid w:val="00527208"/>
    <w:rsid w:val="005338CD"/>
    <w:rsid w:val="00535180"/>
    <w:rsid w:val="005359C7"/>
    <w:rsid w:val="00536BFD"/>
    <w:rsid w:val="005456A9"/>
    <w:rsid w:val="00546659"/>
    <w:rsid w:val="005518A1"/>
    <w:rsid w:val="00553800"/>
    <w:rsid w:val="00554DD7"/>
    <w:rsid w:val="005560F0"/>
    <w:rsid w:val="005633E5"/>
    <w:rsid w:val="00564DF8"/>
    <w:rsid w:val="005650BC"/>
    <w:rsid w:val="005652A9"/>
    <w:rsid w:val="0056641E"/>
    <w:rsid w:val="00567363"/>
    <w:rsid w:val="00571E2D"/>
    <w:rsid w:val="005767BE"/>
    <w:rsid w:val="005771FB"/>
    <w:rsid w:val="00582131"/>
    <w:rsid w:val="005904FE"/>
    <w:rsid w:val="00591177"/>
    <w:rsid w:val="005916A0"/>
    <w:rsid w:val="00593FA9"/>
    <w:rsid w:val="00594273"/>
    <w:rsid w:val="00595499"/>
    <w:rsid w:val="005957A5"/>
    <w:rsid w:val="00597112"/>
    <w:rsid w:val="00597A7C"/>
    <w:rsid w:val="005A0567"/>
    <w:rsid w:val="005A123C"/>
    <w:rsid w:val="005A4928"/>
    <w:rsid w:val="005B0737"/>
    <w:rsid w:val="005B1445"/>
    <w:rsid w:val="005B26E9"/>
    <w:rsid w:val="005B2E91"/>
    <w:rsid w:val="005B6403"/>
    <w:rsid w:val="005B6F64"/>
    <w:rsid w:val="005B7F50"/>
    <w:rsid w:val="005C1C02"/>
    <w:rsid w:val="005C4BE0"/>
    <w:rsid w:val="005C4FE9"/>
    <w:rsid w:val="005C4FFC"/>
    <w:rsid w:val="005C55A3"/>
    <w:rsid w:val="005C7F5D"/>
    <w:rsid w:val="005D06F3"/>
    <w:rsid w:val="005D2A47"/>
    <w:rsid w:val="005D6139"/>
    <w:rsid w:val="005D623B"/>
    <w:rsid w:val="005E0026"/>
    <w:rsid w:val="005E09D4"/>
    <w:rsid w:val="005E29BA"/>
    <w:rsid w:val="005E340A"/>
    <w:rsid w:val="005E34AE"/>
    <w:rsid w:val="005E751C"/>
    <w:rsid w:val="005F0679"/>
    <w:rsid w:val="005F0EAF"/>
    <w:rsid w:val="005F4E71"/>
    <w:rsid w:val="005F59D0"/>
    <w:rsid w:val="005F6069"/>
    <w:rsid w:val="005F6BD2"/>
    <w:rsid w:val="00600768"/>
    <w:rsid w:val="0060307B"/>
    <w:rsid w:val="00604A7C"/>
    <w:rsid w:val="006060B2"/>
    <w:rsid w:val="006065D0"/>
    <w:rsid w:val="0060765F"/>
    <w:rsid w:val="00607821"/>
    <w:rsid w:val="00614457"/>
    <w:rsid w:val="006153FD"/>
    <w:rsid w:val="00616060"/>
    <w:rsid w:val="00616B1A"/>
    <w:rsid w:val="0061781B"/>
    <w:rsid w:val="00617828"/>
    <w:rsid w:val="006213CD"/>
    <w:rsid w:val="00622646"/>
    <w:rsid w:val="006241E6"/>
    <w:rsid w:val="00624270"/>
    <w:rsid w:val="00624365"/>
    <w:rsid w:val="00624E9E"/>
    <w:rsid w:val="00626F38"/>
    <w:rsid w:val="0063291D"/>
    <w:rsid w:val="00633E26"/>
    <w:rsid w:val="00634C89"/>
    <w:rsid w:val="006373E9"/>
    <w:rsid w:val="006402A4"/>
    <w:rsid w:val="00640444"/>
    <w:rsid w:val="00642B01"/>
    <w:rsid w:val="00644E31"/>
    <w:rsid w:val="00645148"/>
    <w:rsid w:val="00647858"/>
    <w:rsid w:val="0065050C"/>
    <w:rsid w:val="00651E99"/>
    <w:rsid w:val="00654EB1"/>
    <w:rsid w:val="0065557E"/>
    <w:rsid w:val="006563C4"/>
    <w:rsid w:val="00661D57"/>
    <w:rsid w:val="00662AA3"/>
    <w:rsid w:val="00663219"/>
    <w:rsid w:val="00663B8C"/>
    <w:rsid w:val="006641B1"/>
    <w:rsid w:val="00664946"/>
    <w:rsid w:val="00666530"/>
    <w:rsid w:val="006676D6"/>
    <w:rsid w:val="00672581"/>
    <w:rsid w:val="0067280A"/>
    <w:rsid w:val="00674A3C"/>
    <w:rsid w:val="00675A89"/>
    <w:rsid w:val="006766E1"/>
    <w:rsid w:val="00677CA1"/>
    <w:rsid w:val="00680413"/>
    <w:rsid w:val="00681291"/>
    <w:rsid w:val="006817C3"/>
    <w:rsid w:val="00682352"/>
    <w:rsid w:val="006823BC"/>
    <w:rsid w:val="00685288"/>
    <w:rsid w:val="00685741"/>
    <w:rsid w:val="006875AE"/>
    <w:rsid w:val="0069021F"/>
    <w:rsid w:val="00690A71"/>
    <w:rsid w:val="00693288"/>
    <w:rsid w:val="006933A5"/>
    <w:rsid w:val="00693A02"/>
    <w:rsid w:val="0069473D"/>
    <w:rsid w:val="0069542B"/>
    <w:rsid w:val="006A354C"/>
    <w:rsid w:val="006A3BA2"/>
    <w:rsid w:val="006A66D4"/>
    <w:rsid w:val="006A6DD4"/>
    <w:rsid w:val="006B04D9"/>
    <w:rsid w:val="006B0F79"/>
    <w:rsid w:val="006B1772"/>
    <w:rsid w:val="006B3CA0"/>
    <w:rsid w:val="006B4938"/>
    <w:rsid w:val="006B4A67"/>
    <w:rsid w:val="006B4D5F"/>
    <w:rsid w:val="006B4EBA"/>
    <w:rsid w:val="006C0883"/>
    <w:rsid w:val="006C16C2"/>
    <w:rsid w:val="006C5D09"/>
    <w:rsid w:val="006C730F"/>
    <w:rsid w:val="006D3042"/>
    <w:rsid w:val="006D45CB"/>
    <w:rsid w:val="006D4A28"/>
    <w:rsid w:val="006D52C1"/>
    <w:rsid w:val="006D53E8"/>
    <w:rsid w:val="006D7BAF"/>
    <w:rsid w:val="006E1086"/>
    <w:rsid w:val="006E1286"/>
    <w:rsid w:val="006E1ADA"/>
    <w:rsid w:val="006E30A7"/>
    <w:rsid w:val="006F01BC"/>
    <w:rsid w:val="006F03ED"/>
    <w:rsid w:val="006F0B0F"/>
    <w:rsid w:val="006F25D1"/>
    <w:rsid w:val="006F5610"/>
    <w:rsid w:val="006F5D1F"/>
    <w:rsid w:val="006F6265"/>
    <w:rsid w:val="0070039F"/>
    <w:rsid w:val="00700529"/>
    <w:rsid w:val="00701384"/>
    <w:rsid w:val="00701813"/>
    <w:rsid w:val="00703CD5"/>
    <w:rsid w:val="00707461"/>
    <w:rsid w:val="00710039"/>
    <w:rsid w:val="00711387"/>
    <w:rsid w:val="0071266B"/>
    <w:rsid w:val="00713845"/>
    <w:rsid w:val="00714231"/>
    <w:rsid w:val="00714E15"/>
    <w:rsid w:val="00716E13"/>
    <w:rsid w:val="007202B3"/>
    <w:rsid w:val="00721343"/>
    <w:rsid w:val="00722A24"/>
    <w:rsid w:val="0072560D"/>
    <w:rsid w:val="00725DFA"/>
    <w:rsid w:val="00727BD1"/>
    <w:rsid w:val="00735D34"/>
    <w:rsid w:val="00737E73"/>
    <w:rsid w:val="0074069A"/>
    <w:rsid w:val="00742224"/>
    <w:rsid w:val="00742591"/>
    <w:rsid w:val="00742F7C"/>
    <w:rsid w:val="0074451A"/>
    <w:rsid w:val="00745F4D"/>
    <w:rsid w:val="0074785E"/>
    <w:rsid w:val="00750971"/>
    <w:rsid w:val="00751ABE"/>
    <w:rsid w:val="007547CD"/>
    <w:rsid w:val="00755F51"/>
    <w:rsid w:val="00757334"/>
    <w:rsid w:val="007607FD"/>
    <w:rsid w:val="0076326E"/>
    <w:rsid w:val="007638D0"/>
    <w:rsid w:val="00763CE5"/>
    <w:rsid w:val="00764C02"/>
    <w:rsid w:val="00765E90"/>
    <w:rsid w:val="00766C67"/>
    <w:rsid w:val="007671E7"/>
    <w:rsid w:val="00767EEC"/>
    <w:rsid w:val="00771369"/>
    <w:rsid w:val="0077215A"/>
    <w:rsid w:val="0077239D"/>
    <w:rsid w:val="00773AAE"/>
    <w:rsid w:val="00774F77"/>
    <w:rsid w:val="00783155"/>
    <w:rsid w:val="00784D74"/>
    <w:rsid w:val="0079259C"/>
    <w:rsid w:val="0079404A"/>
    <w:rsid w:val="00795501"/>
    <w:rsid w:val="00797238"/>
    <w:rsid w:val="007976AC"/>
    <w:rsid w:val="00797A97"/>
    <w:rsid w:val="007A10E0"/>
    <w:rsid w:val="007A2B64"/>
    <w:rsid w:val="007A2EFB"/>
    <w:rsid w:val="007A5040"/>
    <w:rsid w:val="007B0733"/>
    <w:rsid w:val="007B10B3"/>
    <w:rsid w:val="007B2465"/>
    <w:rsid w:val="007B2D5E"/>
    <w:rsid w:val="007B433B"/>
    <w:rsid w:val="007B63CB"/>
    <w:rsid w:val="007C10A3"/>
    <w:rsid w:val="007C1C46"/>
    <w:rsid w:val="007C2424"/>
    <w:rsid w:val="007C2ABA"/>
    <w:rsid w:val="007C3199"/>
    <w:rsid w:val="007C36E8"/>
    <w:rsid w:val="007C58BE"/>
    <w:rsid w:val="007D2775"/>
    <w:rsid w:val="007D410C"/>
    <w:rsid w:val="007E02B0"/>
    <w:rsid w:val="007E0FA9"/>
    <w:rsid w:val="007E18BB"/>
    <w:rsid w:val="007E7290"/>
    <w:rsid w:val="007F04CB"/>
    <w:rsid w:val="007F38CB"/>
    <w:rsid w:val="00800571"/>
    <w:rsid w:val="00804715"/>
    <w:rsid w:val="00805D7C"/>
    <w:rsid w:val="008061D7"/>
    <w:rsid w:val="00812B20"/>
    <w:rsid w:val="008157AC"/>
    <w:rsid w:val="00816338"/>
    <w:rsid w:val="008168DA"/>
    <w:rsid w:val="00817CD2"/>
    <w:rsid w:val="008218A4"/>
    <w:rsid w:val="00821B01"/>
    <w:rsid w:val="008231BE"/>
    <w:rsid w:val="0082393F"/>
    <w:rsid w:val="00823E10"/>
    <w:rsid w:val="00825477"/>
    <w:rsid w:val="008254DC"/>
    <w:rsid w:val="0082581F"/>
    <w:rsid w:val="00826E72"/>
    <w:rsid w:val="00827102"/>
    <w:rsid w:val="00830446"/>
    <w:rsid w:val="00831B9E"/>
    <w:rsid w:val="008338D9"/>
    <w:rsid w:val="00837FC8"/>
    <w:rsid w:val="00841268"/>
    <w:rsid w:val="0084166C"/>
    <w:rsid w:val="00843CAF"/>
    <w:rsid w:val="008441C5"/>
    <w:rsid w:val="00846C27"/>
    <w:rsid w:val="0084739D"/>
    <w:rsid w:val="0084781C"/>
    <w:rsid w:val="00847D79"/>
    <w:rsid w:val="00851932"/>
    <w:rsid w:val="00852A33"/>
    <w:rsid w:val="00853233"/>
    <w:rsid w:val="00853E11"/>
    <w:rsid w:val="00855D32"/>
    <w:rsid w:val="00860469"/>
    <w:rsid w:val="00860AAD"/>
    <w:rsid w:val="00861A6A"/>
    <w:rsid w:val="00863753"/>
    <w:rsid w:val="00866947"/>
    <w:rsid w:val="0087043B"/>
    <w:rsid w:val="0087046A"/>
    <w:rsid w:val="00871795"/>
    <w:rsid w:val="0087377E"/>
    <w:rsid w:val="00873BCF"/>
    <w:rsid w:val="008740FE"/>
    <w:rsid w:val="008743D3"/>
    <w:rsid w:val="00874E6D"/>
    <w:rsid w:val="00875E63"/>
    <w:rsid w:val="00875FB0"/>
    <w:rsid w:val="00877CA2"/>
    <w:rsid w:val="008814E8"/>
    <w:rsid w:val="008817DB"/>
    <w:rsid w:val="00885089"/>
    <w:rsid w:val="00885357"/>
    <w:rsid w:val="00885793"/>
    <w:rsid w:val="00890848"/>
    <w:rsid w:val="00890ACD"/>
    <w:rsid w:val="00892C07"/>
    <w:rsid w:val="00893C91"/>
    <w:rsid w:val="00895EE9"/>
    <w:rsid w:val="008A0ECB"/>
    <w:rsid w:val="008A0F74"/>
    <w:rsid w:val="008A358B"/>
    <w:rsid w:val="008A65EB"/>
    <w:rsid w:val="008A75B0"/>
    <w:rsid w:val="008A7A1F"/>
    <w:rsid w:val="008B2418"/>
    <w:rsid w:val="008B3D8B"/>
    <w:rsid w:val="008B5C1C"/>
    <w:rsid w:val="008B5F20"/>
    <w:rsid w:val="008B5F25"/>
    <w:rsid w:val="008C38FD"/>
    <w:rsid w:val="008C44E1"/>
    <w:rsid w:val="008C470E"/>
    <w:rsid w:val="008C4D95"/>
    <w:rsid w:val="008C757C"/>
    <w:rsid w:val="008D0E21"/>
    <w:rsid w:val="008D2BAE"/>
    <w:rsid w:val="008D3377"/>
    <w:rsid w:val="008D3972"/>
    <w:rsid w:val="008D43C8"/>
    <w:rsid w:val="008D5203"/>
    <w:rsid w:val="008E2501"/>
    <w:rsid w:val="008E2F65"/>
    <w:rsid w:val="008E3930"/>
    <w:rsid w:val="008E3DAB"/>
    <w:rsid w:val="008E43F5"/>
    <w:rsid w:val="008E4CE8"/>
    <w:rsid w:val="008E540C"/>
    <w:rsid w:val="008E59F7"/>
    <w:rsid w:val="008E7819"/>
    <w:rsid w:val="008F007C"/>
    <w:rsid w:val="008F132F"/>
    <w:rsid w:val="008F1828"/>
    <w:rsid w:val="008F2E60"/>
    <w:rsid w:val="008F3870"/>
    <w:rsid w:val="008F4980"/>
    <w:rsid w:val="008F6C7F"/>
    <w:rsid w:val="008F7723"/>
    <w:rsid w:val="009004F9"/>
    <w:rsid w:val="0091004C"/>
    <w:rsid w:val="00910765"/>
    <w:rsid w:val="00911D10"/>
    <w:rsid w:val="009139DC"/>
    <w:rsid w:val="009150B6"/>
    <w:rsid w:val="00917501"/>
    <w:rsid w:val="00917CF5"/>
    <w:rsid w:val="00921A24"/>
    <w:rsid w:val="00922CFE"/>
    <w:rsid w:val="009240DE"/>
    <w:rsid w:val="00924275"/>
    <w:rsid w:val="009242B9"/>
    <w:rsid w:val="00925C14"/>
    <w:rsid w:val="00925DA4"/>
    <w:rsid w:val="00925F93"/>
    <w:rsid w:val="0092637D"/>
    <w:rsid w:val="009320F1"/>
    <w:rsid w:val="0093586E"/>
    <w:rsid w:val="009365F0"/>
    <w:rsid w:val="009374FC"/>
    <w:rsid w:val="00940686"/>
    <w:rsid w:val="009410DE"/>
    <w:rsid w:val="00941681"/>
    <w:rsid w:val="00943CBA"/>
    <w:rsid w:val="00945596"/>
    <w:rsid w:val="00945D6C"/>
    <w:rsid w:val="009462FF"/>
    <w:rsid w:val="0095082D"/>
    <w:rsid w:val="009545F7"/>
    <w:rsid w:val="00957C5E"/>
    <w:rsid w:val="00961776"/>
    <w:rsid w:val="009630F7"/>
    <w:rsid w:val="0096312B"/>
    <w:rsid w:val="00965510"/>
    <w:rsid w:val="009671C9"/>
    <w:rsid w:val="0096763F"/>
    <w:rsid w:val="00970219"/>
    <w:rsid w:val="00970F3B"/>
    <w:rsid w:val="00971D75"/>
    <w:rsid w:val="009738FC"/>
    <w:rsid w:val="00973F29"/>
    <w:rsid w:val="00976263"/>
    <w:rsid w:val="00976DF1"/>
    <w:rsid w:val="009778ED"/>
    <w:rsid w:val="00981D2B"/>
    <w:rsid w:val="00982CA1"/>
    <w:rsid w:val="0098312F"/>
    <w:rsid w:val="00983B86"/>
    <w:rsid w:val="00983E57"/>
    <w:rsid w:val="00984BFF"/>
    <w:rsid w:val="00985597"/>
    <w:rsid w:val="00992897"/>
    <w:rsid w:val="009948CA"/>
    <w:rsid w:val="009A21A7"/>
    <w:rsid w:val="009A27E7"/>
    <w:rsid w:val="009A3C9D"/>
    <w:rsid w:val="009A43D9"/>
    <w:rsid w:val="009A4EFE"/>
    <w:rsid w:val="009A53E2"/>
    <w:rsid w:val="009B4AD2"/>
    <w:rsid w:val="009B617B"/>
    <w:rsid w:val="009B65F5"/>
    <w:rsid w:val="009C0ACF"/>
    <w:rsid w:val="009C2E89"/>
    <w:rsid w:val="009C3936"/>
    <w:rsid w:val="009C3DB6"/>
    <w:rsid w:val="009C4190"/>
    <w:rsid w:val="009C49D6"/>
    <w:rsid w:val="009C56C1"/>
    <w:rsid w:val="009C7FAE"/>
    <w:rsid w:val="009D2B0F"/>
    <w:rsid w:val="009D2CE0"/>
    <w:rsid w:val="009D3DFF"/>
    <w:rsid w:val="009D5DF8"/>
    <w:rsid w:val="009D651A"/>
    <w:rsid w:val="009D658D"/>
    <w:rsid w:val="009D6626"/>
    <w:rsid w:val="009E1078"/>
    <w:rsid w:val="009E175F"/>
    <w:rsid w:val="009E2005"/>
    <w:rsid w:val="009E203B"/>
    <w:rsid w:val="009E2384"/>
    <w:rsid w:val="009E54BC"/>
    <w:rsid w:val="009E5721"/>
    <w:rsid w:val="009E627D"/>
    <w:rsid w:val="009F0C97"/>
    <w:rsid w:val="009F1D16"/>
    <w:rsid w:val="009F3392"/>
    <w:rsid w:val="009F3A33"/>
    <w:rsid w:val="009F4758"/>
    <w:rsid w:val="009F5AE3"/>
    <w:rsid w:val="009F713E"/>
    <w:rsid w:val="009F72F3"/>
    <w:rsid w:val="00A012A7"/>
    <w:rsid w:val="00A0312E"/>
    <w:rsid w:val="00A032CF"/>
    <w:rsid w:val="00A0347C"/>
    <w:rsid w:val="00A06358"/>
    <w:rsid w:val="00A10D48"/>
    <w:rsid w:val="00A10D93"/>
    <w:rsid w:val="00A114D5"/>
    <w:rsid w:val="00A11A95"/>
    <w:rsid w:val="00A1295B"/>
    <w:rsid w:val="00A12A00"/>
    <w:rsid w:val="00A13C7F"/>
    <w:rsid w:val="00A160C0"/>
    <w:rsid w:val="00A20F27"/>
    <w:rsid w:val="00A24BC5"/>
    <w:rsid w:val="00A25BED"/>
    <w:rsid w:val="00A25CAD"/>
    <w:rsid w:val="00A26DF8"/>
    <w:rsid w:val="00A2718A"/>
    <w:rsid w:val="00A31EC0"/>
    <w:rsid w:val="00A32E19"/>
    <w:rsid w:val="00A33714"/>
    <w:rsid w:val="00A33835"/>
    <w:rsid w:val="00A346D6"/>
    <w:rsid w:val="00A351C5"/>
    <w:rsid w:val="00A36E89"/>
    <w:rsid w:val="00A375DE"/>
    <w:rsid w:val="00A37966"/>
    <w:rsid w:val="00A40BA2"/>
    <w:rsid w:val="00A428F6"/>
    <w:rsid w:val="00A455D6"/>
    <w:rsid w:val="00A50631"/>
    <w:rsid w:val="00A5287F"/>
    <w:rsid w:val="00A5314A"/>
    <w:rsid w:val="00A53CF4"/>
    <w:rsid w:val="00A55C8B"/>
    <w:rsid w:val="00A62582"/>
    <w:rsid w:val="00A642F8"/>
    <w:rsid w:val="00A65EE1"/>
    <w:rsid w:val="00A666AD"/>
    <w:rsid w:val="00A67557"/>
    <w:rsid w:val="00A71A02"/>
    <w:rsid w:val="00A71A2A"/>
    <w:rsid w:val="00A71FCF"/>
    <w:rsid w:val="00A756DA"/>
    <w:rsid w:val="00A75E8D"/>
    <w:rsid w:val="00A80A34"/>
    <w:rsid w:val="00A82116"/>
    <w:rsid w:val="00A82931"/>
    <w:rsid w:val="00A83AAD"/>
    <w:rsid w:val="00A83CDC"/>
    <w:rsid w:val="00A8418C"/>
    <w:rsid w:val="00A857D5"/>
    <w:rsid w:val="00A85B4D"/>
    <w:rsid w:val="00A9137F"/>
    <w:rsid w:val="00A94DE2"/>
    <w:rsid w:val="00A957FD"/>
    <w:rsid w:val="00A959C0"/>
    <w:rsid w:val="00A963CE"/>
    <w:rsid w:val="00A96FB0"/>
    <w:rsid w:val="00A97B7E"/>
    <w:rsid w:val="00A97C3B"/>
    <w:rsid w:val="00AA06E9"/>
    <w:rsid w:val="00AA219C"/>
    <w:rsid w:val="00AA3163"/>
    <w:rsid w:val="00AA4B77"/>
    <w:rsid w:val="00AA5F53"/>
    <w:rsid w:val="00AA6E3B"/>
    <w:rsid w:val="00AB15A9"/>
    <w:rsid w:val="00AB1C98"/>
    <w:rsid w:val="00AB201F"/>
    <w:rsid w:val="00AB5380"/>
    <w:rsid w:val="00AB6A15"/>
    <w:rsid w:val="00AB6B55"/>
    <w:rsid w:val="00AC032E"/>
    <w:rsid w:val="00AC0E0F"/>
    <w:rsid w:val="00AC1EB4"/>
    <w:rsid w:val="00AC49B3"/>
    <w:rsid w:val="00AC5663"/>
    <w:rsid w:val="00AC59E6"/>
    <w:rsid w:val="00AD0416"/>
    <w:rsid w:val="00AD046A"/>
    <w:rsid w:val="00AD3706"/>
    <w:rsid w:val="00AD70ED"/>
    <w:rsid w:val="00AD7945"/>
    <w:rsid w:val="00AD7F4F"/>
    <w:rsid w:val="00AD7FC1"/>
    <w:rsid w:val="00AE0394"/>
    <w:rsid w:val="00AE0547"/>
    <w:rsid w:val="00AE11DB"/>
    <w:rsid w:val="00AE3778"/>
    <w:rsid w:val="00AE3D03"/>
    <w:rsid w:val="00AE3F2A"/>
    <w:rsid w:val="00AE58D9"/>
    <w:rsid w:val="00AE5A90"/>
    <w:rsid w:val="00AE5CC3"/>
    <w:rsid w:val="00AE6873"/>
    <w:rsid w:val="00AE7258"/>
    <w:rsid w:val="00AE76C7"/>
    <w:rsid w:val="00AF7639"/>
    <w:rsid w:val="00AF791F"/>
    <w:rsid w:val="00AF7A25"/>
    <w:rsid w:val="00B004F3"/>
    <w:rsid w:val="00B00D2A"/>
    <w:rsid w:val="00B05711"/>
    <w:rsid w:val="00B05D57"/>
    <w:rsid w:val="00B06407"/>
    <w:rsid w:val="00B07318"/>
    <w:rsid w:val="00B10EFF"/>
    <w:rsid w:val="00B11C87"/>
    <w:rsid w:val="00B142C3"/>
    <w:rsid w:val="00B14DDA"/>
    <w:rsid w:val="00B216B9"/>
    <w:rsid w:val="00B21DB8"/>
    <w:rsid w:val="00B21E59"/>
    <w:rsid w:val="00B2719F"/>
    <w:rsid w:val="00B31A87"/>
    <w:rsid w:val="00B35C9F"/>
    <w:rsid w:val="00B40FDC"/>
    <w:rsid w:val="00B41294"/>
    <w:rsid w:val="00B430CA"/>
    <w:rsid w:val="00B45577"/>
    <w:rsid w:val="00B45FEB"/>
    <w:rsid w:val="00B46332"/>
    <w:rsid w:val="00B508A5"/>
    <w:rsid w:val="00B51B7A"/>
    <w:rsid w:val="00B51D10"/>
    <w:rsid w:val="00B51D76"/>
    <w:rsid w:val="00B53DDA"/>
    <w:rsid w:val="00B5556A"/>
    <w:rsid w:val="00B56C0F"/>
    <w:rsid w:val="00B6276D"/>
    <w:rsid w:val="00B62F03"/>
    <w:rsid w:val="00B643AE"/>
    <w:rsid w:val="00B6487F"/>
    <w:rsid w:val="00B65C74"/>
    <w:rsid w:val="00B73011"/>
    <w:rsid w:val="00B742F3"/>
    <w:rsid w:val="00B744A9"/>
    <w:rsid w:val="00B75CED"/>
    <w:rsid w:val="00B75EDF"/>
    <w:rsid w:val="00B771D6"/>
    <w:rsid w:val="00B81CD1"/>
    <w:rsid w:val="00B8529B"/>
    <w:rsid w:val="00B91BF5"/>
    <w:rsid w:val="00B9425D"/>
    <w:rsid w:val="00B96614"/>
    <w:rsid w:val="00BA0A84"/>
    <w:rsid w:val="00BA6D38"/>
    <w:rsid w:val="00BB2DED"/>
    <w:rsid w:val="00BB64A6"/>
    <w:rsid w:val="00BB69AB"/>
    <w:rsid w:val="00BC0C03"/>
    <w:rsid w:val="00BC1BC0"/>
    <w:rsid w:val="00BC2A6E"/>
    <w:rsid w:val="00BC3D40"/>
    <w:rsid w:val="00BC4B98"/>
    <w:rsid w:val="00BC5AFB"/>
    <w:rsid w:val="00BD0053"/>
    <w:rsid w:val="00BD0872"/>
    <w:rsid w:val="00BD2EC8"/>
    <w:rsid w:val="00BD4A7D"/>
    <w:rsid w:val="00BD4D1E"/>
    <w:rsid w:val="00BD5CC0"/>
    <w:rsid w:val="00BD699F"/>
    <w:rsid w:val="00BD6B11"/>
    <w:rsid w:val="00BD70EB"/>
    <w:rsid w:val="00BE103C"/>
    <w:rsid w:val="00BE1363"/>
    <w:rsid w:val="00BE1856"/>
    <w:rsid w:val="00BE2AF1"/>
    <w:rsid w:val="00BE2DF1"/>
    <w:rsid w:val="00BE6215"/>
    <w:rsid w:val="00BE7D6D"/>
    <w:rsid w:val="00BF1A57"/>
    <w:rsid w:val="00BF3002"/>
    <w:rsid w:val="00BF3FA8"/>
    <w:rsid w:val="00BF41E1"/>
    <w:rsid w:val="00BF5E13"/>
    <w:rsid w:val="00C00127"/>
    <w:rsid w:val="00C00C6C"/>
    <w:rsid w:val="00C00DE9"/>
    <w:rsid w:val="00C01432"/>
    <w:rsid w:val="00C0254F"/>
    <w:rsid w:val="00C07EC4"/>
    <w:rsid w:val="00C11ED7"/>
    <w:rsid w:val="00C1289A"/>
    <w:rsid w:val="00C137D4"/>
    <w:rsid w:val="00C137FF"/>
    <w:rsid w:val="00C2067F"/>
    <w:rsid w:val="00C2466A"/>
    <w:rsid w:val="00C258B1"/>
    <w:rsid w:val="00C26128"/>
    <w:rsid w:val="00C27E74"/>
    <w:rsid w:val="00C31095"/>
    <w:rsid w:val="00C3160E"/>
    <w:rsid w:val="00C33E2C"/>
    <w:rsid w:val="00C41F07"/>
    <w:rsid w:val="00C450E0"/>
    <w:rsid w:val="00C45F87"/>
    <w:rsid w:val="00C47551"/>
    <w:rsid w:val="00C47D47"/>
    <w:rsid w:val="00C51726"/>
    <w:rsid w:val="00C531CB"/>
    <w:rsid w:val="00C5424E"/>
    <w:rsid w:val="00C546A7"/>
    <w:rsid w:val="00C54DF4"/>
    <w:rsid w:val="00C55D10"/>
    <w:rsid w:val="00C56ED1"/>
    <w:rsid w:val="00C6180D"/>
    <w:rsid w:val="00C61C7D"/>
    <w:rsid w:val="00C62852"/>
    <w:rsid w:val="00C62A28"/>
    <w:rsid w:val="00C62C35"/>
    <w:rsid w:val="00C62F76"/>
    <w:rsid w:val="00C633E7"/>
    <w:rsid w:val="00C646BA"/>
    <w:rsid w:val="00C65833"/>
    <w:rsid w:val="00C66210"/>
    <w:rsid w:val="00C67656"/>
    <w:rsid w:val="00C711F0"/>
    <w:rsid w:val="00C71BEC"/>
    <w:rsid w:val="00C71C88"/>
    <w:rsid w:val="00C71DA9"/>
    <w:rsid w:val="00C7215E"/>
    <w:rsid w:val="00C74B9E"/>
    <w:rsid w:val="00C75593"/>
    <w:rsid w:val="00C75FE8"/>
    <w:rsid w:val="00C77DA6"/>
    <w:rsid w:val="00C800C1"/>
    <w:rsid w:val="00C80A77"/>
    <w:rsid w:val="00C813FD"/>
    <w:rsid w:val="00C838CE"/>
    <w:rsid w:val="00C848C6"/>
    <w:rsid w:val="00C8500D"/>
    <w:rsid w:val="00C90408"/>
    <w:rsid w:val="00C909A1"/>
    <w:rsid w:val="00C926FB"/>
    <w:rsid w:val="00C92799"/>
    <w:rsid w:val="00C929F5"/>
    <w:rsid w:val="00C92B6C"/>
    <w:rsid w:val="00C93493"/>
    <w:rsid w:val="00C977BC"/>
    <w:rsid w:val="00CA508A"/>
    <w:rsid w:val="00CA574A"/>
    <w:rsid w:val="00CA5AA7"/>
    <w:rsid w:val="00CA6053"/>
    <w:rsid w:val="00CB038A"/>
    <w:rsid w:val="00CB03B7"/>
    <w:rsid w:val="00CB0AF2"/>
    <w:rsid w:val="00CB328B"/>
    <w:rsid w:val="00CB6286"/>
    <w:rsid w:val="00CB6471"/>
    <w:rsid w:val="00CB6B81"/>
    <w:rsid w:val="00CB7F8C"/>
    <w:rsid w:val="00CC2823"/>
    <w:rsid w:val="00CC3046"/>
    <w:rsid w:val="00CC37B9"/>
    <w:rsid w:val="00CC3F85"/>
    <w:rsid w:val="00CC5CA5"/>
    <w:rsid w:val="00CD2070"/>
    <w:rsid w:val="00CD2324"/>
    <w:rsid w:val="00CD2671"/>
    <w:rsid w:val="00CD4166"/>
    <w:rsid w:val="00CD5AFD"/>
    <w:rsid w:val="00CD7029"/>
    <w:rsid w:val="00CE05B8"/>
    <w:rsid w:val="00CE0752"/>
    <w:rsid w:val="00CE0D32"/>
    <w:rsid w:val="00CE2876"/>
    <w:rsid w:val="00CE5539"/>
    <w:rsid w:val="00CE6E50"/>
    <w:rsid w:val="00CF13CF"/>
    <w:rsid w:val="00CF3429"/>
    <w:rsid w:val="00CF36BF"/>
    <w:rsid w:val="00CF489F"/>
    <w:rsid w:val="00CF49F4"/>
    <w:rsid w:val="00CF5C62"/>
    <w:rsid w:val="00CF669D"/>
    <w:rsid w:val="00D0040C"/>
    <w:rsid w:val="00D03331"/>
    <w:rsid w:val="00D03B7B"/>
    <w:rsid w:val="00D03E31"/>
    <w:rsid w:val="00D050B6"/>
    <w:rsid w:val="00D10307"/>
    <w:rsid w:val="00D10777"/>
    <w:rsid w:val="00D1087F"/>
    <w:rsid w:val="00D11182"/>
    <w:rsid w:val="00D16927"/>
    <w:rsid w:val="00D20678"/>
    <w:rsid w:val="00D22548"/>
    <w:rsid w:val="00D22A2E"/>
    <w:rsid w:val="00D22B6A"/>
    <w:rsid w:val="00D247CE"/>
    <w:rsid w:val="00D24D10"/>
    <w:rsid w:val="00D26209"/>
    <w:rsid w:val="00D273D0"/>
    <w:rsid w:val="00D30156"/>
    <w:rsid w:val="00D333D6"/>
    <w:rsid w:val="00D35ABE"/>
    <w:rsid w:val="00D40518"/>
    <w:rsid w:val="00D43DAD"/>
    <w:rsid w:val="00D46CFD"/>
    <w:rsid w:val="00D46F7B"/>
    <w:rsid w:val="00D47247"/>
    <w:rsid w:val="00D4774A"/>
    <w:rsid w:val="00D527C2"/>
    <w:rsid w:val="00D532B0"/>
    <w:rsid w:val="00D53B04"/>
    <w:rsid w:val="00D54796"/>
    <w:rsid w:val="00D558C5"/>
    <w:rsid w:val="00D5691F"/>
    <w:rsid w:val="00D56B9F"/>
    <w:rsid w:val="00D600F3"/>
    <w:rsid w:val="00D603A7"/>
    <w:rsid w:val="00D60CD3"/>
    <w:rsid w:val="00D623A5"/>
    <w:rsid w:val="00D62959"/>
    <w:rsid w:val="00D62AE9"/>
    <w:rsid w:val="00D641C2"/>
    <w:rsid w:val="00D6433A"/>
    <w:rsid w:val="00D65EF8"/>
    <w:rsid w:val="00D66C6B"/>
    <w:rsid w:val="00D70F91"/>
    <w:rsid w:val="00D7167B"/>
    <w:rsid w:val="00D7506E"/>
    <w:rsid w:val="00D75DF5"/>
    <w:rsid w:val="00D8013E"/>
    <w:rsid w:val="00D815BC"/>
    <w:rsid w:val="00D8163B"/>
    <w:rsid w:val="00D81CBC"/>
    <w:rsid w:val="00D83927"/>
    <w:rsid w:val="00D872F7"/>
    <w:rsid w:val="00D87BCF"/>
    <w:rsid w:val="00D91555"/>
    <w:rsid w:val="00D91C08"/>
    <w:rsid w:val="00D9220F"/>
    <w:rsid w:val="00D92CB2"/>
    <w:rsid w:val="00DA0C50"/>
    <w:rsid w:val="00DA24F5"/>
    <w:rsid w:val="00DA293E"/>
    <w:rsid w:val="00DA3733"/>
    <w:rsid w:val="00DA49A9"/>
    <w:rsid w:val="00DA78F5"/>
    <w:rsid w:val="00DB6F6F"/>
    <w:rsid w:val="00DC22C9"/>
    <w:rsid w:val="00DC69F5"/>
    <w:rsid w:val="00DC71A4"/>
    <w:rsid w:val="00DC77CA"/>
    <w:rsid w:val="00DC7D42"/>
    <w:rsid w:val="00DD3762"/>
    <w:rsid w:val="00DD74A9"/>
    <w:rsid w:val="00DE11CE"/>
    <w:rsid w:val="00DE1759"/>
    <w:rsid w:val="00DE3194"/>
    <w:rsid w:val="00DE38F6"/>
    <w:rsid w:val="00DE3E5A"/>
    <w:rsid w:val="00DE4D5C"/>
    <w:rsid w:val="00DE5C85"/>
    <w:rsid w:val="00DF0ECE"/>
    <w:rsid w:val="00DF16A4"/>
    <w:rsid w:val="00E00CAC"/>
    <w:rsid w:val="00E0136A"/>
    <w:rsid w:val="00E01B46"/>
    <w:rsid w:val="00E02DE9"/>
    <w:rsid w:val="00E04BA4"/>
    <w:rsid w:val="00E04F41"/>
    <w:rsid w:val="00E05ABB"/>
    <w:rsid w:val="00E05CEC"/>
    <w:rsid w:val="00E05E65"/>
    <w:rsid w:val="00E064EA"/>
    <w:rsid w:val="00E06A3B"/>
    <w:rsid w:val="00E06BA4"/>
    <w:rsid w:val="00E1014E"/>
    <w:rsid w:val="00E1089B"/>
    <w:rsid w:val="00E13080"/>
    <w:rsid w:val="00E1465E"/>
    <w:rsid w:val="00E14FF2"/>
    <w:rsid w:val="00E15C49"/>
    <w:rsid w:val="00E17CD1"/>
    <w:rsid w:val="00E21E12"/>
    <w:rsid w:val="00E23D55"/>
    <w:rsid w:val="00E26C48"/>
    <w:rsid w:val="00E277F4"/>
    <w:rsid w:val="00E3114B"/>
    <w:rsid w:val="00E32493"/>
    <w:rsid w:val="00E3282B"/>
    <w:rsid w:val="00E344DF"/>
    <w:rsid w:val="00E35CE6"/>
    <w:rsid w:val="00E37584"/>
    <w:rsid w:val="00E37E82"/>
    <w:rsid w:val="00E40D27"/>
    <w:rsid w:val="00E431D5"/>
    <w:rsid w:val="00E45A85"/>
    <w:rsid w:val="00E47924"/>
    <w:rsid w:val="00E50406"/>
    <w:rsid w:val="00E52A75"/>
    <w:rsid w:val="00E53883"/>
    <w:rsid w:val="00E538D8"/>
    <w:rsid w:val="00E55878"/>
    <w:rsid w:val="00E55CF0"/>
    <w:rsid w:val="00E55D15"/>
    <w:rsid w:val="00E56E3F"/>
    <w:rsid w:val="00E57B25"/>
    <w:rsid w:val="00E61EF7"/>
    <w:rsid w:val="00E66956"/>
    <w:rsid w:val="00E747B4"/>
    <w:rsid w:val="00E8002D"/>
    <w:rsid w:val="00E83B77"/>
    <w:rsid w:val="00E8484F"/>
    <w:rsid w:val="00E84A1A"/>
    <w:rsid w:val="00E87B16"/>
    <w:rsid w:val="00E92611"/>
    <w:rsid w:val="00E93FC9"/>
    <w:rsid w:val="00E95CBE"/>
    <w:rsid w:val="00E96E22"/>
    <w:rsid w:val="00EA0147"/>
    <w:rsid w:val="00EA25DC"/>
    <w:rsid w:val="00EA2825"/>
    <w:rsid w:val="00EA2932"/>
    <w:rsid w:val="00EA31CD"/>
    <w:rsid w:val="00EA416B"/>
    <w:rsid w:val="00EA43FD"/>
    <w:rsid w:val="00EA4A41"/>
    <w:rsid w:val="00EA62D8"/>
    <w:rsid w:val="00EB020A"/>
    <w:rsid w:val="00EB1650"/>
    <w:rsid w:val="00EB18A1"/>
    <w:rsid w:val="00EB1C8E"/>
    <w:rsid w:val="00EB2794"/>
    <w:rsid w:val="00EB29A9"/>
    <w:rsid w:val="00EB2D9C"/>
    <w:rsid w:val="00EB4C92"/>
    <w:rsid w:val="00EB5733"/>
    <w:rsid w:val="00EC0AB1"/>
    <w:rsid w:val="00EC2438"/>
    <w:rsid w:val="00EC2610"/>
    <w:rsid w:val="00EC3AA7"/>
    <w:rsid w:val="00EC4DC8"/>
    <w:rsid w:val="00ED542B"/>
    <w:rsid w:val="00ED64E8"/>
    <w:rsid w:val="00ED731A"/>
    <w:rsid w:val="00ED73C8"/>
    <w:rsid w:val="00ED7E78"/>
    <w:rsid w:val="00EE1C54"/>
    <w:rsid w:val="00EE21CD"/>
    <w:rsid w:val="00EE383B"/>
    <w:rsid w:val="00EE54A7"/>
    <w:rsid w:val="00EE698A"/>
    <w:rsid w:val="00EE6A55"/>
    <w:rsid w:val="00EF0B43"/>
    <w:rsid w:val="00EF144B"/>
    <w:rsid w:val="00EF2485"/>
    <w:rsid w:val="00EF429E"/>
    <w:rsid w:val="00F0185B"/>
    <w:rsid w:val="00F04745"/>
    <w:rsid w:val="00F0526D"/>
    <w:rsid w:val="00F05F67"/>
    <w:rsid w:val="00F061D7"/>
    <w:rsid w:val="00F06861"/>
    <w:rsid w:val="00F07CB0"/>
    <w:rsid w:val="00F11380"/>
    <w:rsid w:val="00F11841"/>
    <w:rsid w:val="00F11D08"/>
    <w:rsid w:val="00F1586D"/>
    <w:rsid w:val="00F158B9"/>
    <w:rsid w:val="00F20269"/>
    <w:rsid w:val="00F227AB"/>
    <w:rsid w:val="00F22971"/>
    <w:rsid w:val="00F229F9"/>
    <w:rsid w:val="00F22CC3"/>
    <w:rsid w:val="00F30A65"/>
    <w:rsid w:val="00F31528"/>
    <w:rsid w:val="00F338D6"/>
    <w:rsid w:val="00F35538"/>
    <w:rsid w:val="00F37EA3"/>
    <w:rsid w:val="00F40C4B"/>
    <w:rsid w:val="00F41152"/>
    <w:rsid w:val="00F41605"/>
    <w:rsid w:val="00F425AA"/>
    <w:rsid w:val="00F427EE"/>
    <w:rsid w:val="00F45812"/>
    <w:rsid w:val="00F4592E"/>
    <w:rsid w:val="00F506F0"/>
    <w:rsid w:val="00F50969"/>
    <w:rsid w:val="00F512E4"/>
    <w:rsid w:val="00F52BB9"/>
    <w:rsid w:val="00F53D64"/>
    <w:rsid w:val="00F53E95"/>
    <w:rsid w:val="00F552A9"/>
    <w:rsid w:val="00F55AF7"/>
    <w:rsid w:val="00F55CD1"/>
    <w:rsid w:val="00F5758E"/>
    <w:rsid w:val="00F57C70"/>
    <w:rsid w:val="00F60A1C"/>
    <w:rsid w:val="00F6188E"/>
    <w:rsid w:val="00F625AD"/>
    <w:rsid w:val="00F66687"/>
    <w:rsid w:val="00F66AF4"/>
    <w:rsid w:val="00F67800"/>
    <w:rsid w:val="00F72AE6"/>
    <w:rsid w:val="00F75A31"/>
    <w:rsid w:val="00F81EB0"/>
    <w:rsid w:val="00F8468E"/>
    <w:rsid w:val="00F84962"/>
    <w:rsid w:val="00F858F1"/>
    <w:rsid w:val="00F85DE4"/>
    <w:rsid w:val="00F977C8"/>
    <w:rsid w:val="00F97D00"/>
    <w:rsid w:val="00FA122F"/>
    <w:rsid w:val="00FA354F"/>
    <w:rsid w:val="00FA406E"/>
    <w:rsid w:val="00FA5D75"/>
    <w:rsid w:val="00FA783A"/>
    <w:rsid w:val="00FB0082"/>
    <w:rsid w:val="00FB0AF8"/>
    <w:rsid w:val="00FB1140"/>
    <w:rsid w:val="00FB2C3B"/>
    <w:rsid w:val="00FB42D0"/>
    <w:rsid w:val="00FB4892"/>
    <w:rsid w:val="00FC295C"/>
    <w:rsid w:val="00FC2C30"/>
    <w:rsid w:val="00FC3660"/>
    <w:rsid w:val="00FC38AA"/>
    <w:rsid w:val="00FC5968"/>
    <w:rsid w:val="00FC6E92"/>
    <w:rsid w:val="00FC77E0"/>
    <w:rsid w:val="00FD117F"/>
    <w:rsid w:val="00FD1E51"/>
    <w:rsid w:val="00FD40EE"/>
    <w:rsid w:val="00FD604E"/>
    <w:rsid w:val="00FD760B"/>
    <w:rsid w:val="00FE0AE7"/>
    <w:rsid w:val="00FE4E26"/>
    <w:rsid w:val="00FF2D8E"/>
    <w:rsid w:val="00FF5203"/>
    <w:rsid w:val="00FF5980"/>
    <w:rsid w:val="00FF6D77"/>
    <w:rsid w:val="00FF6F51"/>
    <w:rsid w:val="00FF754F"/>
    <w:rsid w:val="00FF7F94"/>
    <w:rsid w:val="4F1E6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paragraph" w:styleId="5">
    <w:name w:val="heading 4"/>
    <w:basedOn w:val="1"/>
    <w:next w:val="1"/>
    <w:link w:val="3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Normal Indent"/>
    <w:basedOn w:val="1"/>
    <w:link w:val="32"/>
    <w:qFormat/>
    <w:uiPriority w:val="0"/>
    <w:pPr>
      <w:spacing w:before="60"/>
      <w:ind w:firstLine="420" w:firstLineChars="200"/>
    </w:pPr>
    <w:rPr>
      <w:rFonts w:asciiTheme="minorHAnsi" w:hAnsiTheme="minorHAnsi" w:eastAsiaTheme="minorEastAsia" w:cstheme="minorBidi"/>
    </w:rPr>
  </w:style>
  <w:style w:type="paragraph" w:styleId="7">
    <w:name w:val="annotation text"/>
    <w:basedOn w:val="1"/>
    <w:link w:val="28"/>
    <w:semiHidden/>
    <w:unhideWhenUsed/>
    <w:qFormat/>
    <w:uiPriority w:val="99"/>
    <w:pPr>
      <w:jc w:val="left"/>
    </w:pPr>
  </w:style>
  <w:style w:type="paragraph" w:styleId="8">
    <w:name w:val="toc 3"/>
    <w:basedOn w:val="1"/>
    <w:next w:val="1"/>
    <w:autoRedefine/>
    <w:unhideWhenUsed/>
    <w:qFormat/>
    <w:uiPriority w:val="39"/>
    <w:pPr>
      <w:ind w:left="840" w:leftChars="400"/>
    </w:pPr>
  </w:style>
  <w:style w:type="paragraph" w:styleId="9">
    <w:name w:val="Balloon Text"/>
    <w:basedOn w:val="1"/>
    <w:link w:val="27"/>
    <w:semiHidden/>
    <w:unhideWhenUsed/>
    <w:uiPriority w:val="99"/>
    <w:rPr>
      <w:sz w:val="18"/>
      <w:szCs w:val="18"/>
    </w:rPr>
  </w:style>
  <w:style w:type="paragraph" w:styleId="10">
    <w:name w:val="footer"/>
    <w:basedOn w:val="1"/>
    <w:link w:val="2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autoRedefine/>
    <w:unhideWhenUsed/>
    <w:qFormat/>
    <w:uiPriority w:val="39"/>
  </w:style>
  <w:style w:type="paragraph" w:styleId="13">
    <w:name w:val="footnote text"/>
    <w:basedOn w:val="1"/>
    <w:link w:val="35"/>
    <w:qFormat/>
    <w:uiPriority w:val="99"/>
    <w:pPr>
      <w:snapToGrid w:val="0"/>
      <w:jc w:val="left"/>
    </w:pPr>
    <w:rPr>
      <w:rFonts w:ascii="Calibri" w:hAnsi="Calibri"/>
      <w:sz w:val="18"/>
      <w:szCs w:val="18"/>
    </w:rPr>
  </w:style>
  <w:style w:type="paragraph" w:styleId="14">
    <w:name w:val="annotation subject"/>
    <w:basedOn w:val="7"/>
    <w:next w:val="7"/>
    <w:link w:val="29"/>
    <w:semiHidden/>
    <w:unhideWhenUsed/>
    <w:qFormat/>
    <w:uiPriority w:val="99"/>
    <w:rPr>
      <w:b/>
      <w:bCs/>
    </w:r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styleId="19">
    <w:name w:val="footnote reference"/>
    <w:qFormat/>
    <w:uiPriority w:val="99"/>
    <w:rPr>
      <w:vertAlign w:val="superscript"/>
    </w:rPr>
  </w:style>
  <w:style w:type="character" w:customStyle="1" w:styleId="20">
    <w:name w:val="页眉 字符"/>
    <w:basedOn w:val="16"/>
    <w:link w:val="11"/>
    <w:qFormat/>
    <w:uiPriority w:val="99"/>
    <w:rPr>
      <w:sz w:val="18"/>
      <w:szCs w:val="18"/>
    </w:rPr>
  </w:style>
  <w:style w:type="character" w:customStyle="1" w:styleId="21">
    <w:name w:val="页脚 字符"/>
    <w:basedOn w:val="16"/>
    <w:link w:val="10"/>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标题 3 字符"/>
    <w:basedOn w:val="16"/>
    <w:link w:val="4"/>
    <w:qFormat/>
    <w:uiPriority w:val="0"/>
    <w:rPr>
      <w:b/>
      <w:bCs/>
      <w:sz w:val="32"/>
      <w:szCs w:val="32"/>
    </w:rPr>
  </w:style>
  <w:style w:type="paragraph" w:customStyle="1" w:styleId="24">
    <w:name w:val="Defaul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paragraph" w:customStyle="1" w:styleId="25">
    <w:name w:val="05 ●Items"/>
    <w:basedOn w:val="1"/>
    <w:link w:val="26"/>
    <w:qFormat/>
    <w:uiPriority w:val="0"/>
    <w:pPr>
      <w:widowControl/>
      <w:numPr>
        <w:ilvl w:val="0"/>
        <w:numId w:val="1"/>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30" w:beforeLines="30" w:after="30" w:afterLines="30"/>
      <w:jc w:val="left"/>
    </w:pPr>
    <w:rPr>
      <w:b/>
      <w:snapToGrid w:val="0"/>
      <w:kern w:val="0"/>
      <w:szCs w:val="21"/>
      <w:lang w:val="fr-FR"/>
    </w:rPr>
  </w:style>
  <w:style w:type="character" w:customStyle="1" w:styleId="26">
    <w:name w:val="05 ●Items Char"/>
    <w:link w:val="25"/>
    <w:qFormat/>
    <w:uiPriority w:val="0"/>
    <w:rPr>
      <w:rFonts w:ascii="Times New Roman" w:hAnsi="Times New Roman" w:eastAsia="宋体" w:cs="Times New Roman"/>
      <w:b/>
      <w:snapToGrid w:val="0"/>
      <w:kern w:val="0"/>
      <w:szCs w:val="21"/>
      <w:lang w:val="fr-FR"/>
    </w:rPr>
  </w:style>
  <w:style w:type="character" w:customStyle="1" w:styleId="27">
    <w:name w:val="批注框文本 字符"/>
    <w:basedOn w:val="16"/>
    <w:link w:val="9"/>
    <w:semiHidden/>
    <w:qFormat/>
    <w:uiPriority w:val="99"/>
    <w:rPr>
      <w:rFonts w:ascii="Times New Roman" w:hAnsi="Times New Roman" w:eastAsia="宋体" w:cs="Times New Roman"/>
      <w:sz w:val="18"/>
      <w:szCs w:val="18"/>
    </w:rPr>
  </w:style>
  <w:style w:type="character" w:customStyle="1" w:styleId="28">
    <w:name w:val="批注文字 字符"/>
    <w:basedOn w:val="16"/>
    <w:link w:val="7"/>
    <w:semiHidden/>
    <w:uiPriority w:val="99"/>
    <w:rPr>
      <w:rFonts w:ascii="Times New Roman" w:hAnsi="Times New Roman" w:eastAsia="宋体" w:cs="Times New Roman"/>
      <w:szCs w:val="24"/>
    </w:rPr>
  </w:style>
  <w:style w:type="character" w:customStyle="1" w:styleId="29">
    <w:name w:val="批注主题 字符"/>
    <w:basedOn w:val="28"/>
    <w:link w:val="14"/>
    <w:semiHidden/>
    <w:qFormat/>
    <w:uiPriority w:val="99"/>
    <w:rPr>
      <w:rFonts w:ascii="Times New Roman" w:hAnsi="Times New Roman" w:eastAsia="宋体" w:cs="Times New Roman"/>
      <w:b/>
      <w:bCs/>
      <w:szCs w:val="24"/>
    </w:rPr>
  </w:style>
  <w:style w:type="character" w:customStyle="1" w:styleId="30">
    <w:name w:val="标题 4 字符"/>
    <w:basedOn w:val="16"/>
    <w:link w:val="5"/>
    <w:qFormat/>
    <w:uiPriority w:val="9"/>
    <w:rPr>
      <w:rFonts w:asciiTheme="majorHAnsi" w:hAnsiTheme="majorHAnsi" w:eastAsiaTheme="majorEastAsia" w:cstheme="majorBidi"/>
      <w:b/>
      <w:bCs/>
      <w:sz w:val="28"/>
      <w:szCs w:val="28"/>
    </w:rPr>
  </w:style>
  <w:style w:type="character" w:customStyle="1" w:styleId="31">
    <w:name w:val="标题 2 字符"/>
    <w:basedOn w:val="16"/>
    <w:link w:val="3"/>
    <w:semiHidden/>
    <w:qFormat/>
    <w:uiPriority w:val="9"/>
    <w:rPr>
      <w:rFonts w:asciiTheme="majorHAnsi" w:hAnsiTheme="majorHAnsi" w:eastAsiaTheme="majorEastAsia" w:cstheme="majorBidi"/>
      <w:b/>
      <w:bCs/>
      <w:sz w:val="32"/>
      <w:szCs w:val="32"/>
    </w:rPr>
  </w:style>
  <w:style w:type="character" w:customStyle="1" w:styleId="32">
    <w:name w:val="正文缩进 字符"/>
    <w:link w:val="6"/>
    <w:qFormat/>
    <w:locked/>
    <w:uiPriority w:val="0"/>
    <w:rPr>
      <w:szCs w:val="24"/>
    </w:rPr>
  </w:style>
  <w:style w:type="character" w:customStyle="1" w:styleId="33">
    <w:name w:val="标题 1 字符"/>
    <w:basedOn w:val="16"/>
    <w:link w:val="2"/>
    <w:qFormat/>
    <w:uiPriority w:val="9"/>
    <w:rPr>
      <w:rFonts w:ascii="Times New Roman" w:hAnsi="Times New Roman" w:eastAsia="宋体" w:cs="Times New Roman"/>
      <w:b/>
      <w:bCs/>
      <w:kern w:val="44"/>
      <w:sz w:val="44"/>
      <w:szCs w:val="44"/>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脚注文本 字符"/>
    <w:basedOn w:val="16"/>
    <w:link w:val="1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844AD-40E3-4ED1-9901-6D4B392AD7A9}">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16</Pages>
  <Words>6252</Words>
  <Characters>6430</Characters>
  <Lines>50</Lines>
  <Paragraphs>14</Paragraphs>
  <TotalTime>3065</TotalTime>
  <ScaleCrop>false</ScaleCrop>
  <LinksUpToDate>false</LinksUpToDate>
  <CharactersWithSpaces>6645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2020-09-28T10:12:00Z</dcterms:created>
  <dc:creator>时娟</dc:creator>
  <cp:lastModifiedBy>太极箫客</cp:lastModifiedBy>
  <cp:lastPrinted>2021-06-11T02:20:00Z</cp:lastPrinted>
  <dcterms:modified xsi:type="dcterms:W3CDTF">2025-08-14T06:45:38Z</dcterms:modified>
  <cp:revision>1486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341E0397E6C442C2A84190C0B6581AEA_12</vt:lpwstr>
  </property>
</Properties>
</file>