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40084">
      <w:pPr>
        <w:rPr>
          <w:rFonts w:ascii="仿宋_GB2312" w:eastAsia="仿宋_GB2312"/>
          <w:sz w:val="32"/>
          <w:szCs w:val="32"/>
        </w:rPr>
      </w:pPr>
      <w:bookmarkStart w:id="9" w:name="_GoBack"/>
      <w:bookmarkEnd w:id="9"/>
    </w:p>
    <w:p w14:paraId="3E34BC04">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腹腔</w:t>
      </w:r>
      <w:r>
        <w:rPr>
          <w:rFonts w:ascii="Times New Roman" w:hAnsi="Times New Roman" w:eastAsia="方正小标宋简体"/>
          <w:sz w:val="44"/>
          <w:szCs w:val="44"/>
        </w:rPr>
        <w:t>内窥镜手术系统</w:t>
      </w:r>
      <w:r>
        <w:rPr>
          <w:rFonts w:hint="eastAsia" w:eastAsia="方正小标宋简体"/>
          <w:sz w:val="44"/>
          <w:szCs w:val="44"/>
        </w:rPr>
        <w:t>临床试验</w:t>
      </w:r>
    </w:p>
    <w:p w14:paraId="081DCD28">
      <w:pPr>
        <w:spacing w:line="600" w:lineRule="exact"/>
        <w:jc w:val="center"/>
        <w:rPr>
          <w:rFonts w:eastAsia="方正小标宋简体"/>
          <w:sz w:val="44"/>
          <w:szCs w:val="44"/>
        </w:rPr>
      </w:pPr>
      <w:r>
        <w:rPr>
          <w:rFonts w:hint="eastAsia" w:eastAsia="方正小标宋简体"/>
          <w:sz w:val="44"/>
          <w:szCs w:val="44"/>
        </w:rPr>
        <w:t>技术审评要点</w:t>
      </w:r>
    </w:p>
    <w:p w14:paraId="7A5439FD">
      <w:pPr>
        <w:spacing w:line="600" w:lineRule="exact"/>
        <w:jc w:val="center"/>
        <w:rPr>
          <w:rFonts w:eastAsia="方正小标宋简体"/>
          <w:sz w:val="44"/>
          <w:szCs w:val="44"/>
        </w:rPr>
      </w:pPr>
    </w:p>
    <w:p w14:paraId="0C41A389">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本要点旨在指导注册申请人对腹腔内窥镜手术系统开展同品种临床评价，同时也为技术审评部门审评腹腔内窥镜手术系统同品种临床评价资料提供参考。</w:t>
      </w:r>
    </w:p>
    <w:p w14:paraId="4D2B85BA">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本要点是对</w:t>
      </w:r>
      <w:r>
        <w:rPr>
          <w:rFonts w:hint="eastAsia" w:ascii="仿宋_GB2312" w:hAnsi="Times New Roman" w:eastAsia="仿宋_GB2312"/>
          <w:sz w:val="32"/>
          <w:szCs w:val="32"/>
        </w:rPr>
        <w:t>腹腔内窥镜手术系统</w:t>
      </w:r>
      <w:r>
        <w:rPr>
          <w:rFonts w:hint="eastAsia" w:ascii="仿宋_GB2312" w:eastAsia="仿宋_GB2312"/>
          <w:sz w:val="32"/>
          <w:szCs w:val="32"/>
        </w:rPr>
        <w:t>临床评价的一般要求，申请人需依据产品的具体特性确定其中内容是否适用。若不适用，需具体阐述理由及相应的科学依据，并依据产品的具体特性对注册申报资料的内容进行充实和细化。</w:t>
      </w:r>
    </w:p>
    <w:p w14:paraId="19B60AF0">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77CE4EE8">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本要点是在现行法规和标准体系以及当前认知水平下制定的，随着法规和标准的不断完善，以及科学技术的不断发展，本要点的相关内容也将进行适时的调整。</w:t>
      </w:r>
    </w:p>
    <w:p w14:paraId="40B6238D">
      <w:pPr>
        <w:overflowPunct w:val="0"/>
        <w:autoSpaceDE w:val="0"/>
        <w:autoSpaceDN w:val="0"/>
        <w:spacing w:line="520" w:lineRule="exact"/>
        <w:ind w:firstLine="567"/>
        <w:outlineLvl w:val="0"/>
        <w:rPr>
          <w:rFonts w:eastAsia="黑体"/>
          <w:kern w:val="0"/>
          <w:sz w:val="32"/>
          <w:szCs w:val="32"/>
        </w:rPr>
      </w:pPr>
      <w:r>
        <w:rPr>
          <w:rFonts w:hint="eastAsia" w:eastAsia="黑体"/>
          <w:kern w:val="0"/>
          <w:sz w:val="32"/>
          <w:szCs w:val="32"/>
        </w:rPr>
        <w:t>一、适用范围</w:t>
      </w:r>
    </w:p>
    <w:p w14:paraId="267EA912">
      <w:pPr>
        <w:pStyle w:val="20"/>
        <w:snapToGrid w:val="0"/>
        <w:spacing w:before="62" w:after="46" w:line="520" w:lineRule="exact"/>
        <w:ind w:firstLine="640" w:firstLineChars="200"/>
        <w:jc w:val="both"/>
        <w:rPr>
          <w:rFonts w:ascii="仿宋_GB2312" w:hAnsi="等线" w:eastAsia="仿宋_GB2312"/>
          <w:kern w:val="2"/>
          <w:sz w:val="32"/>
          <w:szCs w:val="32"/>
        </w:rPr>
      </w:pPr>
      <w:r>
        <w:rPr>
          <w:rFonts w:hint="eastAsia" w:ascii="仿宋_GB2312" w:hAnsi="等线" w:eastAsia="仿宋_GB2312"/>
          <w:kern w:val="2"/>
          <w:sz w:val="32"/>
          <w:szCs w:val="32"/>
        </w:rPr>
        <w:t>本要点适用于由在微创外科手术中辅助经过培训的医生精确控制内窥镜手术器械的腹腔内窥镜手术系统（多孔），目前多用于泌尿外科、普通外科、妇科和胸外科腔镜手术。该产品分类编码为01-07-03，管理类别为III类。本审评要点基于《医疗器械临床评价技术指导原则》《决策是否开展医疗器械临床试验技术指导原则》《医疗器械临床试验设计指导原则》并结合腹腔内窥镜手术系统产品的特点制定。本审评要点不包含内窥镜手术器械的临床评价，但生产企业可参考使用本要点的适用部分。</w:t>
      </w:r>
    </w:p>
    <w:p w14:paraId="11B2888F">
      <w:pPr>
        <w:overflowPunct w:val="0"/>
        <w:autoSpaceDE w:val="0"/>
        <w:autoSpaceDN w:val="0"/>
        <w:spacing w:line="520" w:lineRule="exact"/>
        <w:ind w:firstLine="567"/>
        <w:outlineLvl w:val="0"/>
        <w:rPr>
          <w:rFonts w:eastAsia="黑体"/>
          <w:kern w:val="0"/>
          <w:sz w:val="32"/>
          <w:szCs w:val="32"/>
        </w:rPr>
      </w:pPr>
      <w:r>
        <w:rPr>
          <w:rFonts w:hint="eastAsia" w:eastAsia="黑体"/>
          <w:kern w:val="0"/>
          <w:sz w:val="32"/>
          <w:szCs w:val="32"/>
        </w:rPr>
        <w:t>二、临床试验</w:t>
      </w:r>
      <w:r>
        <w:rPr>
          <w:rFonts w:eastAsia="黑体"/>
          <w:kern w:val="0"/>
          <w:sz w:val="32"/>
          <w:szCs w:val="32"/>
        </w:rPr>
        <w:t>基本要求</w:t>
      </w:r>
    </w:p>
    <w:p w14:paraId="6F755945">
      <w:pPr>
        <w:pStyle w:val="19"/>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w:t>
      </w:r>
      <w:bookmarkStart w:id="0" w:name="_Hlk132636598"/>
      <w:r>
        <w:rPr>
          <w:rFonts w:hint="eastAsia" w:ascii="Times New Roman" w:hAnsi="Times New Roman" w:eastAsia="楷体_GB2312"/>
          <w:color w:val="000000"/>
          <w:sz w:val="32"/>
          <w:szCs w:val="32"/>
        </w:rPr>
        <w:t>临床试验目的</w:t>
      </w:r>
      <w:bookmarkEnd w:id="0"/>
    </w:p>
    <w:p w14:paraId="7F047258">
      <w:pPr>
        <w:spacing w:line="520" w:lineRule="exact"/>
        <w:ind w:firstLine="640" w:firstLineChars="200"/>
        <w:rPr>
          <w:rFonts w:ascii="仿宋_GB2312" w:eastAsia="仿宋_GB2312"/>
          <w:sz w:val="32"/>
          <w:szCs w:val="32"/>
        </w:rPr>
      </w:pPr>
      <w:r>
        <w:rPr>
          <w:rFonts w:hint="eastAsia" w:ascii="仿宋_GB2312" w:eastAsia="仿宋_GB2312"/>
          <w:sz w:val="32"/>
          <w:szCs w:val="32"/>
        </w:rPr>
        <w:t>为确认腹腔内窥镜手术系统辅助医生开展手术的安全性和有效性，可采取多种方法，包括</w:t>
      </w:r>
      <w:bookmarkStart w:id="1" w:name="_Hlk132640712"/>
      <w:r>
        <w:rPr>
          <w:rFonts w:hint="eastAsia" w:ascii="仿宋_GB2312" w:eastAsia="仿宋_GB2312"/>
          <w:sz w:val="32"/>
          <w:szCs w:val="32"/>
        </w:rPr>
        <w:t>模型试验、动物试验</w:t>
      </w:r>
      <w:bookmarkEnd w:id="1"/>
      <w:r>
        <w:rPr>
          <w:rFonts w:hint="eastAsia" w:ascii="仿宋_GB2312" w:eastAsia="仿宋_GB2312"/>
          <w:sz w:val="32"/>
          <w:szCs w:val="32"/>
        </w:rPr>
        <w:t>和临床试验等。鼓励注册申请人在充分的模型试验、动物试验确认产品性能和安全性的基础上，采用最小负担原则设计临床试验。此时，临床试验目的为确认产品辅助医生开展腔镜手术的有效性和安全性。</w:t>
      </w:r>
    </w:p>
    <w:p w14:paraId="2D1C47E6">
      <w:pPr>
        <w:spacing w:line="520" w:lineRule="exact"/>
        <w:ind w:firstLine="640" w:firstLineChars="200"/>
        <w:rPr>
          <w:rFonts w:ascii="Times New Roman" w:hAnsi="Times New Roman" w:eastAsia="楷体_GB2312"/>
          <w:color w:val="000000"/>
          <w:sz w:val="32"/>
          <w:szCs w:val="32"/>
        </w:rPr>
      </w:pPr>
      <w:r>
        <w:rPr>
          <w:rFonts w:hint="eastAsia" w:ascii="仿宋_GB2312" w:eastAsia="仿宋_GB2312"/>
          <w:sz w:val="32"/>
          <w:szCs w:val="32"/>
        </w:rPr>
        <w:t>（二）</w:t>
      </w:r>
      <w:r>
        <w:rPr>
          <w:rFonts w:hint="eastAsia" w:ascii="Times New Roman" w:hAnsi="Times New Roman" w:eastAsia="楷体_GB2312"/>
          <w:color w:val="000000"/>
          <w:sz w:val="32"/>
          <w:szCs w:val="32"/>
        </w:rPr>
        <w:t>临床试验总体设计</w:t>
      </w:r>
    </w:p>
    <w:p w14:paraId="330DCAD0">
      <w:pPr>
        <w:spacing w:line="520" w:lineRule="exact"/>
        <w:ind w:firstLine="640" w:firstLineChars="200"/>
        <w:rPr>
          <w:rFonts w:ascii="仿宋_GB2312" w:eastAsia="仿宋_GB2312"/>
          <w:sz w:val="32"/>
          <w:szCs w:val="32"/>
        </w:rPr>
      </w:pPr>
      <w:r>
        <w:rPr>
          <w:rFonts w:hint="eastAsia" w:ascii="仿宋_GB2312" w:eastAsia="仿宋_GB2312"/>
          <w:sz w:val="32"/>
          <w:szCs w:val="32"/>
        </w:rPr>
        <w:t>腹腔内窥镜手术系统</w:t>
      </w:r>
      <w:r>
        <w:rPr>
          <w:rFonts w:hint="eastAsia" w:ascii="Times New Roman" w:hAnsi="Times New Roman" w:eastAsia="楷体_GB2312"/>
          <w:color w:val="000000"/>
          <w:sz w:val="32"/>
          <w:szCs w:val="32"/>
        </w:rPr>
        <w:t>为</w:t>
      </w:r>
      <w:r>
        <w:rPr>
          <w:rFonts w:hint="eastAsia" w:ascii="仿宋_GB2312" w:eastAsia="仿宋_GB2312"/>
          <w:sz w:val="32"/>
          <w:szCs w:val="32"/>
        </w:rPr>
        <w:t>通用手术工具类产品，辅助医生完成手术操作，常用于泌尿外科、普通外科、妇科和胸外科（以下简称“临床常见科室”）腔镜手术。产品注册时，注册申请人可在上述科室选择代表性的常见术式开展临床试验，用于支持临床常见科室的注册申报。临床试验可采用前瞻性、单组目标值设计</w:t>
      </w:r>
      <w:r>
        <w:rPr>
          <w:rFonts w:ascii="仿宋_GB2312" w:eastAsia="仿宋_GB2312"/>
          <w:sz w:val="32"/>
          <w:szCs w:val="32"/>
        </w:rPr>
        <w:t>。</w:t>
      </w:r>
    </w:p>
    <w:p w14:paraId="332A6155">
      <w:pPr>
        <w:pStyle w:val="19"/>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（三）入排标准</w:t>
      </w:r>
    </w:p>
    <w:p w14:paraId="7BE4D690">
      <w:pPr>
        <w:widowControl/>
        <w:spacing w:line="520" w:lineRule="exact"/>
        <w:ind w:firstLine="640" w:firstLineChars="200"/>
        <w:rPr>
          <w:rFonts w:ascii="仿宋_GB2312" w:eastAsia="仿宋_GB2312"/>
          <w:sz w:val="32"/>
          <w:szCs w:val="32"/>
          <w:lang w:bidi="ar"/>
        </w:rPr>
      </w:pPr>
      <w:r>
        <w:rPr>
          <w:rFonts w:hint="eastAsia" w:ascii="仿宋_GB2312" w:eastAsia="仿宋_GB2312"/>
          <w:sz w:val="32"/>
          <w:szCs w:val="32"/>
          <w:lang w:bidi="ar"/>
        </w:rPr>
        <w:t>受试者是为经过培训的医生按照临床诊疗规范确定的、拟接受</w:t>
      </w:r>
      <w:r>
        <w:rPr>
          <w:rFonts w:hint="eastAsia" w:ascii="仿宋_GB2312" w:eastAsia="仿宋_GB2312"/>
          <w:sz w:val="32"/>
          <w:szCs w:val="32"/>
        </w:rPr>
        <w:t>腹腔内窥镜手术系统</w:t>
      </w:r>
      <w:r>
        <w:rPr>
          <w:rFonts w:hint="eastAsia" w:ascii="仿宋_GB2312" w:eastAsia="仿宋_GB2312"/>
          <w:sz w:val="32"/>
          <w:szCs w:val="32"/>
          <w:lang w:bidi="ar"/>
        </w:rPr>
        <w:t>辅助进行泌尿、普外、妇科和胸外代表性术式的患者。</w:t>
      </w:r>
      <w:r>
        <w:rPr>
          <w:rFonts w:hint="eastAsia" w:ascii="仿宋_GB2312" w:eastAsia="仿宋_GB2312"/>
          <w:sz w:val="32"/>
          <w:szCs w:val="32"/>
        </w:rPr>
        <w:t>其他入选标准和排除标准的具体内容由临床试验负责单位具体讨论决定。</w:t>
      </w:r>
    </w:p>
    <w:p w14:paraId="1508469B">
      <w:pPr>
        <w:pStyle w:val="19"/>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（四）评价指标</w:t>
      </w:r>
    </w:p>
    <w:p w14:paraId="7989582F">
      <w:pPr>
        <w:spacing w:line="520" w:lineRule="exact"/>
        <w:ind w:firstLine="640" w:firstLineChars="200"/>
        <w:rPr>
          <w:rFonts w:ascii="仿宋_GB2312" w:eastAsia="仿宋_GB2312"/>
          <w:sz w:val="32"/>
          <w:szCs w:val="32"/>
          <w:lang w:bidi="ar"/>
        </w:rPr>
      </w:pPr>
      <w:r>
        <w:rPr>
          <w:rFonts w:ascii="仿宋_GB2312" w:eastAsia="仿宋_GB2312"/>
          <w:sz w:val="32"/>
          <w:szCs w:val="32"/>
          <w:lang w:bidi="ar"/>
        </w:rPr>
        <w:t>1.</w:t>
      </w:r>
      <w:r>
        <w:rPr>
          <w:rFonts w:hint="eastAsia" w:ascii="仿宋_GB2312" w:eastAsia="仿宋_GB2312"/>
          <w:sz w:val="32"/>
          <w:szCs w:val="32"/>
          <w:lang w:bidi="ar"/>
        </w:rPr>
        <w:t>主要终点</w:t>
      </w:r>
    </w:p>
    <w:p w14:paraId="250905E7">
      <w:pPr>
        <w:widowControl/>
        <w:spacing w:line="520" w:lineRule="exact"/>
        <w:ind w:firstLine="640" w:firstLineChars="200"/>
        <w:rPr>
          <w:rFonts w:ascii="仿宋_GB2312" w:eastAsia="仿宋_GB2312"/>
          <w:sz w:val="32"/>
          <w:szCs w:val="32"/>
          <w:lang w:bidi="ar"/>
        </w:rPr>
      </w:pPr>
      <w:r>
        <w:rPr>
          <w:rFonts w:hint="eastAsia" w:ascii="仿宋_GB2312" w:eastAsia="仿宋_GB2312"/>
          <w:sz w:val="32"/>
          <w:szCs w:val="32"/>
          <w:lang w:bidi="ar"/>
        </w:rPr>
        <w:t>主要有效性终点是手术中转率，将“手术中转”定义为未从腹腔内窥镜手术系统辅助方法转换为其他手术器械控制系统辅助、腹腔镜下手术或者开放性手术。</w:t>
      </w:r>
    </w:p>
    <w:p w14:paraId="66342816">
      <w:pPr>
        <w:widowControl/>
        <w:spacing w:line="520" w:lineRule="exact"/>
        <w:ind w:firstLine="640" w:firstLineChars="200"/>
        <w:rPr>
          <w:rFonts w:ascii="仿宋_GB2312" w:eastAsia="仿宋_GB2312"/>
          <w:sz w:val="32"/>
          <w:szCs w:val="32"/>
          <w:lang w:bidi="ar"/>
        </w:rPr>
      </w:pPr>
      <w:r>
        <w:rPr>
          <w:rFonts w:hint="eastAsia" w:ascii="仿宋_GB2312" w:eastAsia="仿宋_GB2312"/>
          <w:sz w:val="32"/>
          <w:szCs w:val="32"/>
          <w:lang w:bidi="ar"/>
        </w:rPr>
        <w:t>主要安全性终点是从第一个切口到术后</w:t>
      </w:r>
      <w:r>
        <w:rPr>
          <w:rFonts w:ascii="仿宋_GB2312" w:eastAsia="仿宋_GB2312"/>
          <w:sz w:val="32"/>
          <w:szCs w:val="32"/>
          <w:lang w:bidi="ar"/>
        </w:rPr>
        <w:t>30天符</w:t>
      </w:r>
      <w:r>
        <w:rPr>
          <w:rFonts w:hint="eastAsia" w:ascii="仿宋_GB2312" w:eastAsia="仿宋_GB2312"/>
          <w:sz w:val="32"/>
          <w:szCs w:val="32"/>
          <w:lang w:bidi="ar"/>
        </w:rPr>
        <w:t>合</w:t>
      </w:r>
      <w:r>
        <w:rPr>
          <w:rFonts w:ascii="仿宋_GB2312" w:eastAsia="仿宋_GB2312"/>
          <w:sz w:val="32"/>
          <w:szCs w:val="32"/>
          <w:lang w:bidi="ar"/>
        </w:rPr>
        <w:t>Clavien-Dindo</w:t>
      </w:r>
      <w:r>
        <w:rPr>
          <w:rFonts w:hint="eastAsia" w:ascii="仿宋_GB2312" w:eastAsia="仿宋_GB2312"/>
          <w:sz w:val="32"/>
          <w:szCs w:val="32"/>
          <w:lang w:bidi="ar"/>
        </w:rPr>
        <w:t>分级系统</w:t>
      </w:r>
      <w:r>
        <w:rPr>
          <w:rFonts w:ascii="仿宋_GB2312" w:eastAsia="仿宋_GB2312"/>
          <w:sz w:val="32"/>
          <w:szCs w:val="32"/>
          <w:lang w:bidi="ar"/>
        </w:rPr>
        <w:t>3级或以上标准的并发症发生率。</w:t>
      </w:r>
    </w:p>
    <w:p w14:paraId="79F2C488">
      <w:pPr>
        <w:numPr>
          <w:ilvl w:val="0"/>
          <w:numId w:val="1"/>
        </w:numPr>
        <w:spacing w:line="520" w:lineRule="exact"/>
        <w:ind w:firstLine="640" w:firstLineChars="200"/>
        <w:rPr>
          <w:rFonts w:ascii="仿宋_GB2312" w:eastAsia="仿宋_GB2312"/>
          <w:sz w:val="32"/>
          <w:szCs w:val="32"/>
        </w:rPr>
      </w:pPr>
      <w:r>
        <w:rPr>
          <w:rFonts w:hint="eastAsia" w:ascii="仿宋_GB2312" w:eastAsia="仿宋_GB2312"/>
          <w:sz w:val="32"/>
          <w:szCs w:val="32"/>
        </w:rPr>
        <w:t>次要终点</w:t>
      </w:r>
    </w:p>
    <w:p w14:paraId="4D061ECE">
      <w:pPr>
        <w:widowControl/>
        <w:spacing w:line="520" w:lineRule="exact"/>
        <w:ind w:firstLine="640" w:firstLineChars="200"/>
        <w:rPr>
          <w:rFonts w:ascii="仿宋_GB2312" w:eastAsia="仿宋_GB2312"/>
          <w:sz w:val="32"/>
          <w:szCs w:val="32"/>
          <w:lang w:bidi="ar"/>
        </w:rPr>
      </w:pPr>
      <w:r>
        <w:rPr>
          <w:rFonts w:hint="eastAsia" w:ascii="仿宋_GB2312" w:eastAsia="仿宋_GB2312"/>
          <w:sz w:val="32"/>
          <w:szCs w:val="32"/>
        </w:rPr>
        <w:t>包括</w:t>
      </w:r>
      <w:r>
        <w:rPr>
          <w:rFonts w:hint="eastAsia" w:ascii="仿宋_GB2312" w:eastAsia="仿宋_GB2312"/>
          <w:sz w:val="32"/>
          <w:szCs w:val="32"/>
          <w:lang w:bidi="ar"/>
        </w:rPr>
        <w:t>手术时间、</w:t>
      </w:r>
      <w:bookmarkStart w:id="2" w:name="_Hlk132818951"/>
      <w:r>
        <w:rPr>
          <w:rFonts w:hint="eastAsia" w:ascii="仿宋_GB2312" w:eastAsia="仿宋_GB2312"/>
          <w:sz w:val="32"/>
          <w:szCs w:val="32"/>
          <w:lang w:bidi="ar"/>
        </w:rPr>
        <w:t>术中估计失血量（mL）、患者</w:t>
      </w:r>
      <w:r>
        <w:rPr>
          <w:rFonts w:ascii="仿宋_GB2312" w:eastAsia="仿宋_GB2312"/>
          <w:sz w:val="32"/>
          <w:szCs w:val="32"/>
          <w:lang w:bidi="ar"/>
        </w:rPr>
        <w:t>疼痛</w:t>
      </w:r>
      <w:r>
        <w:rPr>
          <w:rFonts w:hint="eastAsia" w:ascii="仿宋_GB2312" w:eastAsia="仿宋_GB2312"/>
          <w:sz w:val="32"/>
          <w:szCs w:val="32"/>
          <w:lang w:bidi="ar"/>
        </w:rPr>
        <w:t>评分</w:t>
      </w:r>
      <w:r>
        <w:rPr>
          <w:rFonts w:ascii="仿宋_GB2312" w:eastAsia="仿宋_GB2312"/>
          <w:sz w:val="32"/>
          <w:szCs w:val="32"/>
          <w:lang w:bidi="ar"/>
        </w:rPr>
        <w:t>、</w:t>
      </w:r>
      <w:r>
        <w:rPr>
          <w:rFonts w:hint="eastAsia" w:ascii="仿宋_GB2312" w:eastAsia="仿宋_GB2312"/>
          <w:sz w:val="32"/>
          <w:szCs w:val="32"/>
          <w:lang w:bidi="ar"/>
        </w:rPr>
        <w:t>输血率</w:t>
      </w:r>
      <w:bookmarkEnd w:id="2"/>
      <w:r>
        <w:rPr>
          <w:rFonts w:hint="eastAsia" w:ascii="仿宋_GB2312" w:eastAsia="仿宋_GB2312"/>
          <w:sz w:val="32"/>
          <w:szCs w:val="32"/>
          <w:lang w:bidi="ar"/>
        </w:rPr>
        <w:t>、器械相关转换率、</w:t>
      </w:r>
      <w:r>
        <w:rPr>
          <w:rFonts w:ascii="仿宋_GB2312" w:eastAsia="仿宋_GB2312"/>
          <w:sz w:val="32"/>
          <w:szCs w:val="32"/>
          <w:lang w:bidi="ar"/>
        </w:rPr>
        <w:t>器械缺陷发生率</w:t>
      </w:r>
      <w:r>
        <w:rPr>
          <w:rFonts w:hint="eastAsia" w:ascii="仿宋_GB2312" w:eastAsia="仿宋_GB2312"/>
          <w:sz w:val="32"/>
          <w:szCs w:val="32"/>
          <w:lang w:bidi="ar"/>
        </w:rPr>
        <w:t>、住院时间、从第一个切口到术后30</w:t>
      </w:r>
      <w:r>
        <w:rPr>
          <w:rFonts w:ascii="仿宋_GB2312" w:eastAsia="仿宋_GB2312"/>
          <w:sz w:val="32"/>
          <w:szCs w:val="32"/>
          <w:lang w:bidi="ar"/>
        </w:rPr>
        <w:t>天的整体并发症发生率（</w:t>
      </w:r>
      <w:r>
        <w:rPr>
          <w:rFonts w:hint="eastAsia" w:ascii="仿宋_GB2312" w:eastAsia="仿宋_GB2312"/>
          <w:sz w:val="32"/>
          <w:szCs w:val="32"/>
          <w:lang w:bidi="ar"/>
        </w:rPr>
        <w:t>Clavien-Dindo 1</w:t>
      </w:r>
      <w:r>
        <w:rPr>
          <w:rFonts w:ascii="仿宋_GB2312" w:eastAsia="仿宋_GB2312"/>
          <w:sz w:val="32"/>
          <w:szCs w:val="32"/>
          <w:lang w:bidi="ar"/>
        </w:rPr>
        <w:t>级或更高）</w:t>
      </w:r>
      <w:r>
        <w:rPr>
          <w:rFonts w:hint="eastAsia" w:ascii="仿宋_GB2312" w:eastAsia="仿宋_GB2312"/>
          <w:sz w:val="32"/>
          <w:szCs w:val="32"/>
          <w:lang w:bidi="ar"/>
        </w:rPr>
        <w:t>以及30</w:t>
      </w:r>
      <w:r>
        <w:rPr>
          <w:rFonts w:ascii="仿宋_GB2312" w:eastAsia="仿宋_GB2312"/>
          <w:sz w:val="32"/>
          <w:szCs w:val="32"/>
          <w:lang w:bidi="ar"/>
        </w:rPr>
        <w:t>天内</w:t>
      </w:r>
      <w:r>
        <w:rPr>
          <w:rFonts w:hint="eastAsia" w:ascii="仿宋_GB2312" w:eastAsia="仿宋_GB2312"/>
          <w:sz w:val="32"/>
          <w:szCs w:val="32"/>
          <w:lang w:bidi="ar"/>
        </w:rPr>
        <w:t>再入院率、</w:t>
      </w:r>
      <w:r>
        <w:rPr>
          <w:rFonts w:ascii="仿宋_GB2312" w:eastAsia="仿宋_GB2312"/>
          <w:sz w:val="32"/>
          <w:szCs w:val="32"/>
          <w:lang w:bidi="ar"/>
        </w:rPr>
        <w:t>再次手术率</w:t>
      </w:r>
      <w:r>
        <w:rPr>
          <w:rFonts w:hint="eastAsia" w:ascii="仿宋_GB2312" w:eastAsia="仿宋_GB2312"/>
          <w:sz w:val="32"/>
          <w:szCs w:val="32"/>
          <w:lang w:bidi="ar"/>
        </w:rPr>
        <w:t>和</w:t>
      </w:r>
      <w:r>
        <w:rPr>
          <w:rFonts w:ascii="仿宋_GB2312" w:eastAsia="仿宋_GB2312"/>
          <w:sz w:val="32"/>
          <w:szCs w:val="32"/>
          <w:lang w:bidi="ar"/>
        </w:rPr>
        <w:t>死亡率</w:t>
      </w:r>
      <w:r>
        <w:rPr>
          <w:rFonts w:hint="eastAsia" w:ascii="仿宋_GB2312" w:eastAsia="仿宋_GB2312"/>
          <w:sz w:val="32"/>
          <w:szCs w:val="32"/>
          <w:lang w:bidi="ar"/>
        </w:rPr>
        <w:t>等。</w:t>
      </w:r>
      <w:r>
        <w:rPr>
          <w:rFonts w:ascii="仿宋_GB2312" w:eastAsia="仿宋_GB2312"/>
          <w:sz w:val="32"/>
          <w:szCs w:val="32"/>
          <w:lang w:bidi="ar"/>
        </w:rPr>
        <w:t xml:space="preserve"> </w:t>
      </w:r>
    </w:p>
    <w:p w14:paraId="774555E6">
      <w:pPr>
        <w:pStyle w:val="19"/>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（五）临床试验样本量</w:t>
      </w:r>
    </w:p>
    <w:p w14:paraId="06E36765">
      <w:pPr>
        <w:widowControl/>
        <w:spacing w:line="520" w:lineRule="exact"/>
        <w:ind w:firstLine="640" w:firstLineChars="200"/>
        <w:rPr>
          <w:rFonts w:ascii="仿宋_GB2312" w:eastAsia="仿宋_GB2312"/>
          <w:sz w:val="32"/>
          <w:szCs w:val="32"/>
        </w:rPr>
      </w:pPr>
      <w:r>
        <w:rPr>
          <w:rFonts w:hint="eastAsia" w:ascii="仿宋_GB2312" w:eastAsia="仿宋_GB2312"/>
          <w:sz w:val="32"/>
          <w:szCs w:val="32"/>
        </w:rPr>
        <w:t>临床试验开始前，注册申请人</w:t>
      </w:r>
      <w:r>
        <w:rPr>
          <w:rFonts w:ascii="仿宋_GB2312" w:eastAsia="仿宋_GB2312"/>
          <w:sz w:val="32"/>
          <w:szCs w:val="32"/>
        </w:rPr>
        <w:t>需全面收集具有一定质量水平及相当数量病例的临床数据，</w:t>
      </w:r>
      <w:r>
        <w:rPr>
          <w:rFonts w:hint="eastAsia" w:ascii="仿宋_GB2312" w:eastAsia="仿宋_GB2312"/>
          <w:sz w:val="32"/>
          <w:szCs w:val="32"/>
        </w:rPr>
        <w:t>经</w:t>
      </w:r>
      <w:r>
        <w:rPr>
          <w:rFonts w:ascii="仿宋_GB2312" w:eastAsia="仿宋_GB2312"/>
          <w:sz w:val="32"/>
          <w:szCs w:val="32"/>
        </w:rPr>
        <w:t>科学分析（如Meta分析）</w:t>
      </w:r>
      <w:r>
        <w:rPr>
          <w:rFonts w:hint="eastAsia" w:ascii="仿宋_GB2312" w:eastAsia="仿宋_GB2312"/>
          <w:sz w:val="32"/>
          <w:szCs w:val="32"/>
        </w:rPr>
        <w:t>，构建临床试验的目标值（</w:t>
      </w:r>
      <w:r>
        <w:rPr>
          <w:rFonts w:ascii="仿宋_GB2312" w:eastAsia="仿宋_GB2312"/>
          <w:sz w:val="32"/>
          <w:szCs w:val="32"/>
        </w:rPr>
        <w:t>性能目标</w:t>
      </w:r>
      <w:r>
        <w:rPr>
          <w:rFonts w:hint="eastAsia" w:ascii="仿宋_GB2312" w:eastAsia="仿宋_GB2312"/>
          <w:sz w:val="32"/>
          <w:szCs w:val="32"/>
        </w:rPr>
        <w:t>）</w:t>
      </w:r>
      <w:r>
        <w:rPr>
          <w:rFonts w:ascii="仿宋_GB2312" w:eastAsia="仿宋_GB2312"/>
          <w:sz w:val="32"/>
          <w:szCs w:val="32"/>
        </w:rPr>
        <w:t>，包括靶值和单侧置信区间界限（通常为97.5%单侧置信区间界限）。</w:t>
      </w:r>
      <w:r>
        <w:rPr>
          <w:rFonts w:hint="eastAsia" w:ascii="仿宋_GB2312" w:eastAsia="仿宋_GB2312"/>
          <w:sz w:val="32"/>
          <w:szCs w:val="32"/>
        </w:rPr>
        <w:t>注册申请人需提交目标值的确定依据和支持性资料。</w:t>
      </w:r>
    </w:p>
    <w:p w14:paraId="695650EC">
      <w:pPr>
        <w:widowControl/>
        <w:spacing w:line="520" w:lineRule="exact"/>
        <w:ind w:firstLine="640" w:firstLineChars="200"/>
        <w:rPr>
          <w:rFonts w:ascii="仿宋_GB2312" w:eastAsia="仿宋_GB2312"/>
          <w:sz w:val="32"/>
          <w:szCs w:val="32"/>
        </w:rPr>
      </w:pPr>
      <w:r>
        <w:rPr>
          <w:rFonts w:hint="eastAsia" w:ascii="仿宋_GB2312" w:eastAsia="仿宋_GB2312"/>
          <w:sz w:val="32"/>
          <w:szCs w:val="32"/>
        </w:rPr>
        <w:t>例如，若经过科学分析，该类产品在临床常见科室手术未发生中转的</w:t>
      </w:r>
      <w:r>
        <w:rPr>
          <w:rFonts w:ascii="仿宋_GB2312" w:eastAsia="仿宋_GB2312"/>
          <w:sz w:val="32"/>
          <w:szCs w:val="32"/>
        </w:rPr>
        <w:t>比例</w:t>
      </w:r>
      <w:r>
        <w:rPr>
          <w:rFonts w:hint="eastAsia" w:ascii="仿宋_GB2312" w:eastAsia="仿宋_GB2312"/>
          <w:sz w:val="32"/>
          <w:szCs w:val="32"/>
        </w:rPr>
        <w:t>可接受的最低标准为</w:t>
      </w:r>
      <w:r>
        <w:rPr>
          <w:rFonts w:ascii="仿宋_GB2312" w:eastAsia="仿宋_GB2312"/>
          <w:sz w:val="32"/>
          <w:szCs w:val="32"/>
        </w:rPr>
        <w:t>90%，申报产品预期</w:t>
      </w:r>
      <w:r>
        <w:rPr>
          <w:rFonts w:hint="eastAsia" w:ascii="仿宋_GB2312" w:eastAsia="仿宋_GB2312"/>
          <w:sz w:val="32"/>
          <w:szCs w:val="32"/>
        </w:rPr>
        <w:t>手术未发生中转的比例为</w:t>
      </w:r>
      <w:r>
        <w:rPr>
          <w:rFonts w:ascii="仿宋_GB2312" w:eastAsia="仿宋_GB2312"/>
          <w:sz w:val="32"/>
          <w:szCs w:val="32"/>
        </w:rPr>
        <w:t>99%，</w:t>
      </w:r>
      <w:r>
        <w:rPr>
          <w:rFonts w:hint="eastAsia" w:ascii="仿宋_GB2312" w:eastAsia="仿宋_GB2312"/>
          <w:sz w:val="32"/>
          <w:szCs w:val="32"/>
        </w:rPr>
        <w:t>在双侧显著性水平</w:t>
      </w:r>
      <w:r>
        <w:rPr>
          <w:rFonts w:ascii="仿宋_GB2312" w:eastAsia="仿宋_GB2312"/>
          <w:sz w:val="32"/>
          <w:szCs w:val="32"/>
        </w:rPr>
        <w:t>0.05、把握度80%、脱落率10%时，</w:t>
      </w:r>
      <w:r>
        <w:rPr>
          <w:rFonts w:hint="eastAsia" w:ascii="仿宋_GB2312" w:eastAsia="仿宋_GB2312"/>
          <w:sz w:val="32"/>
          <w:szCs w:val="32"/>
        </w:rPr>
        <w:t>采用精确概率法进行样本量估算，</w:t>
      </w:r>
      <w:r>
        <w:rPr>
          <w:rFonts w:ascii="仿宋_GB2312" w:eastAsia="仿宋_GB2312"/>
          <w:sz w:val="32"/>
          <w:szCs w:val="32"/>
        </w:rPr>
        <w:t>临床试验的样本量为60例。</w:t>
      </w:r>
      <w:r>
        <w:rPr>
          <w:rFonts w:hint="eastAsia" w:ascii="仿宋_GB2312" w:eastAsia="仿宋_GB2312"/>
          <w:sz w:val="32"/>
          <w:szCs w:val="32"/>
        </w:rPr>
        <w:t>若行业可接受该类产品在临床常见科室的术后</w:t>
      </w:r>
      <w:r>
        <w:rPr>
          <w:rFonts w:ascii="仿宋_GB2312" w:eastAsia="仿宋_GB2312"/>
          <w:sz w:val="32"/>
          <w:szCs w:val="32"/>
        </w:rPr>
        <w:t>30天</w:t>
      </w:r>
      <w:r>
        <w:rPr>
          <w:rFonts w:ascii="仿宋_GB2312" w:eastAsia="仿宋_GB2312"/>
          <w:sz w:val="32"/>
          <w:szCs w:val="32"/>
          <w:lang w:bidi="ar"/>
        </w:rPr>
        <w:t>Clavien-Dindo</w:t>
      </w:r>
      <w:r>
        <w:rPr>
          <w:rFonts w:ascii="仿宋_GB2312" w:eastAsia="仿宋_GB2312"/>
          <w:sz w:val="32"/>
          <w:szCs w:val="32"/>
        </w:rPr>
        <w:t>3级或以上标准的并发症发生率</w:t>
      </w:r>
      <w:r>
        <w:rPr>
          <w:rFonts w:hint="eastAsia" w:ascii="仿宋_GB2312" w:eastAsia="仿宋_GB2312"/>
          <w:sz w:val="32"/>
          <w:szCs w:val="32"/>
        </w:rPr>
        <w:t>最低标准为</w:t>
      </w:r>
      <w:r>
        <w:rPr>
          <w:rFonts w:ascii="仿宋_GB2312" w:eastAsia="仿宋_GB2312"/>
          <w:sz w:val="32"/>
          <w:szCs w:val="32"/>
        </w:rPr>
        <w:t>16%</w:t>
      </w:r>
      <w:r>
        <w:rPr>
          <w:rFonts w:hint="eastAsia" w:ascii="仿宋_GB2312" w:eastAsia="仿宋_GB2312"/>
          <w:sz w:val="32"/>
          <w:szCs w:val="32"/>
        </w:rPr>
        <w:t>，申报产品上述并发症预期发生率为</w:t>
      </w:r>
      <w:r>
        <w:rPr>
          <w:rFonts w:ascii="仿宋_GB2312" w:eastAsia="仿宋_GB2312"/>
          <w:sz w:val="32"/>
          <w:szCs w:val="32"/>
        </w:rPr>
        <w:t>3%</w:t>
      </w:r>
      <w:r>
        <w:rPr>
          <w:rFonts w:hint="eastAsia" w:ascii="仿宋_GB2312" w:eastAsia="仿宋_GB2312"/>
          <w:sz w:val="32"/>
          <w:szCs w:val="32"/>
        </w:rPr>
        <w:t>，在双侧显著性水平</w:t>
      </w:r>
      <w:r>
        <w:rPr>
          <w:rFonts w:ascii="仿宋_GB2312" w:eastAsia="仿宋_GB2312"/>
          <w:sz w:val="32"/>
          <w:szCs w:val="32"/>
        </w:rPr>
        <w:t>0.05、把握度80%、脱落率10%时，</w:t>
      </w:r>
      <w:r>
        <w:rPr>
          <w:rFonts w:hint="eastAsia" w:ascii="仿宋_GB2312" w:eastAsia="仿宋_GB2312"/>
          <w:sz w:val="32"/>
          <w:szCs w:val="32"/>
        </w:rPr>
        <w:t>采用精确概率法进行样本量估算，</w:t>
      </w:r>
      <w:r>
        <w:rPr>
          <w:rFonts w:ascii="仿宋_GB2312" w:eastAsia="仿宋_GB2312"/>
          <w:sz w:val="32"/>
          <w:szCs w:val="32"/>
        </w:rPr>
        <w:t>临床试验的样本量为48例</w:t>
      </w:r>
      <w:r>
        <w:rPr>
          <w:rFonts w:hint="eastAsia" w:ascii="仿宋_GB2312" w:eastAsia="仿宋_GB2312"/>
          <w:sz w:val="32"/>
          <w:szCs w:val="32"/>
        </w:rPr>
        <w:t>。综上，临床试验的样本量为</w:t>
      </w:r>
      <w:r>
        <w:rPr>
          <w:rFonts w:ascii="仿宋_GB2312" w:eastAsia="仿宋_GB2312"/>
          <w:sz w:val="32"/>
          <w:szCs w:val="32"/>
        </w:rPr>
        <w:t>60</w:t>
      </w:r>
      <w:r>
        <w:rPr>
          <w:rFonts w:hint="eastAsia" w:ascii="仿宋_GB2312" w:eastAsia="仿宋_GB2312"/>
          <w:sz w:val="32"/>
          <w:szCs w:val="32"/>
        </w:rPr>
        <w:t>例。</w:t>
      </w:r>
    </w:p>
    <w:p w14:paraId="31F04E8B">
      <w:pPr>
        <w:widowControl/>
        <w:spacing w:line="520" w:lineRule="exact"/>
        <w:ind w:firstLine="640" w:firstLineChars="200"/>
        <w:rPr>
          <w:rFonts w:ascii="仿宋_GB2312" w:eastAsia="仿宋_GB2312"/>
          <w:sz w:val="32"/>
          <w:szCs w:val="32"/>
        </w:rPr>
      </w:pPr>
      <w:r>
        <w:rPr>
          <w:rFonts w:hint="eastAsia" w:ascii="仿宋_GB2312" w:eastAsia="仿宋_GB2312"/>
          <w:sz w:val="32"/>
          <w:szCs w:val="32"/>
        </w:rPr>
        <w:t>当注册申请人已通过临床试验确认该产品在一定适用范围（如泌尿外科，普外科特定术式）内的有效性和安全性后，若在已有适用范围上增加预期使用科室时，鼓励申请人依次通过模型试验、动物试验、临床试验确认产品的安全有效性，单科室临床试验的样本量建议为</w:t>
      </w:r>
      <w:r>
        <w:rPr>
          <w:rFonts w:ascii="仿宋_GB2312" w:eastAsia="仿宋_GB2312"/>
          <w:sz w:val="32"/>
          <w:szCs w:val="32"/>
        </w:rPr>
        <w:t>15例</w:t>
      </w:r>
      <w:r>
        <w:rPr>
          <w:rFonts w:hint="eastAsia" w:ascii="仿宋_GB2312" w:eastAsia="仿宋_GB2312"/>
          <w:sz w:val="32"/>
          <w:szCs w:val="32"/>
        </w:rPr>
        <w:t>左右。</w:t>
      </w:r>
    </w:p>
    <w:p w14:paraId="7CB7B6E7">
      <w:pPr>
        <w:widowControl/>
        <w:spacing w:line="520" w:lineRule="exact"/>
        <w:ind w:firstLine="640" w:firstLineChars="200"/>
        <w:rPr>
          <w:rFonts w:ascii="仿宋_GB2312" w:eastAsia="仿宋_GB2312"/>
          <w:sz w:val="32"/>
          <w:szCs w:val="32"/>
        </w:rPr>
      </w:pPr>
      <w:r>
        <w:rPr>
          <w:rFonts w:hint="eastAsia" w:ascii="仿宋_GB2312" w:eastAsia="仿宋_GB2312"/>
          <w:sz w:val="32"/>
          <w:szCs w:val="32"/>
        </w:rPr>
        <w:t>注册申请人需在产品说明书提供临床试验基本信息，包括临床试验目的、试验设计、受试人群、样本量、手术术式以及各术式病例数、评价指标、试验结果（包括手术成功率、手术时间、术中估计失血量（</w:t>
      </w:r>
      <w:r>
        <w:rPr>
          <w:rFonts w:ascii="仿宋_GB2312" w:eastAsia="仿宋_GB2312"/>
          <w:sz w:val="32"/>
          <w:szCs w:val="32"/>
        </w:rPr>
        <w:t>mL）、输血率</w:t>
      </w:r>
      <w:r>
        <w:rPr>
          <w:rFonts w:hint="eastAsia" w:ascii="仿宋_GB2312" w:eastAsia="仿宋_GB2312"/>
          <w:sz w:val="32"/>
          <w:szCs w:val="32"/>
        </w:rPr>
        <w:t>、不良事件发生情况等）。</w:t>
      </w:r>
    </w:p>
    <w:p w14:paraId="7C1455E4">
      <w:pPr>
        <w:pStyle w:val="19"/>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 xml:space="preserve">（六）临床试验随访时间  </w:t>
      </w:r>
    </w:p>
    <w:p w14:paraId="56EB2DD3">
      <w:pPr>
        <w:spacing w:line="520" w:lineRule="exact"/>
        <w:ind w:firstLine="640" w:firstLineChars="200"/>
        <w:rPr>
          <w:rFonts w:ascii="仿宋_GB2312" w:eastAsia="仿宋_GB2312"/>
          <w:sz w:val="32"/>
          <w:szCs w:val="32"/>
        </w:rPr>
      </w:pPr>
      <w:r>
        <w:rPr>
          <w:rFonts w:hint="eastAsia" w:ascii="仿宋_GB2312" w:eastAsia="仿宋_GB2312"/>
          <w:sz w:val="32"/>
          <w:szCs w:val="32"/>
        </w:rPr>
        <w:t>目前，腹腔内窥镜手术系统的临床试验主要有效性终点需观察整个手术过程，主要安全性终点和次要终点需观察至术后30天。注册申请人需在说明书进行如下说明，该产品在其适用范围下的安全有效性是基于其作为手术工具的评估，不包括手术相关临床结局评估，如癌症的治疗效果(总生存率、无病生存率、局部复发)或治疗患者的基础疾病/状况。</w:t>
      </w:r>
    </w:p>
    <w:p w14:paraId="1749E14E">
      <w:pPr>
        <w:pStyle w:val="19"/>
        <w:numPr>
          <w:ilvl w:val="0"/>
          <w:numId w:val="2"/>
        </w:numPr>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临床试验术式</w:t>
      </w:r>
    </w:p>
    <w:p w14:paraId="56A19C57">
      <w:pPr>
        <w:spacing w:line="520" w:lineRule="exact"/>
        <w:ind w:firstLine="640" w:firstLineChars="200"/>
        <w:rPr>
          <w:rFonts w:eastAsia="仿宋_GB2312"/>
          <w:sz w:val="32"/>
          <w:szCs w:val="32"/>
        </w:rPr>
      </w:pPr>
      <w:r>
        <w:rPr>
          <w:rFonts w:hint="eastAsia" w:eastAsia="仿宋_GB2312"/>
          <w:sz w:val="32"/>
          <w:szCs w:val="32"/>
        </w:rPr>
        <w:t>临床试验需覆盖适用范围内的常见代表性术式。代表性术式通常为更高风险</w:t>
      </w:r>
      <w:r>
        <w:rPr>
          <w:rFonts w:eastAsia="仿宋_GB2312"/>
          <w:sz w:val="32"/>
          <w:szCs w:val="32"/>
        </w:rPr>
        <w:t>/更复杂的术式</w:t>
      </w:r>
      <w:r>
        <w:rPr>
          <w:rFonts w:hint="eastAsia" w:eastAsia="仿宋_GB2312"/>
          <w:sz w:val="32"/>
          <w:szCs w:val="32"/>
        </w:rPr>
        <w:t xml:space="preserve">，对申报科室常见术式所能到达的手术工作区、目标组织类型（如实质组织、空腔组织、脉管组织等）及其涵盖的手术任务（如抓取、切割、缝合、凝结、牵引、剥离、结扎等）具有覆盖性。 </w:t>
      </w:r>
      <w:r>
        <w:rPr>
          <w:rFonts w:eastAsia="仿宋_GB2312"/>
          <w:sz w:val="32"/>
          <w:szCs w:val="32"/>
        </w:rPr>
        <w:t xml:space="preserve">   </w:t>
      </w:r>
    </w:p>
    <w:p w14:paraId="08552529">
      <w:pPr>
        <w:spacing w:line="520" w:lineRule="exact"/>
        <w:ind w:firstLine="640" w:firstLineChars="200"/>
        <w:rPr>
          <w:rFonts w:eastAsia="仿宋_GB2312"/>
          <w:sz w:val="32"/>
          <w:szCs w:val="32"/>
        </w:rPr>
      </w:pPr>
      <w:r>
        <w:rPr>
          <w:rFonts w:hint="eastAsia" w:eastAsia="仿宋_GB2312"/>
          <w:sz w:val="32"/>
          <w:szCs w:val="32"/>
        </w:rPr>
        <w:t>注册申请人申请临床常见科室时，临床试验中需包括：</w:t>
      </w:r>
      <w:r>
        <w:rPr>
          <w:rFonts w:eastAsia="仿宋_GB2312"/>
          <w:sz w:val="32"/>
          <w:szCs w:val="32"/>
        </w:rPr>
        <w:t>1.</w:t>
      </w:r>
      <w:r>
        <w:rPr>
          <w:rFonts w:hint="eastAsia" w:eastAsia="仿宋_GB2312"/>
          <w:sz w:val="32"/>
          <w:szCs w:val="32"/>
        </w:rPr>
        <w:t>泌尿外科：肾部分切除术（经</w:t>
      </w:r>
      <w:r>
        <w:rPr>
          <w:rFonts w:eastAsia="仿宋_GB2312"/>
          <w:sz w:val="32"/>
          <w:szCs w:val="32"/>
        </w:rPr>
        <w:t>腹腔</w:t>
      </w:r>
      <w:r>
        <w:rPr>
          <w:rFonts w:hint="eastAsia" w:eastAsia="仿宋_GB2312"/>
          <w:sz w:val="32"/>
          <w:szCs w:val="32"/>
        </w:rPr>
        <w:t>或</w:t>
      </w:r>
      <w:r>
        <w:rPr>
          <w:rFonts w:eastAsia="仿宋_GB2312"/>
          <w:sz w:val="32"/>
          <w:szCs w:val="32"/>
        </w:rPr>
        <w:t>后腹膜</w:t>
      </w:r>
      <w:r>
        <w:rPr>
          <w:rFonts w:hint="eastAsia" w:eastAsia="仿宋_GB2312"/>
          <w:sz w:val="32"/>
          <w:szCs w:val="32"/>
        </w:rPr>
        <w:t>）、根治性前列腺切除术；</w:t>
      </w:r>
      <w:r>
        <w:rPr>
          <w:rFonts w:eastAsia="仿宋_GB2312"/>
          <w:sz w:val="32"/>
          <w:szCs w:val="32"/>
        </w:rPr>
        <w:t>2.</w:t>
      </w:r>
      <w:r>
        <w:rPr>
          <w:rFonts w:hint="eastAsia" w:eastAsia="仿宋_GB2312"/>
          <w:sz w:val="32"/>
          <w:szCs w:val="32"/>
        </w:rPr>
        <w:t>妇科：根治性子宫切除术；</w:t>
      </w:r>
      <w:r>
        <w:rPr>
          <w:rFonts w:eastAsia="仿宋_GB2312"/>
          <w:sz w:val="32"/>
          <w:szCs w:val="32"/>
        </w:rPr>
        <w:t>3.</w:t>
      </w:r>
      <w:r>
        <w:rPr>
          <w:rFonts w:hint="eastAsia" w:eastAsia="仿宋_GB2312"/>
          <w:sz w:val="32"/>
          <w:szCs w:val="32"/>
        </w:rPr>
        <w:t>普通外科：远端胃癌</w:t>
      </w:r>
      <w:r>
        <w:rPr>
          <w:rFonts w:eastAsia="仿宋_GB2312"/>
          <w:sz w:val="32"/>
          <w:szCs w:val="32"/>
        </w:rPr>
        <w:t>根治术</w:t>
      </w:r>
      <w:r>
        <w:rPr>
          <w:rFonts w:hint="eastAsia" w:eastAsia="仿宋_GB2312"/>
          <w:sz w:val="32"/>
          <w:szCs w:val="32"/>
        </w:rPr>
        <w:t>、结直肠癌根治术、肝切除术</w:t>
      </w:r>
      <w:r>
        <w:rPr>
          <w:rFonts w:eastAsia="仿宋_GB2312"/>
          <w:sz w:val="32"/>
          <w:szCs w:val="32"/>
        </w:rPr>
        <w:t>/</w:t>
      </w:r>
      <w:r>
        <w:rPr>
          <w:rFonts w:hint="eastAsia" w:eastAsia="仿宋_GB2312"/>
          <w:sz w:val="32"/>
          <w:szCs w:val="32"/>
        </w:rPr>
        <w:t>脾切除</w:t>
      </w:r>
      <w:r>
        <w:rPr>
          <w:rFonts w:eastAsia="仿宋_GB2312"/>
          <w:sz w:val="32"/>
          <w:szCs w:val="32"/>
        </w:rPr>
        <w:t>术</w:t>
      </w:r>
      <w:r>
        <w:rPr>
          <w:rFonts w:hint="eastAsia" w:eastAsia="仿宋_GB2312"/>
          <w:sz w:val="32"/>
          <w:szCs w:val="32"/>
        </w:rPr>
        <w:t>；</w:t>
      </w:r>
      <w:r>
        <w:rPr>
          <w:rFonts w:eastAsia="仿宋_GB2312"/>
          <w:sz w:val="32"/>
          <w:szCs w:val="32"/>
        </w:rPr>
        <w:t>4.</w:t>
      </w:r>
      <w:r>
        <w:rPr>
          <w:rFonts w:hint="eastAsia" w:eastAsia="仿宋_GB2312"/>
          <w:sz w:val="32"/>
          <w:szCs w:val="32"/>
        </w:rPr>
        <w:t>胸外科：肺段</w:t>
      </w:r>
      <w:r>
        <w:rPr>
          <w:rFonts w:eastAsia="仿宋_GB2312"/>
          <w:sz w:val="32"/>
          <w:szCs w:val="32"/>
        </w:rPr>
        <w:t>/</w:t>
      </w:r>
      <w:r>
        <w:rPr>
          <w:rFonts w:hint="eastAsia" w:eastAsia="仿宋_GB2312"/>
          <w:sz w:val="32"/>
          <w:szCs w:val="32"/>
        </w:rPr>
        <w:t>肺叶切除术、食管癌根治术等。各科室样本量分布基本均衡。已上市产品增加预期使用科室时，可参考上述要求选择代表性术式。若注册申请人采取其他代表性术式，需基于前述代表性术式的定义论证其合理性。</w:t>
      </w:r>
    </w:p>
    <w:p w14:paraId="457F55BC">
      <w:pPr>
        <w:pStyle w:val="19"/>
        <w:overflowPunct w:val="0"/>
        <w:autoSpaceDE w:val="0"/>
        <w:autoSpaceDN w:val="0"/>
        <w:spacing w:line="520" w:lineRule="exact"/>
        <w:ind w:firstLine="64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（八）统计分析</w:t>
      </w:r>
    </w:p>
    <w:p w14:paraId="19EC34D4">
      <w:pPr>
        <w:pStyle w:val="19"/>
        <w:overflowPunct w:val="0"/>
        <w:autoSpaceDE w:val="0"/>
        <w:autoSpaceDN w:val="0"/>
        <w:spacing w:line="520" w:lineRule="exact"/>
        <w:ind w:firstLine="640"/>
        <w:outlineLvl w:val="1"/>
        <w:rPr>
          <w:rFonts w:ascii="仿宋_GB2312" w:eastAsia="仿宋_GB2312"/>
          <w:sz w:val="32"/>
          <w:szCs w:val="32"/>
          <w:lang w:bidi="ar"/>
        </w:rPr>
      </w:pPr>
      <w:r>
        <w:rPr>
          <w:rFonts w:hint="eastAsia" w:ascii="仿宋_GB2312" w:eastAsia="仿宋_GB2312"/>
          <w:sz w:val="32"/>
          <w:szCs w:val="32"/>
          <w:lang w:bidi="ar"/>
        </w:rPr>
        <w:t>可参考《医疗器械临床试验设计指导原则》对临床试验结果进行统计分析，得出结论。</w:t>
      </w:r>
    </w:p>
    <w:p w14:paraId="0129F9D0">
      <w:pPr>
        <w:spacing w:line="520" w:lineRule="exact"/>
        <w:ind w:firstLine="640" w:firstLineChars="200"/>
        <w:rPr>
          <w:rFonts w:ascii="Times New Roman" w:hAnsi="Times New Roman" w:eastAsia="楷体_GB2312"/>
          <w:color w:val="000000"/>
          <w:sz w:val="32"/>
          <w:szCs w:val="32"/>
        </w:rPr>
      </w:pPr>
      <w:bookmarkStart w:id="3" w:name="_Toc500960081"/>
      <w:bookmarkEnd w:id="3"/>
      <w:bookmarkStart w:id="4" w:name="_Toc20547"/>
      <w:bookmarkEnd w:id="4"/>
      <w:bookmarkStart w:id="5" w:name="_Toc500960082"/>
      <w:bookmarkEnd w:id="5"/>
      <w:bookmarkStart w:id="6" w:name="_Toc500960080"/>
      <w:bookmarkEnd w:id="6"/>
      <w:bookmarkStart w:id="7" w:name="_Toc12581"/>
      <w:r>
        <w:rPr>
          <w:rFonts w:hint="eastAsia" w:ascii="Times New Roman" w:hAnsi="Times New Roman" w:eastAsia="楷体_GB2312"/>
          <w:color w:val="000000"/>
          <w:sz w:val="32"/>
          <w:szCs w:val="32"/>
        </w:rPr>
        <w:t>（九）其他</w:t>
      </w:r>
    </w:p>
    <w:p w14:paraId="57FFE237">
      <w:pPr>
        <w:spacing w:line="520" w:lineRule="exact"/>
        <w:ind w:firstLine="640" w:firstLineChars="200"/>
        <w:rPr>
          <w:rFonts w:ascii="仿宋_GB2312" w:eastAsia="仿宋_GB2312"/>
          <w:sz w:val="32"/>
          <w:szCs w:val="32"/>
        </w:rPr>
      </w:pPr>
      <w:r>
        <w:rPr>
          <w:rFonts w:hint="eastAsia" w:ascii="仿宋_GB2312" w:eastAsia="仿宋_GB2312"/>
          <w:sz w:val="32"/>
          <w:szCs w:val="32"/>
        </w:rPr>
        <w:t>腹腔内窥镜手术系统需通过临床试验进行临床评价，如有境外临床试验数据，其符合我国注册相关要求，遵循伦理、依法、科学原则，且数据科学、完整、充分时，可参照《接受医疗器械境外临床试验数据技术指导原则》作为临床试验资料提交，选择临床试验路径进行临床评价。</w:t>
      </w:r>
    </w:p>
    <w:bookmarkEnd w:id="7"/>
    <w:p w14:paraId="50835762">
      <w:pPr>
        <w:overflowPunct w:val="0"/>
        <w:autoSpaceDE w:val="0"/>
        <w:autoSpaceDN w:val="0"/>
        <w:spacing w:line="520" w:lineRule="exact"/>
        <w:ind w:firstLine="320" w:firstLineChars="100"/>
        <w:outlineLvl w:val="0"/>
        <w:rPr>
          <w:rFonts w:eastAsia="黑体"/>
          <w:kern w:val="0"/>
          <w:sz w:val="32"/>
          <w:szCs w:val="32"/>
        </w:rPr>
      </w:pPr>
      <w:bookmarkStart w:id="8" w:name="_Toc500960083"/>
      <w:bookmarkEnd w:id="8"/>
      <w:r>
        <w:rPr>
          <w:rFonts w:ascii="仿宋_GB2312" w:eastAsia="仿宋_GB2312"/>
          <w:sz w:val="32"/>
          <w:szCs w:val="32"/>
        </w:rPr>
        <w:t xml:space="preserve">  </w:t>
      </w:r>
      <w:r>
        <w:rPr>
          <w:rFonts w:hint="eastAsia" w:eastAsia="黑体"/>
          <w:kern w:val="0"/>
          <w:sz w:val="32"/>
          <w:szCs w:val="32"/>
        </w:rPr>
        <w:t>三、参考文献</w:t>
      </w:r>
    </w:p>
    <w:p w14:paraId="201808C8">
      <w:pPr>
        <w:overflowPunct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国家药品监督管理局</w:t>
      </w:r>
      <w:r>
        <w:rPr>
          <w:rFonts w:eastAsia="仿宋_GB2312"/>
          <w:sz w:val="32"/>
          <w:szCs w:val="32"/>
        </w:rPr>
        <w:t>.</w:t>
      </w:r>
      <w:r>
        <w:rPr>
          <w:rFonts w:hint="eastAsia" w:eastAsia="仿宋_GB2312"/>
          <w:sz w:val="32"/>
          <w:szCs w:val="32"/>
        </w:rPr>
        <w:t>《</w:t>
      </w:r>
      <w:r>
        <w:rPr>
          <w:rFonts w:eastAsia="仿宋_GB2312"/>
          <w:sz w:val="32"/>
          <w:szCs w:val="32"/>
        </w:rPr>
        <w:t>医疗器械临床评价技术指导原则</w:t>
      </w:r>
      <w:r>
        <w:rPr>
          <w:rFonts w:hint="eastAsia" w:eastAsia="仿宋_GB2312"/>
          <w:sz w:val="32"/>
          <w:szCs w:val="32"/>
        </w:rPr>
        <w:t>》（2</w:t>
      </w:r>
      <w:r>
        <w:rPr>
          <w:rFonts w:eastAsia="仿宋_GB2312"/>
          <w:sz w:val="32"/>
          <w:szCs w:val="32"/>
        </w:rPr>
        <w:t>021</w:t>
      </w:r>
      <w:r>
        <w:rPr>
          <w:rFonts w:hint="eastAsia" w:eastAsia="仿宋_GB2312"/>
          <w:sz w:val="32"/>
          <w:szCs w:val="32"/>
        </w:rPr>
        <w:t>年）：国家药监局关于发布医疗器械临床评价技术指导原则等</w:t>
      </w:r>
      <w:r>
        <w:rPr>
          <w:rFonts w:eastAsia="仿宋_GB2312"/>
          <w:sz w:val="32"/>
          <w:szCs w:val="32"/>
        </w:rPr>
        <w:t>5项技术指导原则的通告（2021年第73号）[Z].</w:t>
      </w:r>
    </w:p>
    <w:p w14:paraId="551599FA">
      <w:pPr>
        <w:overflowPunct w:val="0"/>
        <w:spacing w:line="52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《决策是否开展医疗器械临床试验技术指导原则》（</w:t>
      </w:r>
      <w:r>
        <w:rPr>
          <w:rFonts w:eastAsia="仿宋_GB2312"/>
          <w:sz w:val="32"/>
          <w:szCs w:val="32"/>
        </w:rPr>
        <w:t>2021</w:t>
      </w:r>
      <w:r>
        <w:rPr>
          <w:rFonts w:hint="eastAsia" w:eastAsia="仿宋_GB2312"/>
          <w:sz w:val="32"/>
          <w:szCs w:val="32"/>
        </w:rPr>
        <w:t>年）：国家药监局关于发布医疗器械临床评价技术指导原则等</w:t>
      </w:r>
      <w:r>
        <w:rPr>
          <w:rFonts w:eastAsia="仿宋_GB2312"/>
          <w:sz w:val="32"/>
          <w:szCs w:val="32"/>
        </w:rPr>
        <w:t>5</w:t>
      </w:r>
      <w:r>
        <w:rPr>
          <w:rFonts w:hint="eastAsia" w:eastAsia="仿宋_GB2312"/>
          <w:sz w:val="32"/>
          <w:szCs w:val="32"/>
        </w:rPr>
        <w:t>项技术指导原则的通告</w:t>
      </w:r>
      <w:r>
        <w:rPr>
          <w:rFonts w:eastAsia="仿宋_GB2312"/>
          <w:sz w:val="32"/>
          <w:szCs w:val="32"/>
        </w:rPr>
        <w:t xml:space="preserve"> 2021</w:t>
      </w:r>
      <w:r>
        <w:rPr>
          <w:rFonts w:hint="eastAsia" w:eastAsia="仿宋_GB2312"/>
          <w:sz w:val="32"/>
          <w:szCs w:val="32"/>
        </w:rPr>
        <w:t>年第</w:t>
      </w:r>
      <w:r>
        <w:rPr>
          <w:rFonts w:eastAsia="仿宋_GB2312"/>
          <w:sz w:val="32"/>
          <w:szCs w:val="32"/>
        </w:rPr>
        <w:t>73</w:t>
      </w:r>
      <w:r>
        <w:rPr>
          <w:rFonts w:hint="eastAsia" w:eastAsia="仿宋_GB2312"/>
          <w:sz w:val="32"/>
          <w:szCs w:val="32"/>
        </w:rPr>
        <w:t>号</w:t>
      </w:r>
      <w:r>
        <w:rPr>
          <w:rFonts w:eastAsia="仿宋_GB2312"/>
          <w:sz w:val="32"/>
          <w:szCs w:val="32"/>
        </w:rPr>
        <w:t xml:space="preserve"> [Z].</w:t>
      </w:r>
    </w:p>
    <w:p w14:paraId="0C9A2015">
      <w:pPr>
        <w:overflowPunct w:val="0"/>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原国家食品药品监督管理总局</w:t>
      </w:r>
      <w:r>
        <w:rPr>
          <w:rFonts w:eastAsia="仿宋_GB2312"/>
          <w:sz w:val="32"/>
          <w:szCs w:val="32"/>
        </w:rPr>
        <w:t>.</w:t>
      </w:r>
      <w:r>
        <w:rPr>
          <w:rFonts w:hint="eastAsia" w:eastAsia="仿宋_GB2312"/>
          <w:sz w:val="32"/>
          <w:szCs w:val="32"/>
        </w:rPr>
        <w:t>《医疗器械临床试验设计指导原则》（</w:t>
      </w:r>
      <w:r>
        <w:rPr>
          <w:rFonts w:eastAsia="仿宋_GB2312"/>
          <w:sz w:val="32"/>
          <w:szCs w:val="32"/>
        </w:rPr>
        <w:t>2018</w:t>
      </w:r>
      <w:r>
        <w:rPr>
          <w:rFonts w:hint="eastAsia" w:eastAsia="仿宋_GB2312"/>
          <w:sz w:val="32"/>
          <w:szCs w:val="32"/>
        </w:rPr>
        <w:t>年）：总局关于发布医疗器械临床试验设计指导原则的通告</w:t>
      </w:r>
      <w:r>
        <w:rPr>
          <w:rFonts w:eastAsia="仿宋_GB2312"/>
          <w:sz w:val="32"/>
          <w:szCs w:val="32"/>
        </w:rPr>
        <w:t>2018</w:t>
      </w:r>
      <w:r>
        <w:rPr>
          <w:rFonts w:hint="eastAsia" w:eastAsia="仿宋_GB2312"/>
          <w:sz w:val="32"/>
          <w:szCs w:val="32"/>
        </w:rPr>
        <w:t>年第</w:t>
      </w:r>
      <w:r>
        <w:rPr>
          <w:rFonts w:eastAsia="仿宋_GB2312"/>
          <w:sz w:val="32"/>
          <w:szCs w:val="32"/>
        </w:rPr>
        <w:t>6</w:t>
      </w:r>
      <w:r>
        <w:rPr>
          <w:rFonts w:hint="eastAsia" w:eastAsia="仿宋_GB2312"/>
          <w:sz w:val="32"/>
          <w:szCs w:val="32"/>
        </w:rPr>
        <w:t>号</w:t>
      </w:r>
      <w:r>
        <w:rPr>
          <w:rFonts w:eastAsia="仿宋_GB2312"/>
          <w:sz w:val="32"/>
          <w:szCs w:val="32"/>
        </w:rPr>
        <w:t xml:space="preserve"> [Z].</w:t>
      </w:r>
    </w:p>
    <w:p w14:paraId="78C1AD97">
      <w:pPr>
        <w:overflowPunct w:val="0"/>
        <w:spacing w:line="52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原国家食品药品监督管理总局</w:t>
      </w:r>
      <w:r>
        <w:rPr>
          <w:rFonts w:eastAsia="仿宋_GB2312"/>
          <w:sz w:val="32"/>
          <w:szCs w:val="32"/>
        </w:rPr>
        <w:t>.</w:t>
      </w:r>
      <w:r>
        <w:rPr>
          <w:rFonts w:hint="eastAsia" w:eastAsia="仿宋_GB2312"/>
          <w:sz w:val="32"/>
          <w:szCs w:val="32"/>
        </w:rPr>
        <w:t>《接受医疗器械境外临床试验数据技术指导原则》（</w:t>
      </w:r>
      <w:r>
        <w:rPr>
          <w:rFonts w:eastAsia="仿宋_GB2312"/>
          <w:sz w:val="32"/>
          <w:szCs w:val="32"/>
        </w:rPr>
        <w:t>2018</w:t>
      </w:r>
      <w:r>
        <w:rPr>
          <w:rFonts w:hint="eastAsia" w:eastAsia="仿宋_GB2312"/>
          <w:sz w:val="32"/>
          <w:szCs w:val="32"/>
        </w:rPr>
        <w:t>年）：总局关于发布接受医疗器械境外临床试验数据技术指导原则的通告</w:t>
      </w:r>
      <w:r>
        <w:rPr>
          <w:rFonts w:eastAsia="仿宋_GB2312"/>
          <w:sz w:val="32"/>
          <w:szCs w:val="32"/>
        </w:rPr>
        <w:t>2018</w:t>
      </w:r>
      <w:r>
        <w:rPr>
          <w:rFonts w:hint="eastAsia" w:eastAsia="仿宋_GB2312"/>
          <w:sz w:val="32"/>
          <w:szCs w:val="32"/>
        </w:rPr>
        <w:t>年第</w:t>
      </w:r>
      <w:r>
        <w:rPr>
          <w:rFonts w:eastAsia="仿宋_GB2312"/>
          <w:sz w:val="32"/>
          <w:szCs w:val="32"/>
        </w:rPr>
        <w:t>13</w:t>
      </w:r>
      <w:r>
        <w:rPr>
          <w:rFonts w:hint="eastAsia" w:eastAsia="仿宋_GB2312"/>
          <w:sz w:val="32"/>
          <w:szCs w:val="32"/>
        </w:rPr>
        <w:t>号</w:t>
      </w:r>
      <w:r>
        <w:rPr>
          <w:rFonts w:eastAsia="仿宋_GB2312"/>
          <w:sz w:val="32"/>
          <w:szCs w:val="32"/>
        </w:rPr>
        <w:t xml:space="preserve"> [Z].</w:t>
      </w:r>
    </w:p>
    <w:p w14:paraId="0FCD8B3E">
      <w:pPr>
        <w:overflowPunct w:val="0"/>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《腹腔内窥镜手术系统注册审查指导原则 第1部分：手术器械》（</w:t>
      </w:r>
      <w:r>
        <w:rPr>
          <w:rFonts w:eastAsia="仿宋_GB2312"/>
          <w:sz w:val="32"/>
          <w:szCs w:val="32"/>
        </w:rPr>
        <w:t>20</w:t>
      </w:r>
      <w:r>
        <w:rPr>
          <w:rFonts w:hint="eastAsia" w:eastAsia="仿宋_GB2312"/>
          <w:sz w:val="32"/>
          <w:szCs w:val="32"/>
        </w:rPr>
        <w:t>23年）：国家药品监督管理局关于腹腔内窥镜手术系统注册审查指导原则第1部分：手术器械的通告</w:t>
      </w:r>
      <w:r>
        <w:rPr>
          <w:rFonts w:eastAsia="仿宋_GB2312"/>
          <w:sz w:val="32"/>
          <w:szCs w:val="32"/>
        </w:rPr>
        <w:t>20</w:t>
      </w:r>
      <w:r>
        <w:rPr>
          <w:rFonts w:hint="eastAsia" w:eastAsia="仿宋_GB2312"/>
          <w:sz w:val="32"/>
          <w:szCs w:val="32"/>
        </w:rPr>
        <w:t>23年5号</w:t>
      </w:r>
      <w:r>
        <w:rPr>
          <w:rFonts w:eastAsia="仿宋_GB2312"/>
          <w:sz w:val="32"/>
          <w:szCs w:val="32"/>
        </w:rPr>
        <w:t xml:space="preserve"> [Z].</w:t>
      </w:r>
    </w:p>
    <w:p w14:paraId="11C3D2C4">
      <w:pPr>
        <w:widowControl/>
        <w:ind w:firstLine="960" w:firstLineChars="300"/>
        <w:jc w:val="left"/>
        <w:rPr>
          <w:rFonts w:ascii="仿宋_GB2312" w:eastAsia="仿宋_GB2312"/>
          <w:szCs w:val="21"/>
        </w:rPr>
      </w:pPr>
      <w:r>
        <w:rPr>
          <w:rFonts w:eastAsia="仿宋_GB2312"/>
          <w:sz w:val="32"/>
          <w:szCs w:val="32"/>
        </w:rPr>
        <w:t>[6]Dindo D，Demartnies N，Clavien PA.Classification of surgical complications： a new proposal with evaluation in a cohort of 6336 patients and results of a survey[J]. Ann Surg，2004,240（2）：205-213</w:t>
      </w:r>
      <w:r>
        <w:rPr>
          <w:rFonts w:eastAsia="仿宋_GB2312"/>
          <w:sz w:val="32"/>
          <w:szCs w:val="32"/>
        </w:rPr>
        <w:br w:type="page"/>
      </w:r>
    </w:p>
    <w:p w14:paraId="0CFA62B1">
      <w:pPr>
        <w:rPr>
          <w:rFonts w:hint="eastAsia" w:eastAsia="宋体"/>
          <w:lang w:eastAsia="zh-CN"/>
        </w:rPr>
      </w:pPr>
    </w:p>
    <w:p w14:paraId="6B5153B8">
      <w:pPr>
        <w:jc w:val="center"/>
        <w:rPr>
          <w:rFonts w:hint="eastAsia" w:eastAsia="宋体"/>
          <w:lang w:eastAsia="zh-CN"/>
        </w:rPr>
      </w:pPr>
    </w:p>
    <w:p w14:paraId="4D0F7215">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BZ+ZFYBf3-2">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369A3"/>
    <w:multiLevelType w:val="singleLevel"/>
    <w:tmpl w:val="90A369A3"/>
    <w:lvl w:ilvl="0" w:tentative="0">
      <w:start w:val="2"/>
      <w:numFmt w:val="decimal"/>
      <w:lvlText w:val="%1."/>
      <w:lvlJc w:val="left"/>
      <w:pPr>
        <w:tabs>
          <w:tab w:val="left" w:pos="312"/>
        </w:tabs>
      </w:pPr>
    </w:lvl>
  </w:abstractNum>
  <w:abstractNum w:abstractNumId="1">
    <w:nsid w:val="345B422F"/>
    <w:multiLevelType w:val="singleLevel"/>
    <w:tmpl w:val="345B422F"/>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mNmZiOWJhMGMzYTNkMzg5YTY1ODNiNGYzZDBkZWMifQ=="/>
  </w:docVars>
  <w:rsids>
    <w:rsidRoot w:val="00336F55"/>
    <w:rsid w:val="000300F9"/>
    <w:rsid w:val="000D43B9"/>
    <w:rsid w:val="000E6EA4"/>
    <w:rsid w:val="000F6EB5"/>
    <w:rsid w:val="00161C3D"/>
    <w:rsid w:val="00227555"/>
    <w:rsid w:val="00241F63"/>
    <w:rsid w:val="0026046B"/>
    <w:rsid w:val="002715A2"/>
    <w:rsid w:val="002A71CC"/>
    <w:rsid w:val="002C0B61"/>
    <w:rsid w:val="002C3CD7"/>
    <w:rsid w:val="002F0C58"/>
    <w:rsid w:val="003124BC"/>
    <w:rsid w:val="00336F55"/>
    <w:rsid w:val="003E3E98"/>
    <w:rsid w:val="00401856"/>
    <w:rsid w:val="00475389"/>
    <w:rsid w:val="00583635"/>
    <w:rsid w:val="00583D9F"/>
    <w:rsid w:val="005A537C"/>
    <w:rsid w:val="005C0309"/>
    <w:rsid w:val="005C632B"/>
    <w:rsid w:val="00634D3B"/>
    <w:rsid w:val="006B07A6"/>
    <w:rsid w:val="006C0476"/>
    <w:rsid w:val="006D1359"/>
    <w:rsid w:val="006F22CA"/>
    <w:rsid w:val="00712685"/>
    <w:rsid w:val="00744D3C"/>
    <w:rsid w:val="00752A04"/>
    <w:rsid w:val="00797FE1"/>
    <w:rsid w:val="007D609B"/>
    <w:rsid w:val="00810C0B"/>
    <w:rsid w:val="00963FD4"/>
    <w:rsid w:val="0097020B"/>
    <w:rsid w:val="009B7AA7"/>
    <w:rsid w:val="009F4049"/>
    <w:rsid w:val="00A0126A"/>
    <w:rsid w:val="00AF1C82"/>
    <w:rsid w:val="00B447A9"/>
    <w:rsid w:val="00B65F20"/>
    <w:rsid w:val="00B84F41"/>
    <w:rsid w:val="00BB07A7"/>
    <w:rsid w:val="00BB07E4"/>
    <w:rsid w:val="00BF16CA"/>
    <w:rsid w:val="00C24C27"/>
    <w:rsid w:val="00C26CEC"/>
    <w:rsid w:val="00CB79BC"/>
    <w:rsid w:val="00DC0613"/>
    <w:rsid w:val="00DF3EC3"/>
    <w:rsid w:val="00E6743F"/>
    <w:rsid w:val="00E919FC"/>
    <w:rsid w:val="00EE22B4"/>
    <w:rsid w:val="00F3592B"/>
    <w:rsid w:val="00FB2EFD"/>
    <w:rsid w:val="00FE090E"/>
    <w:rsid w:val="05245DDC"/>
    <w:rsid w:val="1386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5"/>
    <w:uiPriority w:val="0"/>
    <w:rPr>
      <w:sz w:val="18"/>
      <w:szCs w:val="18"/>
    </w:rPr>
  </w:style>
  <w:style w:type="paragraph" w:styleId="3">
    <w:name w:val="footer"/>
    <w:basedOn w:val="1"/>
    <w:link w:val="24"/>
    <w:uiPriority w:val="0"/>
    <w:pPr>
      <w:tabs>
        <w:tab w:val="center" w:pos="4153"/>
        <w:tab w:val="right" w:pos="8306"/>
      </w:tabs>
      <w:snapToGrid w:val="0"/>
      <w:jc w:val="left"/>
    </w:pPr>
    <w:rPr>
      <w:sz w:val="18"/>
      <w:szCs w:val="18"/>
    </w:rPr>
  </w:style>
  <w:style w:type="paragraph" w:styleId="4">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customStyle="1" w:styleId="7">
    <w:name w:val="标题 11"/>
    <w:basedOn w:val="1"/>
    <w:link w:val="11"/>
    <w:uiPriority w:val="0"/>
    <w:pPr>
      <w:keepNext/>
      <w:keepLines/>
      <w:spacing w:before="340" w:after="330" w:line="578" w:lineRule="auto"/>
      <w:outlineLvl w:val="0"/>
    </w:pPr>
    <w:rPr>
      <w:b/>
      <w:bCs/>
      <w:kern w:val="44"/>
      <w:sz w:val="44"/>
      <w:szCs w:val="44"/>
    </w:rPr>
  </w:style>
  <w:style w:type="paragraph" w:customStyle="1" w:styleId="8">
    <w:name w:val="标题 21"/>
    <w:basedOn w:val="1"/>
    <w:link w:val="12"/>
    <w:qFormat/>
    <w:uiPriority w:val="0"/>
    <w:pPr>
      <w:keepNext/>
      <w:keepLines/>
      <w:spacing w:before="260" w:after="260" w:line="416" w:lineRule="auto"/>
      <w:outlineLvl w:val="1"/>
    </w:pPr>
    <w:rPr>
      <w:rFonts w:ascii="等线 Light" w:hAnsi="等线 Light" w:eastAsia="等线 Light"/>
      <w:b/>
      <w:bCs/>
      <w:sz w:val="32"/>
      <w:szCs w:val="32"/>
    </w:rPr>
  </w:style>
  <w:style w:type="character" w:customStyle="1" w:styleId="9">
    <w:name w:val="默认段落字体1"/>
    <w:uiPriority w:val="0"/>
  </w:style>
  <w:style w:type="table" w:customStyle="1" w:styleId="10">
    <w:name w:val="普通表格1"/>
    <w:uiPriority w:val="0"/>
    <w:tblPr>
      <w:tblCellMar>
        <w:top w:w="0" w:type="dxa"/>
        <w:left w:w="0" w:type="dxa"/>
        <w:bottom w:w="0" w:type="dxa"/>
        <w:right w:w="0" w:type="dxa"/>
      </w:tblCellMar>
    </w:tblPr>
  </w:style>
  <w:style w:type="character" w:customStyle="1" w:styleId="11">
    <w:name w:val="标题 1 字符"/>
    <w:link w:val="7"/>
    <w:qFormat/>
    <w:uiPriority w:val="0"/>
    <w:rPr>
      <w:b/>
      <w:bCs/>
      <w:kern w:val="44"/>
      <w:sz w:val="44"/>
      <w:szCs w:val="44"/>
    </w:rPr>
  </w:style>
  <w:style w:type="character" w:customStyle="1" w:styleId="12">
    <w:name w:val="标题 2 字符"/>
    <w:link w:val="8"/>
    <w:uiPriority w:val="0"/>
    <w:rPr>
      <w:rFonts w:ascii="等线 Light" w:hAnsi="等线 Light" w:eastAsia="等线 Light"/>
      <w:b/>
      <w:bCs/>
      <w:sz w:val="32"/>
      <w:szCs w:val="32"/>
    </w:rPr>
  </w:style>
  <w:style w:type="paragraph" w:customStyle="1" w:styleId="13">
    <w:name w:val="页脚1"/>
    <w:basedOn w:val="1"/>
    <w:link w:val="14"/>
    <w:uiPriority w:val="0"/>
    <w:pPr>
      <w:tabs>
        <w:tab w:val="center" w:pos="4320"/>
        <w:tab w:val="right" w:pos="8640"/>
      </w:tabs>
    </w:pPr>
  </w:style>
  <w:style w:type="character" w:customStyle="1" w:styleId="14">
    <w:name w:val="页脚 字符"/>
    <w:link w:val="13"/>
    <w:uiPriority w:val="0"/>
    <w:rPr>
      <w:rFonts w:ascii="等线" w:hAnsi="等线" w:eastAsia="等线"/>
    </w:rPr>
  </w:style>
  <w:style w:type="paragraph" w:customStyle="1" w:styleId="15">
    <w:name w:val="页眉1"/>
    <w:basedOn w:val="1"/>
    <w:link w:val="16"/>
    <w:qFormat/>
    <w:uiPriority w:val="0"/>
    <w:pPr>
      <w:tabs>
        <w:tab w:val="center" w:pos="4320"/>
        <w:tab w:val="right" w:pos="8640"/>
      </w:tabs>
    </w:pPr>
  </w:style>
  <w:style w:type="character" w:customStyle="1" w:styleId="16">
    <w:name w:val="页眉 字符"/>
    <w:link w:val="15"/>
    <w:uiPriority w:val="0"/>
    <w:rPr>
      <w:rFonts w:ascii="等线" w:hAnsi="等线" w:eastAsia="等线"/>
    </w:rPr>
  </w:style>
  <w:style w:type="paragraph" w:customStyle="1" w:styleId="17">
    <w:name w:val="普通(网站)1"/>
    <w:basedOn w:val="1"/>
    <w:qFormat/>
    <w:uiPriority w:val="0"/>
    <w:pPr>
      <w:spacing w:beforeAutospacing="1" w:afterAutospacing="1"/>
      <w:jc w:val="left"/>
    </w:pPr>
    <w:rPr>
      <w:rFonts w:ascii="Times New Roman" w:hAnsi="Times New Roman" w:eastAsia="宋体"/>
      <w:kern w:val="0"/>
      <w:sz w:val="24"/>
      <w:szCs w:val="24"/>
    </w:rPr>
  </w:style>
  <w:style w:type="table" w:customStyle="1" w:styleId="18">
    <w:name w:val="网格型1"/>
    <w:basedOn w:val="10"/>
    <w:uiPriority w:val="0"/>
  </w:style>
  <w:style w:type="paragraph" w:customStyle="1" w:styleId="19">
    <w:name w:val="列出段落1"/>
    <w:basedOn w:val="1"/>
    <w:qFormat/>
    <w:uiPriority w:val="0"/>
    <w:pPr>
      <w:ind w:firstLine="420" w:firstLineChars="200"/>
    </w:pPr>
  </w:style>
  <w:style w:type="paragraph" w:customStyle="1" w:styleId="20">
    <w:name w:val="Table Paragraph"/>
    <w:basedOn w:val="1"/>
    <w:qFormat/>
    <w:uiPriority w:val="0"/>
    <w:pPr>
      <w:jc w:val="left"/>
    </w:pPr>
    <w:rPr>
      <w:rFonts w:ascii="Times New Roman" w:hAnsi="Times New Roman" w:eastAsia="宋体"/>
      <w:kern w:val="0"/>
      <w:sz w:val="22"/>
      <w:szCs w:val="24"/>
    </w:rPr>
  </w:style>
  <w:style w:type="paragraph" w:customStyle="1" w:styleId="21">
    <w:name w:val="批注框文本1"/>
    <w:basedOn w:val="1"/>
    <w:link w:val="22"/>
    <w:semiHidden/>
    <w:uiPriority w:val="0"/>
    <w:rPr>
      <w:sz w:val="18"/>
      <w:szCs w:val="18"/>
    </w:rPr>
  </w:style>
  <w:style w:type="character" w:customStyle="1" w:styleId="22">
    <w:name w:val="批注框文本 字符"/>
    <w:link w:val="21"/>
    <w:semiHidden/>
    <w:uiPriority w:val="0"/>
    <w:rPr>
      <w:rFonts w:ascii="等线" w:hAnsi="等线" w:eastAsia="等线"/>
      <w:kern w:val="2"/>
      <w:sz w:val="18"/>
      <w:szCs w:val="18"/>
    </w:rPr>
  </w:style>
  <w:style w:type="character" w:customStyle="1" w:styleId="23">
    <w:name w:val="页眉 Char"/>
    <w:basedOn w:val="6"/>
    <w:link w:val="4"/>
    <w:uiPriority w:val="0"/>
    <w:rPr>
      <w:rFonts w:ascii="等线" w:hAnsi="等线" w:eastAsia="等线"/>
      <w:kern w:val="2"/>
      <w:sz w:val="18"/>
      <w:szCs w:val="18"/>
    </w:rPr>
  </w:style>
  <w:style w:type="character" w:customStyle="1" w:styleId="24">
    <w:name w:val="页脚 Char"/>
    <w:basedOn w:val="6"/>
    <w:link w:val="3"/>
    <w:uiPriority w:val="0"/>
    <w:rPr>
      <w:rFonts w:ascii="等线" w:hAnsi="等线" w:eastAsia="等线"/>
      <w:kern w:val="2"/>
      <w:sz w:val="18"/>
      <w:szCs w:val="18"/>
    </w:rPr>
  </w:style>
  <w:style w:type="character" w:customStyle="1" w:styleId="25">
    <w:name w:val="批注框文本 Char"/>
    <w:basedOn w:val="6"/>
    <w:link w:val="2"/>
    <w:qFormat/>
    <w:uiPriority w:val="0"/>
    <w:rPr>
      <w:rFonts w:ascii="等线" w:hAnsi="等线" w:eastAsia="等线"/>
      <w:kern w:val="2"/>
      <w:sz w:val="18"/>
      <w:szCs w:val="18"/>
    </w:rPr>
  </w:style>
  <w:style w:type="paragraph" w:customStyle="1" w:styleId="26">
    <w:name w:val="Revision"/>
    <w:hidden/>
    <w:semiHidden/>
    <w:uiPriority w:val="99"/>
    <w:rPr>
      <w:rFonts w:ascii="等线" w:hAnsi="等线" w:eastAsia="等线" w:cs="Times New Roman"/>
      <w:kern w:val="2"/>
      <w:sz w:val="21"/>
      <w:szCs w:val="22"/>
      <w:lang w:val="en-US" w:eastAsia="zh-CN" w:bidi="ar-SA"/>
    </w:rPr>
  </w:style>
  <w:style w:type="paragraph" w:styleId="27">
    <w:name w:val="List Paragraph"/>
    <w:basedOn w:val="1"/>
    <w:uiPriority w:val="99"/>
    <w:pPr>
      <w:ind w:firstLine="420" w:firstLineChars="200"/>
    </w:pPr>
  </w:style>
  <w:style w:type="character" w:customStyle="1" w:styleId="28">
    <w:name w:val="fontstyle01"/>
    <w:basedOn w:val="6"/>
    <w:qFormat/>
    <w:uiPriority w:val="0"/>
    <w:rPr>
      <w:rFonts w:hint="default" w:ascii="E-BZ+ZFYBf3-2" w:hAnsi="E-BZ+ZFYBf3-2"/>
      <w:color w:val="000000"/>
      <w:sz w:val="16"/>
      <w:szCs w:val="16"/>
    </w:rPr>
  </w:style>
  <w:style w:type="character" w:customStyle="1" w:styleId="29">
    <w:name w:val="fontstyle21"/>
    <w:basedOn w:val="6"/>
    <w:uiPriority w:val="0"/>
    <w:rPr>
      <w:rFonts w:hint="eastAsia" w:ascii="宋体" w:hAnsi="宋体" w:eastAsia="宋体"/>
      <w:color w:val="00000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2914</Words>
  <Characters>3199</Characters>
  <Lines>23</Lines>
  <Paragraphs>6</Paragraphs>
  <TotalTime>7</TotalTime>
  <ScaleCrop>false</ScaleCrop>
  <LinksUpToDate>false</LinksUpToDate>
  <CharactersWithSpaces>3243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2023-04-23T11:39:00Z</dcterms:created>
  <dc:creator>WangYW</dc:creator>
  <cp:lastModifiedBy>太极箫客</cp:lastModifiedBy>
  <dcterms:modified xsi:type="dcterms:W3CDTF">2025-08-14T07:20:46Z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63FB12B0CFF447BC9DAFBEB4D042BE71_13</vt:lpwstr>
  </property>
  <property fmtid="{D5CDD505-2E9C-101B-9397-08002B2CF9AE}" pid="4" name="KSOTemplateDocerSaveRecord">
    <vt:lpwstr>eyJoZGlkIjoiMDJiMzI3ODBiNTFmMWRjNDUyMjM1ZmZjODY5NDc2MWMiLCJ1c2VySWQiOiI0NTQ4Nzg1NzAifQ==</vt:lpwstr>
  </property>
</Properties>
</file>