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bCs/>
          <w:snapToGrid/>
          <w:color w:val="000000" w:themeColor="text1"/>
          <w:kern w:val="2"/>
          <w:sz w:val="32"/>
          <w:szCs w:val="32"/>
          <w:lang w:val="en-US" w:eastAsia="zh-CN"/>
          <w14:textFill>
            <w14:solidFill>
              <w14:schemeClr w14:val="tx1"/>
            </w14:solidFill>
          </w14:textFill>
        </w:rPr>
      </w:pPr>
      <w:r>
        <w:rPr>
          <w:rFonts w:hint="eastAsia" w:ascii="黑体" w:hAnsi="黑体" w:eastAsia="黑体" w:cs="黑体"/>
          <w:bCs/>
          <w:snapToGrid/>
          <w:color w:val="000000" w:themeColor="text1"/>
          <w:kern w:val="2"/>
          <w:sz w:val="32"/>
          <w:szCs w:val="32"/>
          <w:lang w:eastAsia="zh-CN"/>
          <w14:textFill>
            <w14:solidFill>
              <w14:schemeClr w14:val="tx1"/>
            </w14:solidFill>
          </w14:textFill>
        </w:rPr>
        <w:t>附件</w:t>
      </w:r>
      <w:r>
        <w:rPr>
          <w:rFonts w:hint="eastAsia" w:ascii="黑体" w:hAnsi="黑体" w:eastAsia="黑体" w:cs="黑体"/>
          <w:bCs/>
          <w:snapToGrid/>
          <w:color w:val="000000" w:themeColor="text1"/>
          <w:kern w:val="2"/>
          <w:sz w:val="32"/>
          <w:szCs w:val="32"/>
          <w:lang w:val="en-US" w:eastAsia="zh-CN"/>
          <w14:textFill>
            <w14:solidFill>
              <w14:schemeClr w14:val="tx1"/>
            </w14:solidFill>
          </w14:textFill>
        </w:rPr>
        <w:t>2</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Cs/>
          <w:snapToGrid/>
          <w:color w:val="000000" w:themeColor="text1"/>
          <w:kern w:val="2"/>
          <w:sz w:val="44"/>
          <w:szCs w:val="44"/>
          <w14:textFill>
            <w14:solidFill>
              <w14:schemeClr w14:val="tx1"/>
            </w14:solidFill>
          </w14:textFill>
        </w:rPr>
      </w:pPr>
      <w:r>
        <w:rPr>
          <w:rFonts w:hint="default" w:ascii="Times New Roman" w:hAnsi="Times New Roman" w:eastAsia="方正小标宋简体" w:cs="Times New Roman"/>
          <w:bCs/>
          <w:snapToGrid/>
          <w:color w:val="000000" w:themeColor="text1"/>
          <w:kern w:val="2"/>
          <w:sz w:val="44"/>
          <w:szCs w:val="44"/>
          <w14:textFill>
            <w14:solidFill>
              <w14:schemeClr w14:val="tx1"/>
            </w14:solidFill>
          </w14:textFill>
        </w:rPr>
        <w:t>关于《医药</w:t>
      </w:r>
      <w:r>
        <w:rPr>
          <w:rFonts w:hint="default" w:ascii="Times New Roman" w:hAnsi="Times New Roman" w:eastAsia="方正小标宋简体" w:cs="Times New Roman"/>
          <w:bCs/>
          <w:snapToGrid/>
          <w:color w:val="000000" w:themeColor="text1"/>
          <w:kern w:val="2"/>
          <w:sz w:val="44"/>
          <w:szCs w:val="44"/>
          <w:lang w:eastAsia="zh-CN"/>
          <w14:textFill>
            <w14:solidFill>
              <w14:schemeClr w14:val="tx1"/>
            </w14:solidFill>
          </w14:textFill>
        </w:rPr>
        <w:t>企业</w:t>
      </w:r>
      <w:r>
        <w:rPr>
          <w:rFonts w:hint="default" w:ascii="Times New Roman" w:hAnsi="Times New Roman" w:eastAsia="方正小标宋简体" w:cs="Times New Roman"/>
          <w:bCs/>
          <w:snapToGrid/>
          <w:color w:val="000000" w:themeColor="text1"/>
          <w:kern w:val="2"/>
          <w:sz w:val="44"/>
          <w:szCs w:val="44"/>
          <w14:textFill>
            <w14:solidFill>
              <w14:schemeClr w14:val="tx1"/>
            </w14:solidFill>
          </w14:textFill>
        </w:rPr>
        <w:t>防范商业贿赂</w:t>
      </w:r>
      <w:r>
        <w:rPr>
          <w:rFonts w:hint="default" w:ascii="Times New Roman" w:hAnsi="Times New Roman" w:eastAsia="方正小标宋简体" w:cs="Times New Roman"/>
          <w:bCs/>
          <w:snapToGrid/>
          <w:color w:val="000000" w:themeColor="text1"/>
          <w:kern w:val="2"/>
          <w:sz w:val="44"/>
          <w:szCs w:val="44"/>
          <w:lang w:eastAsia="zh-CN"/>
          <w14:textFill>
            <w14:solidFill>
              <w14:schemeClr w14:val="tx1"/>
            </w14:solidFill>
          </w14:textFill>
        </w:rPr>
        <w:t>风险</w:t>
      </w:r>
      <w:r>
        <w:rPr>
          <w:rFonts w:hint="default" w:ascii="Times New Roman" w:hAnsi="Times New Roman" w:eastAsia="方正小标宋简体" w:cs="Times New Roman"/>
          <w:bCs/>
          <w:snapToGrid/>
          <w:color w:val="000000" w:themeColor="text1"/>
          <w:kern w:val="2"/>
          <w:sz w:val="44"/>
          <w:szCs w:val="44"/>
          <w14:textFill>
            <w14:solidFill>
              <w14:schemeClr w14:val="tx1"/>
            </w14:solidFill>
          </w14:textFill>
        </w:rPr>
        <w:t>合规指引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Cs/>
          <w:snapToGrid/>
          <w:color w:val="000000" w:themeColor="text1"/>
          <w:kern w:val="2"/>
          <w:sz w:val="44"/>
          <w:szCs w:val="44"/>
          <w:lang w:eastAsia="zh-CN"/>
          <w14:textFill>
            <w14:solidFill>
              <w14:schemeClr w14:val="tx1"/>
            </w14:solidFill>
          </w14:textFill>
        </w:rPr>
      </w:pPr>
      <w:r>
        <w:rPr>
          <w:rFonts w:hint="eastAsia" w:ascii="Times New Roman" w:hAnsi="Times New Roman" w:eastAsia="方正小标宋简体" w:cs="Times New Roman"/>
          <w:bCs/>
          <w:snapToGrid/>
          <w:color w:val="000000" w:themeColor="text1"/>
          <w:kern w:val="2"/>
          <w:sz w:val="44"/>
          <w:szCs w:val="44"/>
          <w:lang w:eastAsia="zh-CN"/>
          <w14:textFill>
            <w14:solidFill>
              <w14:schemeClr w14:val="tx1"/>
            </w14:solidFill>
          </w14:textFill>
        </w:rPr>
        <w:t>（征求意见稿）</w:t>
      </w:r>
      <w:r>
        <w:rPr>
          <w:rFonts w:hint="default" w:ascii="Times New Roman" w:hAnsi="Times New Roman" w:eastAsia="方正小标宋简体" w:cs="Times New Roman"/>
          <w:bCs/>
          <w:snapToGrid/>
          <w:color w:val="000000" w:themeColor="text1"/>
          <w:kern w:val="2"/>
          <w:sz w:val="44"/>
          <w:szCs w:val="44"/>
          <w14:textFill>
            <w14:solidFill>
              <w14:schemeClr w14:val="tx1"/>
            </w14:solidFill>
          </w14:textFill>
        </w:rPr>
        <w:t>》的</w:t>
      </w:r>
      <w:r>
        <w:rPr>
          <w:rFonts w:hint="eastAsia" w:ascii="Times New Roman" w:hAnsi="Times New Roman" w:eastAsia="方正小标宋简体" w:cs="Times New Roman"/>
          <w:bCs/>
          <w:snapToGrid/>
          <w:color w:val="000000" w:themeColor="text1"/>
          <w:kern w:val="2"/>
          <w:sz w:val="44"/>
          <w:szCs w:val="44"/>
          <w:lang w:eastAsia="zh-CN"/>
          <w14:textFill>
            <w14:solidFill>
              <w14:schemeClr w14:val="tx1"/>
            </w14:solidFill>
          </w14:textFill>
        </w:rPr>
        <w:t>起草说明</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napToGrid w:val="0"/>
          <w:color w:val="000000" w:themeColor="text1"/>
          <w:kern w:val="2"/>
          <w:sz w:val="32"/>
          <w:szCs w:val="32"/>
          <w:lang w:eastAsia="zh-CN"/>
          <w14:textFill>
            <w14:solidFill>
              <w14:schemeClr w14:val="tx1"/>
            </w14:solidFill>
          </w14:textFill>
        </w:rPr>
      </w:pPr>
    </w:p>
    <w:p>
      <w:pPr>
        <w:keepNext w:val="0"/>
        <w:keepLines w:val="0"/>
        <w:pageBreakBefore w:val="0"/>
        <w:kinsoku/>
        <w:wordWrap/>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w:t>
      </w:r>
      <w:bookmarkStart w:id="0" w:name="_GoBack"/>
      <w:bookmarkEnd w:id="0"/>
      <w:r>
        <w:rPr>
          <w:rFonts w:hint="eastAsia" w:ascii="仿宋_GB2312" w:hAnsi="仿宋_GB2312" w:eastAsia="仿宋_GB2312" w:cs="仿宋_GB2312"/>
          <w:sz w:val="32"/>
          <w:szCs w:val="32"/>
        </w:rPr>
        <w:t>落实党中央、国务院决策部署，预防和</w:t>
      </w:r>
      <w:r>
        <w:rPr>
          <w:rFonts w:hint="eastAsia" w:ascii="仿宋_GB2312" w:hAnsi="仿宋_GB2312" w:eastAsia="仿宋_GB2312" w:cs="仿宋_GB2312"/>
          <w:sz w:val="32"/>
          <w:szCs w:val="32"/>
          <w:lang w:eastAsia="zh-CN"/>
        </w:rPr>
        <w:t>遏制</w:t>
      </w:r>
      <w:r>
        <w:rPr>
          <w:rFonts w:hint="eastAsia" w:ascii="仿宋_GB2312" w:hAnsi="仿宋_GB2312" w:eastAsia="仿宋_GB2312" w:cs="仿宋_GB2312"/>
          <w:sz w:val="32"/>
          <w:szCs w:val="32"/>
        </w:rPr>
        <w:t>医药领域商业贿赂行为，引导医药企业加强合规管理，维护医药市场公平竞争秩序，维护人民群众</w:t>
      </w:r>
      <w:r>
        <w:rPr>
          <w:rFonts w:hint="eastAsia" w:ascii="仿宋_GB2312" w:hAnsi="仿宋_GB2312" w:eastAsia="仿宋_GB2312" w:cs="仿宋_GB2312"/>
          <w:sz w:val="32"/>
          <w:szCs w:val="32"/>
          <w:lang w:eastAsia="zh-CN"/>
        </w:rPr>
        <w:t>健康权益</w:t>
      </w:r>
      <w:r>
        <w:rPr>
          <w:rFonts w:hint="eastAsia" w:ascii="仿宋_GB2312" w:hAnsi="仿宋_GB2312" w:eastAsia="仿宋_GB2312" w:cs="仿宋_GB2312"/>
          <w:sz w:val="32"/>
          <w:szCs w:val="32"/>
        </w:rPr>
        <w:t>，推进健康中国建设，根据《中华人民共和国反不正当竞争法》《中华人民共和国药品管理法》等法律、法规规定，市场监管总局起草了《医药企业防范商业贿赂风险合规指引（征求意见稿）》（以下简称《指引》）。</w:t>
      </w:r>
    </w:p>
    <w:p>
      <w:pPr>
        <w:keepNext w:val="0"/>
        <w:keepLines w:val="0"/>
        <w:pageBreakBefore w:val="0"/>
        <w:kinsoku/>
        <w:wordWrap/>
        <w:topLinePunct w:val="0"/>
        <w:autoSpaceDE/>
        <w:autoSpaceDN/>
        <w:bidi w:val="0"/>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一、起草背景</w:t>
      </w:r>
    </w:p>
    <w:p>
      <w:pPr>
        <w:pStyle w:val="6"/>
        <w:keepNext w:val="0"/>
        <w:keepLines w:val="0"/>
        <w:pageBreakBefore w:val="0"/>
        <w:shd w:val="clear" w:color="auto" w:fill="FFFFFF"/>
        <w:kinsoku/>
        <w:wordWrap/>
        <w:topLinePunct w:val="0"/>
        <w:autoSpaceDE/>
        <w:autoSpaceDN/>
        <w:bidi w:val="0"/>
        <w:spacing w:before="0" w:beforeAutospacing="0" w:after="0" w:afterAutospacing="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医药是关乎国计民生的重点</w:t>
      </w:r>
      <w:r>
        <w:rPr>
          <w:rFonts w:hint="eastAsia" w:ascii="仿宋_GB2312" w:hAnsi="仿宋_GB2312" w:eastAsia="仿宋_GB2312" w:cs="仿宋_GB2312"/>
          <w:kern w:val="2"/>
          <w:sz w:val="32"/>
          <w:szCs w:val="32"/>
          <w:lang w:eastAsia="zh-CN"/>
        </w:rPr>
        <w:t>行业</w:t>
      </w:r>
      <w:r>
        <w:rPr>
          <w:rFonts w:hint="eastAsia" w:ascii="仿宋_GB2312" w:hAnsi="仿宋_GB2312" w:eastAsia="仿宋_GB2312" w:cs="仿宋_GB2312"/>
          <w:kern w:val="2"/>
          <w:sz w:val="32"/>
          <w:szCs w:val="32"/>
        </w:rPr>
        <w:t>，关系到广大人民群众最关心、最直接、最现实的健康权益。</w:t>
      </w:r>
      <w:r>
        <w:rPr>
          <w:rFonts w:hint="eastAsia" w:ascii="仿宋_GB2312" w:hAnsi="仿宋_GB2312" w:eastAsia="仿宋_GB2312" w:cs="仿宋_GB2312"/>
          <w:sz w:val="32"/>
          <w:szCs w:val="32"/>
        </w:rPr>
        <w:t>近年来，我国医药领域商业贿赂行为时有发生，</w:t>
      </w:r>
      <w:r>
        <w:rPr>
          <w:rFonts w:hint="eastAsia" w:ascii="Times New Roman" w:hAnsi="Times New Roman" w:eastAsia="仿宋_GB2312"/>
          <w:sz w:val="32"/>
          <w:szCs w:val="32"/>
        </w:rPr>
        <w:t>违法手段隐蔽性强、花样</w:t>
      </w:r>
      <w:r>
        <w:rPr>
          <w:rFonts w:hint="eastAsia" w:ascii="Times New Roman" w:hAnsi="Times New Roman" w:eastAsia="仿宋_GB2312"/>
          <w:sz w:val="32"/>
          <w:szCs w:val="32"/>
          <w:lang w:eastAsia="zh-CN"/>
        </w:rPr>
        <w:t>不断</w:t>
      </w:r>
      <w:r>
        <w:rPr>
          <w:rFonts w:hint="eastAsia" w:ascii="Times New Roman" w:hAnsi="Times New Roman" w:eastAsia="仿宋_GB2312"/>
          <w:sz w:val="32"/>
          <w:szCs w:val="32"/>
        </w:rPr>
        <w:t>翻新，不仅损害了医药行业公平竞争秩序，更直接</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人民群众</w:t>
      </w:r>
      <w:r>
        <w:rPr>
          <w:rFonts w:hint="eastAsia" w:ascii="仿宋_GB2312" w:hAnsi="仿宋_GB2312" w:eastAsia="仿宋_GB2312" w:cs="仿宋_GB2312"/>
          <w:sz w:val="32"/>
          <w:szCs w:val="32"/>
          <w:lang w:eastAsia="zh-CN"/>
        </w:rPr>
        <w:t>看病就医的</w:t>
      </w:r>
      <w:r>
        <w:rPr>
          <w:rFonts w:hint="eastAsia" w:ascii="仿宋_GB2312" w:hAnsi="仿宋_GB2312" w:eastAsia="仿宋_GB2312" w:cs="仿宋_GB2312"/>
          <w:sz w:val="32"/>
          <w:szCs w:val="32"/>
        </w:rPr>
        <w:t>切身利益，制约了医药行业的健康可持续发展，社会各界反映强烈。</w:t>
      </w:r>
    </w:p>
    <w:p>
      <w:pPr>
        <w:pStyle w:val="6"/>
        <w:keepNext w:val="0"/>
        <w:keepLines w:val="0"/>
        <w:pageBreakBefore w:val="0"/>
        <w:shd w:val="clear" w:color="auto" w:fill="FFFFFF"/>
        <w:kinsoku/>
        <w:wordWrap/>
        <w:topLinePunct w:val="0"/>
        <w:autoSpaceDE/>
        <w:autoSpaceDN/>
        <w:bidi w:val="0"/>
        <w:spacing w:before="0" w:beforeAutospacing="0" w:after="0" w:afterAutospacing="0" w:line="600"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党</w:t>
      </w:r>
      <w:r>
        <w:rPr>
          <w:rFonts w:hint="eastAsia" w:ascii="仿宋_GB2312" w:hAnsi="仿宋_GB2312" w:eastAsia="仿宋_GB2312" w:cs="仿宋_GB2312"/>
          <w:kern w:val="2"/>
          <w:sz w:val="32"/>
          <w:szCs w:val="32"/>
        </w:rPr>
        <w:t>中央高度重视医药行业的高质量发展，始终将保障人民健康放在优先发展的战略位置。</w:t>
      </w:r>
      <w:r>
        <w:rPr>
          <w:rFonts w:hint="eastAsia" w:ascii="仿宋_GB2312" w:hAnsi="仿宋_GB2312" w:eastAsia="仿宋_GB2312" w:cs="仿宋_GB2312"/>
          <w:sz w:val="32"/>
          <w:szCs w:val="32"/>
        </w:rPr>
        <w:t>市场监管总局认真贯彻落实党中央、国务院决策部署，持续加大执法力度，严厉打击医药领域商业贿赂违法行为，查处了一批重点案件，有力地维护了医药市场公平竞争秩序和人民群众生命健康安全。</w:t>
      </w:r>
      <w:r>
        <w:rPr>
          <w:rFonts w:hint="eastAsia" w:ascii="Times New Roman" w:hAnsi="Times New Roman" w:eastAsia="仿宋_GB2312" w:cs="仿宋_GB2312"/>
          <w:snapToGrid w:val="0"/>
          <w:color w:val="000000"/>
          <w:kern w:val="2"/>
          <w:sz w:val="32"/>
          <w:szCs w:val="32"/>
        </w:rPr>
        <w:t>为进一步提升医药领域商业贿赂治理效能，从源头上铲除商业贿赂滋生的土壤，必须在加强监管执法的同时，充分发挥医药企业的主体作用，推动医药领域商业贿赂治理关口从事后执法向事前预防前移，推进医药领域商业贿赂治理长效机制建设，营造风清气正的良好行业环境。需要</w:t>
      </w:r>
      <w:r>
        <w:rPr>
          <w:rFonts w:hint="eastAsia" w:ascii="Times New Roman" w:hAnsi="Times New Roman" w:eastAsia="仿宋_GB2312" w:cs="Times New Roman"/>
          <w:snapToGrid w:val="0"/>
          <w:color w:val="000000"/>
          <w:kern w:val="2"/>
          <w:sz w:val="32"/>
          <w:szCs w:val="32"/>
        </w:rPr>
        <w:t>在</w:t>
      </w:r>
      <w:r>
        <w:rPr>
          <w:rFonts w:ascii="Times New Roman" w:hAnsi="Times New Roman" w:eastAsia="仿宋_GB2312" w:cs="Times New Roman"/>
          <w:snapToGrid w:val="0"/>
          <w:color w:val="000000"/>
          <w:kern w:val="2"/>
          <w:sz w:val="32"/>
          <w:szCs w:val="32"/>
        </w:rPr>
        <w:t>现行法律</w:t>
      </w:r>
      <w:r>
        <w:rPr>
          <w:rFonts w:hint="eastAsia" w:ascii="Times New Roman" w:hAnsi="Times New Roman" w:eastAsia="仿宋_GB2312" w:cs="Times New Roman"/>
          <w:snapToGrid w:val="0"/>
          <w:color w:val="000000"/>
          <w:kern w:val="2"/>
          <w:sz w:val="32"/>
          <w:szCs w:val="32"/>
        </w:rPr>
        <w:t>、</w:t>
      </w:r>
      <w:r>
        <w:rPr>
          <w:rFonts w:ascii="Times New Roman" w:hAnsi="Times New Roman" w:eastAsia="仿宋_GB2312" w:cs="Times New Roman"/>
          <w:snapToGrid w:val="0"/>
          <w:color w:val="000000"/>
          <w:kern w:val="2"/>
          <w:sz w:val="32"/>
          <w:szCs w:val="32"/>
        </w:rPr>
        <w:t>法规框架下</w:t>
      </w:r>
      <w:r>
        <w:rPr>
          <w:rFonts w:hint="eastAsia" w:ascii="Times New Roman" w:hAnsi="Times New Roman" w:eastAsia="仿宋_GB2312" w:cs="Times New Roman"/>
          <w:snapToGrid w:val="0"/>
          <w:color w:val="000000"/>
          <w:kern w:val="2"/>
          <w:sz w:val="32"/>
          <w:szCs w:val="32"/>
        </w:rPr>
        <w:t>，根据医药企业经营特点和行为模式，</w:t>
      </w:r>
      <w:r>
        <w:rPr>
          <w:rFonts w:hint="eastAsia" w:ascii="Times New Roman" w:hAnsi="Times New Roman" w:eastAsia="仿宋_GB2312" w:cs="仿宋_GB2312"/>
          <w:snapToGrid w:val="0"/>
          <w:color w:val="000000"/>
          <w:kern w:val="2"/>
          <w:sz w:val="32"/>
          <w:szCs w:val="32"/>
        </w:rPr>
        <w:t>研究</w:t>
      </w:r>
      <w:r>
        <w:rPr>
          <w:rFonts w:hint="eastAsia" w:ascii="Times New Roman" w:hAnsi="Times New Roman" w:eastAsia="仿宋_GB2312" w:cs="Times New Roman"/>
          <w:snapToGrid w:val="0"/>
          <w:color w:val="000000"/>
          <w:kern w:val="2"/>
          <w:sz w:val="32"/>
          <w:szCs w:val="32"/>
        </w:rPr>
        <w:t>制定防范商业贿赂风险专项合规指引，</w:t>
      </w:r>
      <w:r>
        <w:rPr>
          <w:rFonts w:hint="eastAsia" w:ascii="Times New Roman" w:hAnsi="Times New Roman" w:eastAsia="仿宋_GB2312" w:cs="仿宋_GB2312"/>
          <w:snapToGrid w:val="0"/>
          <w:color w:val="000000"/>
          <w:kern w:val="2"/>
          <w:sz w:val="32"/>
          <w:szCs w:val="32"/>
        </w:rPr>
        <w:t>汇总梳理医药营销中的</w:t>
      </w:r>
      <w:r>
        <w:rPr>
          <w:rFonts w:ascii="Times New Roman" w:hAnsi="Times New Roman" w:eastAsia="仿宋_GB2312" w:cs="Times New Roman"/>
          <w:snapToGrid w:val="0"/>
          <w:color w:val="000000"/>
          <w:kern w:val="2"/>
          <w:sz w:val="32"/>
          <w:szCs w:val="32"/>
        </w:rPr>
        <w:t>商业贿赂风险点，</w:t>
      </w:r>
      <w:r>
        <w:rPr>
          <w:rFonts w:hint="eastAsia" w:ascii="Times New Roman" w:hAnsi="Times New Roman" w:eastAsia="仿宋_GB2312" w:cs="Times New Roman"/>
          <w:snapToGrid w:val="0"/>
          <w:color w:val="000000"/>
          <w:kern w:val="2"/>
          <w:sz w:val="32"/>
          <w:szCs w:val="32"/>
        </w:rPr>
        <w:t>细化</w:t>
      </w:r>
      <w:r>
        <w:rPr>
          <w:rFonts w:ascii="Times New Roman" w:hAnsi="Times New Roman" w:eastAsia="仿宋_GB2312" w:cs="Times New Roman"/>
          <w:snapToGrid w:val="0"/>
          <w:color w:val="000000"/>
          <w:kern w:val="2"/>
          <w:sz w:val="32"/>
          <w:szCs w:val="32"/>
        </w:rPr>
        <w:t>明确合规经营和风险防范事项</w:t>
      </w:r>
      <w:r>
        <w:rPr>
          <w:rFonts w:hint="eastAsia" w:ascii="Times New Roman" w:hAnsi="Times New Roman" w:eastAsia="仿宋_GB2312" w:cs="Times New Roman"/>
          <w:snapToGrid w:val="0"/>
          <w:color w:val="000000"/>
          <w:kern w:val="2"/>
          <w:sz w:val="32"/>
          <w:szCs w:val="32"/>
        </w:rPr>
        <w:t>，为</w:t>
      </w:r>
      <w:r>
        <w:rPr>
          <w:rFonts w:hint="eastAsia" w:ascii="仿宋_GB2312" w:hAnsi="仿宋_GB2312" w:eastAsia="仿宋_GB2312" w:cs="仿宋_GB2312"/>
          <w:sz w:val="32"/>
          <w:szCs w:val="32"/>
        </w:rPr>
        <w:t>医药企业建立健全合规体系提供具体、明晰、可操作的指引和参考，</w:t>
      </w:r>
      <w:r>
        <w:rPr>
          <w:rFonts w:hint="eastAsia" w:ascii="Times New Roman" w:hAnsi="Times New Roman" w:eastAsia="仿宋_GB2312"/>
          <w:sz w:val="32"/>
          <w:szCs w:val="32"/>
        </w:rPr>
        <w:t>持续规范和净化医药行业市场秩序，</w:t>
      </w:r>
      <w:r>
        <w:rPr>
          <w:rFonts w:hint="eastAsia" w:ascii="仿宋_GB2312" w:hAnsi="仿宋_GB2312" w:eastAsia="仿宋_GB2312" w:cs="仿宋_GB2312"/>
          <w:sz w:val="32"/>
          <w:szCs w:val="32"/>
        </w:rPr>
        <w:t>促进医药行业健康有序发展。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napToGrid w:val="0"/>
          <w:color w:val="000000" w:themeColor="text1"/>
          <w:kern w:val="2"/>
          <w:sz w:val="32"/>
          <w:szCs w:val="32"/>
          <w:lang w:eastAsia="zh-CN"/>
          <w14:textFill>
            <w14:solidFill>
              <w14:schemeClr w14:val="tx1"/>
            </w14:solidFill>
          </w14:textFill>
        </w:rPr>
      </w:pPr>
      <w:r>
        <w:rPr>
          <w:rFonts w:hint="default" w:ascii="Times New Roman" w:hAnsi="Times New Roman" w:eastAsia="黑体" w:cs="Times New Roman"/>
          <w:snapToGrid w:val="0"/>
          <w:color w:val="000000" w:themeColor="text1"/>
          <w:kern w:val="2"/>
          <w:sz w:val="32"/>
          <w:szCs w:val="32"/>
          <w:lang w:eastAsia="zh-CN"/>
          <w14:textFill>
            <w14:solidFill>
              <w14:schemeClr w14:val="tx1"/>
            </w14:solidFill>
          </w14:textFill>
        </w:rPr>
        <w:t>二、起草过程</w:t>
      </w:r>
    </w:p>
    <w:p>
      <w:pPr>
        <w:pStyle w:val="6"/>
        <w:keepNext w:val="0"/>
        <w:keepLines w:val="0"/>
        <w:pageBreakBefore w:val="0"/>
        <w:shd w:val="clear" w:color="auto" w:fill="FFFFFF"/>
        <w:kinsoku/>
        <w:wordWrap/>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pPr>
      <w:r>
        <w:rPr>
          <w:rFonts w:hint="default" w:ascii="Times New Roman" w:hAnsi="Times New Roman" w:eastAsia="楷体_GB2312" w:cs="Times New Roman"/>
          <w:snapToGrid w:val="0"/>
          <w:color w:val="000000" w:themeColor="text1"/>
          <w:kern w:val="2"/>
          <w:sz w:val="32"/>
          <w:szCs w:val="32"/>
          <w:lang w:eastAsia="zh-CN"/>
          <w14:textFill>
            <w14:solidFill>
              <w14:schemeClr w14:val="tx1"/>
            </w14:solidFill>
          </w14:textFill>
        </w:rPr>
        <w:t>（一）</w:t>
      </w:r>
      <w:r>
        <w:rPr>
          <w:rFonts w:hint="eastAsia" w:ascii="Times New Roman" w:hAnsi="Times New Roman" w:eastAsia="楷体_GB2312" w:cs="Times New Roman"/>
          <w:snapToGrid w:val="0"/>
          <w:color w:val="000000" w:themeColor="text1"/>
          <w:kern w:val="2"/>
          <w:sz w:val="32"/>
          <w:szCs w:val="32"/>
          <w:lang w:eastAsia="zh-CN"/>
          <w14:textFill>
            <w14:solidFill>
              <w14:schemeClr w14:val="tx1"/>
            </w14:solidFill>
          </w14:textFill>
        </w:rPr>
        <w:t>广泛</w:t>
      </w:r>
      <w:r>
        <w:rPr>
          <w:rFonts w:hint="default" w:ascii="Times New Roman" w:hAnsi="Times New Roman" w:eastAsia="楷体_GB2312" w:cs="Times New Roman"/>
          <w:snapToGrid w:val="0"/>
          <w:color w:val="000000" w:themeColor="text1"/>
          <w:kern w:val="2"/>
          <w:sz w:val="32"/>
          <w:szCs w:val="32"/>
          <w:lang w:eastAsia="zh-CN"/>
          <w14:textFill>
            <w14:solidFill>
              <w14:schemeClr w14:val="tx1"/>
            </w14:solidFill>
          </w14:textFill>
        </w:rPr>
        <w:t>调研走访</w:t>
      </w:r>
      <w:r>
        <w:rPr>
          <w:rFonts w:hint="eastAsia" w:ascii="Times New Roman" w:hAnsi="Times New Roman" w:eastAsia="楷体_GB2312" w:cs="Times New Roman"/>
          <w:snapToGrid w:val="0"/>
          <w:color w:val="000000" w:themeColor="text1"/>
          <w:kern w:val="2"/>
          <w:sz w:val="32"/>
          <w:szCs w:val="32"/>
          <w:lang w:eastAsia="zh-CN"/>
          <w14:textFill>
            <w14:solidFill>
              <w14:schemeClr w14:val="tx1"/>
            </w14:solidFill>
          </w14:textFill>
        </w:rPr>
        <w:t>，凝聚行业共识。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采用上门走访</w:t>
      </w:r>
      <w:r>
        <w:rPr>
          <w:rFonts w:hint="eastAsia" w:ascii="Times New Roman" w:hAnsi="Times New Roman" w:eastAsia="仿宋_GB2312" w:cs="仿宋_GB2312"/>
          <w:color w:val="000000" w:themeColor="text1"/>
          <w:sz w:val="32"/>
          <w:szCs w:val="32"/>
          <w14:textFill>
            <w14:solidFill>
              <w14:schemeClr w14:val="tx1"/>
            </w14:solidFill>
          </w14:textFill>
        </w:rPr>
        <w:t>与组织座谈讨论相结合的方式，</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充分深入医药行业一线调研行业现状，实现理论和实际紧密结合。赴多家内外资医药生产企业、流通配送企业、推广企业及医药领域行业协会、行业自律组织等单位开展专项调研，就现有法律框架下医药领域商业贿赂风险防范需求、企业合规现状、商业贿赂行为的法理研究等方面进行深入交流探讨，</w:t>
      </w:r>
      <w:r>
        <w:rPr>
          <w:rFonts w:hint="eastAsia" w:ascii="Times New Roman" w:hAnsi="Times New Roman" w:eastAsia="仿宋_GB2312" w:cs="仿宋_GB2312"/>
          <w:snapToGrid w:val="0"/>
          <w:color w:val="000000" w:themeColor="text1"/>
          <w:kern w:val="2"/>
          <w:sz w:val="32"/>
          <w:szCs w:val="30"/>
          <w:lang w:eastAsia="zh-CN"/>
          <w14:textFill>
            <w14:solidFill>
              <w14:schemeClr w14:val="tx1"/>
            </w14:solidFill>
          </w14:textFill>
        </w:rPr>
        <w:t>凝聚广泛治理</w:t>
      </w:r>
      <w:r>
        <w:rPr>
          <w:rFonts w:hint="eastAsia" w:ascii="Times New Roman" w:hAnsi="Times New Roman" w:eastAsia="仿宋_GB2312" w:cs="仿宋_GB2312"/>
          <w:snapToGrid w:val="0"/>
          <w:color w:val="000000" w:themeColor="text1"/>
          <w:kern w:val="2"/>
          <w:sz w:val="32"/>
          <w:szCs w:val="30"/>
          <w14:textFill>
            <w14:solidFill>
              <w14:schemeClr w14:val="tx1"/>
            </w14:solidFill>
          </w14:textFill>
        </w:rPr>
        <w:t>共识</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楷体_GB2312" w:cs="Times New Roman"/>
          <w:snapToGrid w:val="0"/>
          <w:color w:val="000000" w:themeColor="text1"/>
          <w:kern w:val="2"/>
          <w:sz w:val="32"/>
          <w:szCs w:val="32"/>
          <w:lang w:val="en-US" w:eastAsia="zh-CN"/>
          <w14:textFill>
            <w14:solidFill>
              <w14:schemeClr w14:val="tx1"/>
            </w14:solidFill>
          </w14:textFill>
        </w:rPr>
      </w:pPr>
      <w:r>
        <w:rPr>
          <w:rFonts w:hint="eastAsia" w:ascii="Times New Roman" w:hAnsi="Times New Roman" w:eastAsia="楷体_GB2312" w:cs="Times New Roman"/>
          <w:snapToGrid w:val="0"/>
          <w:color w:val="000000" w:themeColor="text1"/>
          <w:kern w:val="2"/>
          <w:sz w:val="32"/>
          <w:szCs w:val="32"/>
          <w:lang w:val="en-US" w:eastAsia="zh-CN"/>
          <w14:textFill>
            <w14:solidFill>
              <w14:schemeClr w14:val="tx1"/>
            </w14:solidFill>
          </w14:textFill>
        </w:rPr>
        <w:t>（二）深入研究分析，破解重点问题。</w:t>
      </w:r>
      <w:r>
        <w:rPr>
          <w:rFonts w:hint="eastAsia" w:ascii="Times New Roman" w:hAnsi="Times New Roman" w:eastAsia="仿宋_GB2312" w:cs="仿宋_GB2312"/>
          <w:snapToGrid w:val="0"/>
          <w:color w:val="000000"/>
          <w:kern w:val="2"/>
          <w:sz w:val="32"/>
          <w:szCs w:val="32"/>
        </w:rPr>
        <w:t>研究梳理医药领域商业贿赂典型案例，</w:t>
      </w:r>
      <w:r>
        <w:rPr>
          <w:rFonts w:hint="eastAsia" w:ascii="Times New Roman" w:hAnsi="Times New Roman" w:eastAsia="仿宋_GB2312" w:cs="仿宋_GB2312"/>
          <w:snapToGrid w:val="0"/>
          <w:color w:val="000000"/>
          <w:kern w:val="2"/>
          <w:sz w:val="32"/>
          <w:szCs w:val="32"/>
          <w:lang w:eastAsia="zh-CN"/>
        </w:rPr>
        <w:t>参考</w:t>
      </w:r>
      <w:r>
        <w:rPr>
          <w:rFonts w:hint="eastAsia" w:ascii="Times New Roman" w:hAnsi="Times New Roman" w:eastAsia="仿宋_GB2312" w:cs="仿宋_GB2312"/>
          <w:snapToGrid w:val="0"/>
          <w:color w:val="000000"/>
          <w:kern w:val="2"/>
          <w:sz w:val="32"/>
          <w:szCs w:val="32"/>
        </w:rPr>
        <w:t>借鉴国内外医药领域合规建设</w:t>
      </w:r>
      <w:r>
        <w:rPr>
          <w:rFonts w:hint="eastAsia" w:ascii="Times New Roman" w:hAnsi="Times New Roman" w:eastAsia="仿宋_GB2312" w:cs="仿宋_GB2312"/>
          <w:snapToGrid w:val="0"/>
          <w:color w:val="000000"/>
          <w:kern w:val="2"/>
          <w:sz w:val="32"/>
          <w:szCs w:val="32"/>
          <w:lang w:eastAsia="zh-CN"/>
        </w:rPr>
        <w:t>制度成果，</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收集整理</w:t>
      </w:r>
      <w:r>
        <w:rPr>
          <w:rFonts w:hint="eastAsia" w:ascii="Times New Roman" w:hAnsi="Times New Roman" w:eastAsia="仿宋_GB2312" w:cs="仿宋_GB2312"/>
          <w:snapToGrid w:val="0"/>
          <w:color w:val="000000" w:themeColor="text1"/>
          <w:kern w:val="2"/>
          <w:sz w:val="32"/>
          <w:szCs w:val="32"/>
          <w14:textFill>
            <w14:solidFill>
              <w14:schemeClr w14:val="tx1"/>
            </w14:solidFill>
          </w14:textFill>
        </w:rPr>
        <w:t>调研</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中发现的</w:t>
      </w:r>
      <w:r>
        <w:rPr>
          <w:rFonts w:hint="eastAsia" w:ascii="Times New Roman" w:hAnsi="Times New Roman" w:eastAsia="仿宋_GB2312" w:cs="仿宋_GB2312"/>
          <w:snapToGrid w:val="0"/>
          <w:color w:val="000000" w:themeColor="text1"/>
          <w:kern w:val="2"/>
          <w:sz w:val="32"/>
          <w:szCs w:val="32"/>
          <w14:textFill>
            <w14:solidFill>
              <w14:schemeClr w14:val="tx1"/>
            </w14:solidFill>
          </w14:textFill>
        </w:rPr>
        <w:t>典型</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做法和先进经验</w:t>
      </w:r>
      <w:r>
        <w:rPr>
          <w:rFonts w:hint="eastAsia" w:ascii="Times New Roman" w:hAnsi="Times New Roman" w:eastAsia="仿宋_GB2312" w:cs="仿宋_GB2312"/>
          <w:snapToGrid w:val="0"/>
          <w:color w:val="000000"/>
          <w:kern w:val="2"/>
          <w:sz w:val="32"/>
          <w:szCs w:val="32"/>
          <w:lang w:eastAsia="zh-CN"/>
        </w:rPr>
        <w:t>。</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在深入了解医药行业业务模式、精准把握企业合理推广需求、理解思考企业内部</w:t>
      </w:r>
      <w:r>
        <w:rPr>
          <w:rFonts w:hint="eastAsia" w:ascii="Times New Roman" w:hAnsi="Times New Roman" w:eastAsia="仿宋_GB2312" w:cs="仿宋_GB2312"/>
          <w:snapToGrid w:val="0"/>
          <w:color w:val="000000" w:themeColor="text1"/>
          <w:kern w:val="2"/>
          <w:sz w:val="32"/>
          <w:szCs w:val="32"/>
          <w14:textFill>
            <w14:solidFill>
              <w14:schemeClr w14:val="tx1"/>
            </w14:solidFill>
          </w14:textFill>
        </w:rPr>
        <w:t>合规标准</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的基础上，</w:t>
      </w:r>
      <w:r>
        <w:rPr>
          <w:rFonts w:hint="eastAsia" w:ascii="Times New Roman" w:hAnsi="Times New Roman" w:eastAsia="仿宋_GB2312" w:cs="仿宋_GB2312"/>
          <w:snapToGrid w:val="0"/>
          <w:color w:val="000000"/>
          <w:kern w:val="2"/>
          <w:sz w:val="32"/>
          <w:szCs w:val="32"/>
        </w:rPr>
        <w:t>深入</w:t>
      </w:r>
      <w:r>
        <w:rPr>
          <w:rFonts w:hint="eastAsia" w:ascii="Times New Roman" w:hAnsi="Times New Roman" w:eastAsia="仿宋_GB2312" w:cs="仿宋_GB2312"/>
          <w:color w:val="000000"/>
          <w:sz w:val="32"/>
          <w:szCs w:val="32"/>
        </w:rPr>
        <w:t>分析当前环境下医药购销环节中存在的商业贿赂风险以及医药企业商业贿赂合规工作中面临的</w:t>
      </w:r>
      <w:r>
        <w:rPr>
          <w:rFonts w:hint="eastAsia" w:ascii="Times New Roman" w:hAnsi="Times New Roman" w:eastAsia="仿宋_GB2312" w:cs="仿宋_GB2312"/>
          <w:color w:val="000000"/>
          <w:sz w:val="32"/>
          <w:szCs w:val="32"/>
          <w:lang w:eastAsia="zh-CN"/>
        </w:rPr>
        <w:t>困难</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着力查找防范商业贿赂风险的</w:t>
      </w:r>
      <w:r>
        <w:rPr>
          <w:rFonts w:hint="eastAsia" w:ascii="Times New Roman" w:hAnsi="Times New Roman" w:eastAsia="仿宋_GB2312" w:cs="仿宋_GB2312"/>
          <w:snapToGrid w:val="0"/>
          <w:color w:val="000000" w:themeColor="text1"/>
          <w:kern w:val="2"/>
          <w:sz w:val="32"/>
          <w:szCs w:val="32"/>
          <w14:textFill>
            <w14:solidFill>
              <w14:schemeClr w14:val="tx1"/>
            </w14:solidFill>
          </w14:textFill>
        </w:rPr>
        <w:t>薄弱环节</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、问题根源和解决路径</w:t>
      </w:r>
      <w:r>
        <w:rPr>
          <w:rFonts w:hint="eastAsia" w:ascii="Times New Roman" w:hAnsi="Times New Roman" w:eastAsia="仿宋_GB2312" w:cs="仿宋_GB2312"/>
          <w:snapToGrid w:val="0"/>
          <w:color w:val="000000" w:themeColor="text1"/>
          <w:kern w:val="2"/>
          <w:sz w:val="32"/>
          <w:szCs w:val="32"/>
          <w14:textFill>
            <w14:solidFill>
              <w14:schemeClr w14:val="tx1"/>
            </w14:solidFill>
          </w14:textFill>
        </w:rPr>
        <w:t>，</w:t>
      </w:r>
      <w:r>
        <w:rPr>
          <w:rFonts w:hint="eastAsia" w:ascii="Times New Roman" w:hAnsi="Times New Roman" w:eastAsia="仿宋_GB2312" w:cs="仿宋_GB2312"/>
          <w:snapToGrid w:val="0"/>
          <w:color w:val="000000" w:themeColor="text1"/>
          <w:kern w:val="2"/>
          <w:sz w:val="32"/>
          <w:szCs w:val="32"/>
          <w:lang w:eastAsia="zh-CN"/>
          <w14:textFill>
            <w14:solidFill>
              <w14:schemeClr w14:val="tx1"/>
            </w14:solidFill>
          </w14:textFill>
        </w:rPr>
        <w:t>针对性开展研究论证</w:t>
      </w:r>
      <w:r>
        <w:rPr>
          <w:rFonts w:hint="eastAsia" w:ascii="Times New Roman" w:hAnsi="Times New Roman" w:eastAsia="仿宋_GB2312" w:cs="仿宋_GB2312"/>
          <w:snapToGrid w:val="0"/>
          <w:color w:val="000000" w:themeColor="text1"/>
          <w:kern w:val="2"/>
          <w:sz w:val="32"/>
          <w:szCs w:val="32"/>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pPr>
      <w:r>
        <w:rPr>
          <w:rFonts w:hint="eastAsia" w:ascii="Times New Roman" w:hAnsi="Times New Roman" w:eastAsia="楷体_GB2312" w:cs="Times New Roman"/>
          <w:snapToGrid w:val="0"/>
          <w:color w:val="000000" w:themeColor="text1"/>
          <w:kern w:val="2"/>
          <w:sz w:val="32"/>
          <w:szCs w:val="32"/>
          <w:lang w:val="en-US" w:eastAsia="zh-CN"/>
          <w14:textFill>
            <w14:solidFill>
              <w14:schemeClr w14:val="tx1"/>
            </w14:solidFill>
          </w14:textFill>
        </w:rPr>
        <w:t>（三）充分</w:t>
      </w:r>
      <w:r>
        <w:rPr>
          <w:rFonts w:hint="default" w:ascii="Times New Roman" w:hAnsi="Times New Roman" w:eastAsia="楷体_GB2312" w:cs="Times New Roman"/>
          <w:snapToGrid w:val="0"/>
          <w:color w:val="000000" w:themeColor="text1"/>
          <w:kern w:val="2"/>
          <w:sz w:val="32"/>
          <w:szCs w:val="32"/>
          <w:lang w:val="en-US" w:eastAsia="zh-CN"/>
          <w14:textFill>
            <w14:solidFill>
              <w14:schemeClr w14:val="tx1"/>
            </w14:solidFill>
          </w14:textFill>
        </w:rPr>
        <w:t>征求意见</w:t>
      </w:r>
      <w:r>
        <w:rPr>
          <w:rFonts w:hint="eastAsia" w:ascii="Times New Roman" w:hAnsi="Times New Roman" w:eastAsia="楷体_GB2312" w:cs="Times New Roman"/>
          <w:snapToGrid w:val="0"/>
          <w:color w:val="000000" w:themeColor="text1"/>
          <w:kern w:val="2"/>
          <w:sz w:val="32"/>
          <w:szCs w:val="32"/>
          <w:lang w:val="en-US" w:eastAsia="zh-CN"/>
          <w14:textFill>
            <w14:solidFill>
              <w14:schemeClr w14:val="tx1"/>
            </w14:solidFill>
          </w14:textFill>
        </w:rPr>
        <w:t>，反复修改完善。</w:t>
      </w:r>
      <w:r>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t>先后组织召开十次《指引》专题座谈会，邀请内外资医药企业、行业协会代表，竞争法、刑法领域知名学者和律师代表，以及地方市场监管部门代表进行专题研讨交流，充分听取意见建议。参与研讨的各界代表普遍认为</w:t>
      </w:r>
      <w:r>
        <w:rPr>
          <w:rFonts w:hint="eastAsia" w:ascii="仿宋_GB2312" w:hAnsi="仿宋_GB2312" w:eastAsia="仿宋_GB2312" w:cs="仿宋_GB2312"/>
          <w:sz w:val="32"/>
          <w:szCs w:val="32"/>
          <w:lang w:val="en-US" w:eastAsia="zh-CN"/>
        </w:rPr>
        <w:t>《指引》贴合行业实际、可操作性强，有利于预防和遏制医药领域商业贿赂行为，引导和帮助医药企业合规经营，</w:t>
      </w:r>
      <w:r>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t>对《指引》的出台表示支持和期待。加强部门间协调沟通，书面征求相关部委意见。结合征集到的意见建议对条文进行逐条研究分析，对各界提出的合理意见应收尽收，经反复修改完善，最终形成《指引》。</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snapToGrid w:val="0"/>
          <w:color w:val="000000" w:themeColor="text1"/>
          <w:kern w:val="2"/>
          <w:sz w:val="32"/>
          <w:szCs w:val="32"/>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
          <w:sz w:val="32"/>
          <w:szCs w:val="32"/>
          <w:lang w:val="en-US" w:eastAsia="zh-CN"/>
          <w14:textFill>
            <w14:solidFill>
              <w14:schemeClr w14:val="tx1"/>
            </w14:solidFill>
          </w14:textFill>
        </w:rPr>
        <w:t>三、</w:t>
      </w:r>
      <w:r>
        <w:rPr>
          <w:rFonts w:hint="default" w:ascii="Times New Roman" w:hAnsi="Times New Roman" w:eastAsia="黑体" w:cs="Times New Roman"/>
          <w:snapToGrid w:val="0"/>
          <w:color w:val="000000" w:themeColor="text1"/>
          <w:kern w:val="2"/>
          <w:sz w:val="32"/>
          <w:szCs w:val="32"/>
          <w:lang w:val="en-US" w:eastAsia="zh-CN"/>
          <w14:textFill>
            <w14:solidFill>
              <w14:schemeClr w14:val="tx1"/>
            </w14:solidFill>
          </w14:textFill>
        </w:rPr>
        <w:t>主要内容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t>《指引》共四章49条，各章分别为总则、医药企业防范商业贿赂风险合规管理体系建设、医药企业商业贿赂风险识别与防范、医药企业商业贿赂风险处置。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t>第一章，总则。对《指引》的目标意义、基本原则、适用范围、术语定义等做出了系统的说明，明确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《指引》旨在为医药企业开展防范商业贿赂风险合规管理提供参考。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t>第二章，医药企业防范商业贿赂风险合规管理体系建设。借鉴管理学中的PDCA管理理念，为医药企业建设合规管理体系提供指导，倡导管理层提高合规意识、支持合规管理体系建设，鼓励医药企业建立合规管理组织、合规制度、合规运行机制并注重合规文化建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t>第三章，医药企业商业贿赂风险识别与防范。列举了学术拜访交流、接待、咨询服务、外包服务、折扣折让及佣金、捐赠赞助和资助、医疗设备无偿投放、临床研究、零售终端销售九个具象的活动场景，对每个场景都按照同样的框架结构进行了详细介绍，分别为定义和内容、规范事项、风险识别与防范三个部分。</w:t>
      </w:r>
    </w:p>
    <w:p>
      <w:pPr>
        <w:pStyle w:val="9"/>
        <w:keepNext w:val="0"/>
        <w:keepLines w:val="0"/>
        <w:pageBreakBefore w:val="0"/>
        <w:widowControl w:val="0"/>
        <w:numPr>
          <w:ilvl w:val="0"/>
          <w:numId w:val="2"/>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t>医药企业商业贿赂风险处置。引导医药企业通过完善内部管控措施、配合监管执法实现风险的有效管控。对企业主动提前报告自身违法风险、依法配合市场监管部门调查给予指导，并对可能作出从轻、减轻及不予行政处罚的情形予以提示。</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
          <w:sz w:val="32"/>
          <w:szCs w:val="32"/>
          <w:lang w:val="en-US" w:eastAsia="zh-CN"/>
          <w14:textFill>
            <w14:solidFill>
              <w14:schemeClr w14:val="tx1"/>
            </w14:solidFill>
          </w14:textFill>
        </w:rPr>
        <w:t>四</w:t>
      </w:r>
      <w:r>
        <w:rPr>
          <w:rFonts w:hint="default" w:ascii="Times New Roman" w:hAnsi="Times New Roman" w:eastAsia="黑体" w:cs="Times New Roman"/>
          <w:snapToGrid w:val="0"/>
          <w:color w:val="000000" w:themeColor="text1"/>
          <w:kern w:val="2"/>
          <w:sz w:val="32"/>
          <w:szCs w:val="32"/>
          <w:lang w:val="en-US" w:eastAsia="zh-CN"/>
          <w14:textFill>
            <w14:solidFill>
              <w14:schemeClr w14:val="tx1"/>
            </w14:solidFill>
          </w14:textFill>
        </w:rPr>
        <w:t>、创新与亮点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snapToGrid w:val="0"/>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val="0"/>
          <w:bCs w:val="0"/>
          <w:snapToGrid w:val="0"/>
          <w:color w:val="000000" w:themeColor="text1"/>
          <w:kern w:val="2"/>
          <w:sz w:val="32"/>
          <w:szCs w:val="32"/>
          <w:lang w:val="en-US" w:eastAsia="zh-CN"/>
          <w14:textFill>
            <w14:solidFill>
              <w14:schemeClr w14:val="tx1"/>
            </w14:solidFill>
          </w14:textFill>
        </w:rPr>
        <w:t>（一）凸显行业特点，注重具象化描述和实操性指导</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指引》依据国内反商业贿赂法律规定，参考国外反商业贿赂法律规范及行业内共识性的行为准则，结合国内行政执法实践，根据医药领域特点、经营模式、管理架构等实际情况，汇总、梳理形成覆盖全业务、全流程、全链路的</w:t>
      </w:r>
      <w:r>
        <w:rPr>
          <w:rFonts w:hint="eastAsia"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九</w:t>
      </w: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个场景的医药领域商业贿赂风险点，以规范事项给予正向引导、以风险识别与防范给予负向警示，为医药企业防范商业贿赂风险合规管理提供具体、可操作的指导建议。</w:t>
      </w:r>
    </w:p>
    <w:p>
      <w:pPr>
        <w:pStyle w:val="3"/>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eastAsia" w:ascii="楷体_GB2312" w:hAnsi="楷体_GB2312" w:eastAsia="楷体_GB2312" w:cs="楷体_GB2312"/>
          <w:b w:val="0"/>
          <w:bCs w:val="0"/>
          <w:snapToGrid w:val="0"/>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val="0"/>
          <w:bCs w:val="0"/>
          <w:snapToGrid w:val="0"/>
          <w:color w:val="000000" w:themeColor="text1"/>
          <w:kern w:val="2"/>
          <w:sz w:val="32"/>
          <w:szCs w:val="32"/>
          <w:lang w:val="en-US" w:eastAsia="zh-CN" w:bidi="ar-SA"/>
          <w14:textFill>
            <w14:solidFill>
              <w14:schemeClr w14:val="tx1"/>
            </w14:solidFill>
          </w14:textFill>
        </w:rPr>
        <w:t>（二）</w:t>
      </w:r>
      <w:r>
        <w:rPr>
          <w:rFonts w:hint="eastAsia" w:ascii="楷体_GB2312" w:hAnsi="楷体_GB2312" w:eastAsia="楷体_GB2312" w:cs="楷体_GB2312"/>
          <w:b w:val="0"/>
          <w:bCs w:val="0"/>
          <w:snapToGrid w:val="0"/>
          <w:color w:val="000000" w:themeColor="text1"/>
          <w:kern w:val="2"/>
          <w:sz w:val="32"/>
          <w:szCs w:val="32"/>
          <w:lang w:val="en-US" w:eastAsia="zh-CN"/>
          <w14:textFill>
            <w14:solidFill>
              <w14:schemeClr w14:val="tx1"/>
            </w14:solidFill>
          </w14:textFill>
        </w:rPr>
        <w:t>注重内容衔接，切实发挥商业贿赂风险防控合力</w:t>
      </w:r>
    </w:p>
    <w:p>
      <w:pPr>
        <w:pStyle w:val="3"/>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《指引》严格对照《反不正当竞争法</w:t>
      </w:r>
      <w:r>
        <w:rPr>
          <w:rFonts w:hint="eastAsia"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行政处罚法》等现行法律文件的有关规定，对企业一般经营风险与商业贿赂合规风险进行界定区分，并结合卫健、药监等行业主管部门的管理规定，对医药产研、购销等各环节的重点风险事项进行明确提示。</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楷体_GB2312" w:hAnsi="楷体_GB2312" w:eastAsia="楷体_GB2312" w:cs="楷体_GB2312"/>
          <w:b w:val="0"/>
          <w:bCs w:val="0"/>
          <w:snapToGrid w:val="0"/>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b w:val="0"/>
          <w:bCs w:val="0"/>
          <w:snapToGrid w:val="0"/>
          <w:color w:val="000000" w:themeColor="text1"/>
          <w:kern w:val="2"/>
          <w:sz w:val="32"/>
          <w:szCs w:val="32"/>
          <w:lang w:val="en-US" w:eastAsia="zh-CN" w:bidi="ar-SA"/>
          <w14:textFill>
            <w14:solidFill>
              <w14:schemeClr w14:val="tx1"/>
            </w14:solidFill>
          </w14:textFill>
        </w:rPr>
        <w:t>（三）</w:t>
      </w:r>
      <w:r>
        <w:rPr>
          <w:rFonts w:hint="eastAsia" w:ascii="楷体_GB2312" w:hAnsi="楷体_GB2312" w:eastAsia="楷体_GB2312" w:cs="楷体_GB2312"/>
          <w:b w:val="0"/>
          <w:bCs w:val="0"/>
          <w:snapToGrid w:val="0"/>
          <w:color w:val="000000" w:themeColor="text1"/>
          <w:kern w:val="2"/>
          <w:sz w:val="32"/>
          <w:szCs w:val="32"/>
          <w:lang w:val="en-US" w:eastAsia="zh-CN"/>
          <w14:textFill>
            <w14:solidFill>
              <w14:schemeClr w14:val="tx1"/>
            </w14:solidFill>
          </w14:textFill>
        </w:rPr>
        <w:t>风险分级防控，引导企业正确辨识风险层级</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snapToGrid w:val="0"/>
          <w:color w:val="000000" w:themeColor="text1"/>
          <w:spacing w:val="-6"/>
          <w:kern w:val="2"/>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《指引》以刑事行政法律法规、医药行业规范性文件、医药领域商业贿赂典型案例和企业合规制度为依据，综合运用定量及定性分析方法，针对医药企业各具象场景内的风险因素进行评</w:t>
      </w:r>
      <w:r>
        <w:rPr>
          <w:rFonts w:hint="default" w:ascii="Times New Roman" w:hAnsi="Times New Roman" w:eastAsia="仿宋_GB2312" w:cs="Times New Roman"/>
          <w:snapToGrid w:val="0"/>
          <w:color w:val="000000" w:themeColor="text1"/>
          <w:spacing w:val="-6"/>
          <w:kern w:val="2"/>
          <w:sz w:val="32"/>
          <w:szCs w:val="32"/>
          <w:lang w:val="en-US" w:eastAsia="zh-CN"/>
          <w14:textFill>
            <w14:solidFill>
              <w14:schemeClr w14:val="tx1"/>
            </w14:solidFill>
          </w14:textFill>
        </w:rPr>
        <w:t>估，根据行为严重程度确定风险控制的优先顺序及分级防控措施。</w:t>
      </w:r>
      <w:r>
        <w:rPr>
          <w:rFonts w:hint="eastAsia" w:ascii="Times New Roman" w:hAnsi="Times New Roman" w:eastAsia="仿宋_GB2312" w:cs="Times New Roman"/>
          <w:snapToGrid w:val="0"/>
          <w:color w:val="000000" w:themeColor="text1"/>
          <w:spacing w:val="-6"/>
          <w:kern w:val="2"/>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对于各具象场景内业务行为的规范要求，划分为应当、可以、建议、倡导四个档次进行规范提示，其中对于现行《反不正当竞争法》《药品管理法》等法律</w:t>
      </w:r>
      <w:r>
        <w:rPr>
          <w:rFonts w:hint="eastAsia"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法规，以及</w:t>
      </w: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反贿赂管理体系要求及使用指南》《合规管理体系要求及使用指南》等国际标准或国家标准中明确规定的企业经营合规义务，在《指引》中以应当类规范事项予以表述；对于属于行业共识，符合卫健、药监等行业主管部门相关管理要求且不属于企业经营合规义务的，在《指引》中以可以类规范事项予以表述；对于</w:t>
      </w:r>
      <w:r>
        <w:rPr>
          <w:rFonts w:hint="eastAsia"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经过研究论证的</w:t>
      </w: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医药企业防范商业贿赂风险先进合规经验及典型做法，在《指引》中以建议类规范事项予以表述；对于有利于引导企业建立并实施治理商业贿赂行为长效机制，促进医疗卫生事业高质量发展的，在《指引》中以倡导鼓励类规范事项予以表述。</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对于医药企业应予识别、防范的风险按照违法性风险程度，按照禁止、避免、限制、关注四个档次进行分类规制，其中对于现行《反不正当竞争法》《药品管理法》等法律</w:t>
      </w:r>
      <w:r>
        <w:rPr>
          <w:rFonts w:hint="eastAsia"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法规</w:t>
      </w: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明确禁止的，以及近年来</w:t>
      </w:r>
      <w:r>
        <w:rPr>
          <w:rFonts w:hint="eastAsia"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市场监管部门</w:t>
      </w: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查处的医药领域商业贿赂典型案例中认定的商业贿赂行为，提示企业在经营中明确禁止；对于法律没有明确规定，但根据当前执法实践及行业共识认为可能为实施商业贿赂违法行为创造帮助或便利条件的，提示企业在经营中尽量避免；对于不符合企业一般合规原则，且在特定条件下可能导致商业贿赂的中、低风险经营行为，提示企业在经营中合理限制和适当关注。</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楷体_GB2312" w:hAnsi="楷体_GB2312" w:eastAsia="楷体_GB2312" w:cs="楷体_GB2312"/>
          <w:snapToGrid w:val="0"/>
          <w:color w:val="000000" w:themeColor="text1"/>
          <w:kern w:val="2"/>
          <w:sz w:val="32"/>
          <w:szCs w:val="32"/>
          <w:lang w:val="en-US" w:eastAsia="zh-CN"/>
          <w14:textFill>
            <w14:solidFill>
              <w14:schemeClr w14:val="tx1"/>
            </w14:solidFill>
          </w14:textFill>
        </w:rPr>
      </w:pPr>
      <w:r>
        <w:rPr>
          <w:rFonts w:hint="eastAsia" w:ascii="楷体_GB2312" w:hAnsi="楷体_GB2312" w:eastAsia="楷体_GB2312" w:cs="楷体_GB2312"/>
          <w:snapToGrid w:val="0"/>
          <w:color w:val="000000" w:themeColor="text1"/>
          <w:kern w:val="2"/>
          <w:sz w:val="32"/>
          <w:szCs w:val="32"/>
          <w:lang w:val="en-US" w:eastAsia="zh-CN"/>
          <w14:textFill>
            <w14:solidFill>
              <w14:schemeClr w14:val="tx1"/>
            </w14:solidFill>
          </w14:textFill>
        </w:rPr>
        <w:t>完善风险处置，帮助企业有效实现风险防控</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《指引》在引导医药企业准确识别、评价、分级商业贿赂风险的基础上，更加注重对于商业贿赂风险的分类处置预案</w:t>
      </w:r>
      <w:r>
        <w:rPr>
          <w:rFonts w:hint="eastAsia"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，引导企业</w:t>
      </w: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树立主体责任意识，提升自我合规管理积极性。对于尚未构成违法犯罪行为的风险性问题，提示医药企业应当充分重视合规管理过程中发现商业贿赂风险，及时采取包括内部调查、风险评估和自行处置等合理必要的内部管控措施进行有效整改，倡导医药企业完善长效机制，避免类似风险再次发生</w:t>
      </w:r>
      <w:r>
        <w:rPr>
          <w:rFonts w:hint="eastAsia"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w:t>
      </w:r>
      <w:r>
        <w:rPr>
          <w:rFonts w:hint="default" w:ascii="Times New Roman" w:hAnsi="Times New Roman" w:eastAsia="仿宋_GB2312" w:cs="Times New Roman"/>
          <w:snapToGrid w:val="0"/>
          <w:color w:val="000000" w:themeColor="text1"/>
          <w:kern w:val="2"/>
          <w:sz w:val="32"/>
          <w:szCs w:val="32"/>
          <w:lang w:val="en-US" w:eastAsia="zh-CN"/>
          <w14:textFill>
            <w14:solidFill>
              <w14:schemeClr w14:val="tx1"/>
            </w14:solidFill>
          </w14:textFill>
        </w:rPr>
        <w:t>对于已经涉嫌商业贿赂行为的违法性问题，提示医药企业应当在合理内部处置的基础上，采取及时有效的案前主动报告、案中配合调查、案后整改评估等措施。</w:t>
      </w:r>
    </w:p>
    <w:p>
      <w:pPr>
        <w:pStyle w:val="9"/>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0" w:firstLineChars="0"/>
        <w:jc w:val="both"/>
        <w:textAlignment w:val="auto"/>
        <w:rPr>
          <w:rFonts w:hint="default"/>
          <w:lang w:val="en-US" w:eastAsia="zh-CN"/>
        </w:rPr>
      </w:pPr>
      <w:r>
        <w:rPr>
          <w:rFonts w:hint="eastAsia" w:ascii="Times New Roman" w:hAnsi="Times New Roman" w:eastAsia="仿宋_GB2312" w:cs="仿宋_GB2312"/>
          <w:snapToGrid w:val="0"/>
          <w:color w:val="000000" w:themeColor="text1"/>
          <w:kern w:val="2"/>
          <w:sz w:val="32"/>
          <w:szCs w:val="32"/>
          <w:lang w:val="en-US" w:eastAsia="zh-CN"/>
          <w14:textFill>
            <w14:solidFill>
              <w14:schemeClr w14:val="tx1"/>
            </w14:solidFill>
          </w14:textFill>
        </w:rPr>
        <w:t xml:space="preserve">    </w:t>
      </w:r>
    </w:p>
    <w:sectPr>
      <w:footerReference r:id="rId3" w:type="default"/>
      <w:footerReference r:id="rId4" w:type="even"/>
      <w:pgSz w:w="11906" w:h="16838"/>
      <w:pgMar w:top="1984" w:right="1474" w:bottom="1644" w:left="1474" w:header="85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spacing w:line="260" w:lineRule="exact"/>
      <w:ind w:left="315" w:leftChars="150" w:right="315" w:rightChars="150"/>
      <w:jc w:val="left"/>
      <w:rPr>
        <w:rFonts w:hint="eastAsia" w:asciiTheme="minorEastAsia" w:hAnsiTheme="minorEastAsia" w:cs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adjustRightInd w:val="0"/>
                            <w:spacing w:line="260" w:lineRule="exact"/>
                            <w:ind w:left="315" w:leftChars="150" w:right="315" w:rightChars="150"/>
                            <w:jc w:val="left"/>
                          </w:pP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adjustRightInd w:val="0"/>
                      <w:spacing w:line="260" w:lineRule="exact"/>
                      <w:ind w:left="315" w:leftChars="150" w:right="315" w:rightChars="150"/>
                      <w:jc w:val="lef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adjustRightInd w:val="0"/>
      <w:spacing w:line="260" w:lineRule="exact"/>
      <w:ind w:left="315" w:leftChars="150" w:right="315" w:rightChars="150"/>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adjustRightInd w:val="0"/>
                            <w:spacing w:line="260" w:lineRule="exact"/>
                            <w:ind w:left="315" w:leftChars="150" w:right="315" w:rightChars="150"/>
                            <w:jc w:val="left"/>
                          </w:pP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adjustRightInd w:val="0"/>
                      <w:spacing w:line="260" w:lineRule="exact"/>
                      <w:ind w:left="315" w:leftChars="150" w:right="315" w:rightChars="150"/>
                      <w:jc w:val="left"/>
                    </w:pP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A9167"/>
    <w:multiLevelType w:val="singleLevel"/>
    <w:tmpl w:val="AF8A9167"/>
    <w:lvl w:ilvl="0" w:tentative="0">
      <w:start w:val="4"/>
      <w:numFmt w:val="chineseCounting"/>
      <w:suff w:val="nothing"/>
      <w:lvlText w:val="（%1）"/>
      <w:lvlJc w:val="left"/>
      <w:rPr>
        <w:rFonts w:hint="eastAsia"/>
      </w:rPr>
    </w:lvl>
  </w:abstractNum>
  <w:abstractNum w:abstractNumId="1">
    <w:nsid w:val="FD5457BC"/>
    <w:multiLevelType w:val="singleLevel"/>
    <w:tmpl w:val="FD5457BC"/>
    <w:lvl w:ilvl="0" w:tentative="0">
      <w:start w:val="1"/>
      <w:numFmt w:val="chineseCounting"/>
      <w:pStyle w:val="10"/>
      <w:suff w:val="nothing"/>
      <w:lvlText w:val="%1、"/>
      <w:lvlJc w:val="left"/>
      <w:pPr>
        <w:ind w:left="0" w:firstLine="0"/>
      </w:pPr>
      <w:rPr>
        <w:rFonts w:hint="eastAsia"/>
      </w:rPr>
    </w:lvl>
  </w:abstractNum>
  <w:abstractNum w:abstractNumId="2">
    <w:nsid w:val="FEC76EA3"/>
    <w:multiLevelType w:val="singleLevel"/>
    <w:tmpl w:val="FEC76EA3"/>
    <w:lvl w:ilvl="0" w:tentative="0">
      <w:start w:val="4"/>
      <w:numFmt w:val="chineseCounting"/>
      <w:suff w:val="nothing"/>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OTQyYjhjOWM2MzAzZDE0OWNkYjVhYTZlYWNmNjgifQ=="/>
  </w:docVars>
  <w:rsids>
    <w:rsidRoot w:val="042C3D55"/>
    <w:rsid w:val="00977B14"/>
    <w:rsid w:val="00A22F35"/>
    <w:rsid w:val="029403CC"/>
    <w:rsid w:val="042C3D55"/>
    <w:rsid w:val="05096B07"/>
    <w:rsid w:val="060379FA"/>
    <w:rsid w:val="0C4510E9"/>
    <w:rsid w:val="0C930286"/>
    <w:rsid w:val="0E3746E5"/>
    <w:rsid w:val="0F6C1610"/>
    <w:rsid w:val="0F784FB5"/>
    <w:rsid w:val="1B77BBAB"/>
    <w:rsid w:val="1EA90CEB"/>
    <w:rsid w:val="1F130856"/>
    <w:rsid w:val="1FFE08D7"/>
    <w:rsid w:val="22573150"/>
    <w:rsid w:val="22D9285D"/>
    <w:rsid w:val="22E5250A"/>
    <w:rsid w:val="25396B3D"/>
    <w:rsid w:val="25A4045A"/>
    <w:rsid w:val="26282E39"/>
    <w:rsid w:val="276A122F"/>
    <w:rsid w:val="28885E11"/>
    <w:rsid w:val="2CFE38EC"/>
    <w:rsid w:val="2D2AB9CA"/>
    <w:rsid w:val="2D7373F5"/>
    <w:rsid w:val="2EAE40F8"/>
    <w:rsid w:val="2EE6BA8D"/>
    <w:rsid w:val="2F155F25"/>
    <w:rsid w:val="2F73996A"/>
    <w:rsid w:val="2FAE8FD1"/>
    <w:rsid w:val="2FAFB5F0"/>
    <w:rsid w:val="2FB614B6"/>
    <w:rsid w:val="307F7AFA"/>
    <w:rsid w:val="33557238"/>
    <w:rsid w:val="3381002D"/>
    <w:rsid w:val="346D235F"/>
    <w:rsid w:val="358B6F41"/>
    <w:rsid w:val="379FDD37"/>
    <w:rsid w:val="37DAB792"/>
    <w:rsid w:val="37DEAB15"/>
    <w:rsid w:val="37DECC98"/>
    <w:rsid w:val="37EFC81F"/>
    <w:rsid w:val="3A1C460B"/>
    <w:rsid w:val="3A916DA7"/>
    <w:rsid w:val="3B7D2AFA"/>
    <w:rsid w:val="3BEF274F"/>
    <w:rsid w:val="3C559574"/>
    <w:rsid w:val="3D4B3D84"/>
    <w:rsid w:val="3DA71BB3"/>
    <w:rsid w:val="3DFED8AC"/>
    <w:rsid w:val="3E0F32FB"/>
    <w:rsid w:val="3F9ED1B3"/>
    <w:rsid w:val="3FDF1C4B"/>
    <w:rsid w:val="3FF65B9B"/>
    <w:rsid w:val="3FFB0800"/>
    <w:rsid w:val="3FFBC34A"/>
    <w:rsid w:val="406B1E48"/>
    <w:rsid w:val="43CF2413"/>
    <w:rsid w:val="43D441A9"/>
    <w:rsid w:val="46AC2CD1"/>
    <w:rsid w:val="48427933"/>
    <w:rsid w:val="4AC792E6"/>
    <w:rsid w:val="4D82232E"/>
    <w:rsid w:val="4E1753BE"/>
    <w:rsid w:val="4E5B34FC"/>
    <w:rsid w:val="4FDA5DBE"/>
    <w:rsid w:val="4FEBB912"/>
    <w:rsid w:val="50926F7D"/>
    <w:rsid w:val="55DB6D5B"/>
    <w:rsid w:val="55E73898"/>
    <w:rsid w:val="56EAC356"/>
    <w:rsid w:val="57087F99"/>
    <w:rsid w:val="57FE3E79"/>
    <w:rsid w:val="58B61CA6"/>
    <w:rsid w:val="59B558C7"/>
    <w:rsid w:val="5ADF2685"/>
    <w:rsid w:val="5BDB20A1"/>
    <w:rsid w:val="5BFAE681"/>
    <w:rsid w:val="5DED1C97"/>
    <w:rsid w:val="5F3F1085"/>
    <w:rsid w:val="5F74A8DE"/>
    <w:rsid w:val="5F7E4195"/>
    <w:rsid w:val="5F9E4F0A"/>
    <w:rsid w:val="5FEF2AD9"/>
    <w:rsid w:val="65537651"/>
    <w:rsid w:val="67486190"/>
    <w:rsid w:val="67538767"/>
    <w:rsid w:val="67AB2207"/>
    <w:rsid w:val="67FF7CB0"/>
    <w:rsid w:val="68701E42"/>
    <w:rsid w:val="6A3849D4"/>
    <w:rsid w:val="6DD37B9B"/>
    <w:rsid w:val="6EB7E1D9"/>
    <w:rsid w:val="6FE73A7C"/>
    <w:rsid w:val="6FFE2D85"/>
    <w:rsid w:val="6FFFD554"/>
    <w:rsid w:val="6FFFD81E"/>
    <w:rsid w:val="70E6464D"/>
    <w:rsid w:val="71526C31"/>
    <w:rsid w:val="718434FC"/>
    <w:rsid w:val="72211500"/>
    <w:rsid w:val="74F3E400"/>
    <w:rsid w:val="75CF30F1"/>
    <w:rsid w:val="7696032B"/>
    <w:rsid w:val="76B61368"/>
    <w:rsid w:val="7771C4AD"/>
    <w:rsid w:val="77C49F45"/>
    <w:rsid w:val="77F78B3B"/>
    <w:rsid w:val="77FF942B"/>
    <w:rsid w:val="789E20B4"/>
    <w:rsid w:val="79CFC396"/>
    <w:rsid w:val="79F7DBFA"/>
    <w:rsid w:val="79FBB8D1"/>
    <w:rsid w:val="79FF16C9"/>
    <w:rsid w:val="7A7F456A"/>
    <w:rsid w:val="7A99C95A"/>
    <w:rsid w:val="7BD7A7F4"/>
    <w:rsid w:val="7BDF824E"/>
    <w:rsid w:val="7BF37ECB"/>
    <w:rsid w:val="7BF796F4"/>
    <w:rsid w:val="7BF99E57"/>
    <w:rsid w:val="7BFFDBB9"/>
    <w:rsid w:val="7C7ED1E9"/>
    <w:rsid w:val="7CFF0ECB"/>
    <w:rsid w:val="7DB61CAA"/>
    <w:rsid w:val="7DE7E317"/>
    <w:rsid w:val="7E7F6F5F"/>
    <w:rsid w:val="7E8574F8"/>
    <w:rsid w:val="7EF48CAA"/>
    <w:rsid w:val="7EF5360F"/>
    <w:rsid w:val="7EF57569"/>
    <w:rsid w:val="7F23E26F"/>
    <w:rsid w:val="7F5E08B1"/>
    <w:rsid w:val="7F7DAE76"/>
    <w:rsid w:val="7F7E431E"/>
    <w:rsid w:val="7F8DE851"/>
    <w:rsid w:val="7FAEA6DF"/>
    <w:rsid w:val="7FCADE1A"/>
    <w:rsid w:val="7FCB10C5"/>
    <w:rsid w:val="7FDDE220"/>
    <w:rsid w:val="7FEF3038"/>
    <w:rsid w:val="7FFD57A0"/>
    <w:rsid w:val="7FFFB994"/>
    <w:rsid w:val="7FFFCD87"/>
    <w:rsid w:val="8F3575E8"/>
    <w:rsid w:val="92DF3724"/>
    <w:rsid w:val="92F3B04F"/>
    <w:rsid w:val="93CBBD60"/>
    <w:rsid w:val="9BF66FF2"/>
    <w:rsid w:val="9EDF8737"/>
    <w:rsid w:val="9EF77C21"/>
    <w:rsid w:val="AAFFD67E"/>
    <w:rsid w:val="AFFF71EE"/>
    <w:rsid w:val="B3771427"/>
    <w:rsid w:val="B3DFE6BC"/>
    <w:rsid w:val="B7BF3243"/>
    <w:rsid w:val="BB77788A"/>
    <w:rsid w:val="BFBFC9E3"/>
    <w:rsid w:val="BFDE681D"/>
    <w:rsid w:val="BFF9B962"/>
    <w:rsid w:val="BFFD71FA"/>
    <w:rsid w:val="CDFF5023"/>
    <w:rsid w:val="CEDF5201"/>
    <w:rsid w:val="CFBF927F"/>
    <w:rsid w:val="CFEF4BA5"/>
    <w:rsid w:val="D77A0E6E"/>
    <w:rsid w:val="D77FA482"/>
    <w:rsid w:val="D7F53388"/>
    <w:rsid w:val="DCFF825F"/>
    <w:rsid w:val="DE1FD3B8"/>
    <w:rsid w:val="DED3BBB2"/>
    <w:rsid w:val="DEEFD86B"/>
    <w:rsid w:val="DF90C078"/>
    <w:rsid w:val="E2FCDA03"/>
    <w:rsid w:val="E7B58D6C"/>
    <w:rsid w:val="E7DB22F0"/>
    <w:rsid w:val="ECFF5A6F"/>
    <w:rsid w:val="EDF97AC2"/>
    <w:rsid w:val="EDFE874D"/>
    <w:rsid w:val="EF5FC591"/>
    <w:rsid w:val="EF7F19FD"/>
    <w:rsid w:val="EF7FCD79"/>
    <w:rsid w:val="EFDDF07D"/>
    <w:rsid w:val="EFEF7627"/>
    <w:rsid w:val="F5E99C4A"/>
    <w:rsid w:val="F7F729B7"/>
    <w:rsid w:val="F7F9E56C"/>
    <w:rsid w:val="FAFF5055"/>
    <w:rsid w:val="FB7E7B11"/>
    <w:rsid w:val="FBB91EBD"/>
    <w:rsid w:val="FBDF23A2"/>
    <w:rsid w:val="FBDFE0A9"/>
    <w:rsid w:val="FBF74788"/>
    <w:rsid w:val="FBFF1BFE"/>
    <w:rsid w:val="FC6CBD25"/>
    <w:rsid w:val="FD79E657"/>
    <w:rsid w:val="FE5ADC4F"/>
    <w:rsid w:val="FE6BD6AE"/>
    <w:rsid w:val="FEAF5A65"/>
    <w:rsid w:val="FEF713D4"/>
    <w:rsid w:val="FEFF84AC"/>
    <w:rsid w:val="FF0F8FD5"/>
    <w:rsid w:val="FF6E1DC2"/>
    <w:rsid w:val="FF7C44D1"/>
    <w:rsid w:val="FF990A92"/>
    <w:rsid w:val="FF99A854"/>
    <w:rsid w:val="FF9F6464"/>
    <w:rsid w:val="FFD839A1"/>
    <w:rsid w:val="FFEEDF0A"/>
    <w:rsid w:val="FFEF4EAF"/>
    <w:rsid w:val="FFF3EC8A"/>
    <w:rsid w:val="FFFD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9"/>
    <w:pPr>
      <w:widowControl w:val="0"/>
      <w:ind w:left="1000" w:hanging="400"/>
      <w:jc w:val="both"/>
      <w:outlineLvl w:val="2"/>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kern w:val="0"/>
    </w:rPr>
  </w:style>
  <w:style w:type="paragraph" w:styleId="9">
    <w:name w:val="List Paragraph"/>
    <w:basedOn w:val="1"/>
    <w:qFormat/>
    <w:uiPriority w:val="99"/>
    <w:pPr>
      <w:ind w:firstLine="420" w:firstLineChars="200"/>
    </w:pPr>
    <w:rPr>
      <w:rFonts w:asciiTheme="minorHAnsi" w:hAnsiTheme="minorHAnsi" w:eastAsiaTheme="minorEastAsia" w:cstheme="minorBidi"/>
      <w:szCs w:val="22"/>
      <w14:ligatures w14:val="standardContextual"/>
    </w:rPr>
  </w:style>
  <w:style w:type="paragraph" w:customStyle="1" w:styleId="10">
    <w:name w:val="一级标题"/>
    <w:basedOn w:val="1"/>
    <w:qFormat/>
    <w:uiPriority w:val="0"/>
    <w:pPr>
      <w:numPr>
        <w:ilvl w:val="0"/>
        <w:numId w:val="1"/>
      </w:numPr>
      <w:spacing w:line="594" w:lineRule="exact"/>
      <w:ind w:firstLine="420" w:firstLineChars="200"/>
      <w:outlineLvl w:val="0"/>
    </w:pPr>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327</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2024-01-04T01:22:00Z</dcterms:created>
  <dc:creator>刘甜伊</dc:creator>
  <cp:lastModifiedBy>greatwall</cp:lastModifiedBy>
  <cp:lastPrinted>2024-10-10T14:18:13Z</cp:lastPrinted>
  <dcterms:modified xsi:type="dcterms:W3CDTF">2024-10-10T14:49:53Z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AA9798505CF9D669C9E12066346A1720</vt:lpwstr>
  </property>
</Properties>
</file>