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E4476" w14:textId="77777777" w:rsidR="00CE231B" w:rsidRDefault="00CE231B" w:rsidP="00CE231B">
      <w:pPr>
        <w:pStyle w:val="a3"/>
        <w:spacing w:before="0" w:beforeAutospacing="0" w:after="0" w:afterAutospacing="0" w:line="436" w:lineRule="atLeast"/>
        <w:rPr>
          <w:rFonts w:ascii="微软雅黑" w:eastAsia="微软雅黑" w:hAnsi="微软雅黑"/>
          <w:color w:val="202020"/>
        </w:rPr>
      </w:pPr>
      <w:r>
        <w:rPr>
          <w:rStyle w:val="a4"/>
          <w:rFonts w:ascii="微软雅黑" w:eastAsia="微软雅黑" w:hAnsi="微软雅黑" w:hint="eastAsia"/>
          <w:color w:val="333333"/>
        </w:rPr>
        <w:t>附件2</w:t>
      </w:r>
    </w:p>
    <w:p w14:paraId="06D51FDD"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卫生健康行政执法文书规范</w:t>
      </w:r>
    </w:p>
    <w:p w14:paraId="39340F38"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（征求意见稿）</w:t>
      </w:r>
    </w:p>
    <w:p w14:paraId="1D38AF14"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第一章 总则</w:t>
      </w:r>
    </w:p>
    <w:p w14:paraId="22A1515B"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第一条 </w:t>
      </w:r>
      <w:r>
        <w:rPr>
          <w:rFonts w:ascii="微软雅黑" w:eastAsia="微软雅黑" w:hAnsi="微软雅黑" w:hint="eastAsia"/>
          <w:color w:val="202020"/>
        </w:rPr>
        <w:t>为规范卫生健康、中医药、疾病预防控制行政机关（以下简称“行政机关”）行政执法行为，保障公民、法人和其他组织的合法权益，根据《行政处罚法》、《行政强制法》和有关法律法规，制定本规范。</w:t>
      </w:r>
    </w:p>
    <w:p w14:paraId="21BAE7A7"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第二条</w:t>
      </w:r>
      <w:r>
        <w:rPr>
          <w:rFonts w:ascii="微软雅黑" w:eastAsia="微软雅黑" w:hAnsi="微软雅黑" w:hint="eastAsia"/>
          <w:color w:val="202020"/>
        </w:rPr>
        <w:t> 本规范规定的文书适用于监督检查、监督抽检、行政强制、行政处罚等行政执法活动。</w:t>
      </w:r>
    </w:p>
    <w:p w14:paraId="1A55B21C"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第三条 </w:t>
      </w:r>
      <w:r>
        <w:rPr>
          <w:rFonts w:ascii="微软雅黑" w:eastAsia="微软雅黑" w:hAnsi="微软雅黑" w:hint="eastAsia"/>
          <w:color w:val="202020"/>
        </w:rPr>
        <w:t>规范确定的各类文书应当按照规定的要求使用。</w:t>
      </w:r>
    </w:p>
    <w:p w14:paraId="649E97B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除本规范规定的文书样式外，省级行政机关可以根据工作需要增加或调整相应文书，并报国家卫生健康委备案。</w:t>
      </w:r>
    </w:p>
    <w:p w14:paraId="33301703"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第四条 </w:t>
      </w:r>
      <w:r>
        <w:rPr>
          <w:rFonts w:ascii="微软雅黑" w:eastAsia="微软雅黑" w:hAnsi="微软雅黑" w:hint="eastAsia"/>
          <w:color w:val="202020"/>
        </w:rPr>
        <w:t>制作的文书应当完整、准确、规范，符合相应的要求。</w:t>
      </w:r>
    </w:p>
    <w:p w14:paraId="56EF906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文书中行政机关的名称应当填写机关全称。</w:t>
      </w:r>
    </w:p>
    <w:p w14:paraId="3F838FB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文书本身设定文号的，应当在文书标注的“文号”位置编写相应的文号，编号方法为：“地区简称＋卫＋执法类别＋执法性质＋〔年份〕＋序号”。文书本身设定编号的，应当在文书标注的“编号：”后印制或编写编号，编号方法为：“年份＋序号”。</w:t>
      </w:r>
    </w:p>
    <w:p w14:paraId="352E3B13"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第二章 制作要求</w:t>
      </w:r>
    </w:p>
    <w:p w14:paraId="499D139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第五条 </w:t>
      </w:r>
      <w:r>
        <w:rPr>
          <w:rFonts w:ascii="微软雅黑" w:eastAsia="微软雅黑" w:hAnsi="微软雅黑" w:hint="eastAsia"/>
          <w:color w:val="202020"/>
        </w:rPr>
        <w:t>现场使用的文书应当按照规定的格式印制后填写。两</w:t>
      </w:r>
      <w:proofErr w:type="gramStart"/>
      <w:r>
        <w:rPr>
          <w:rFonts w:ascii="微软雅黑" w:eastAsia="微软雅黑" w:hAnsi="微软雅黑" w:hint="eastAsia"/>
          <w:color w:val="202020"/>
        </w:rPr>
        <w:t>联以上</w:t>
      </w:r>
      <w:proofErr w:type="gramEnd"/>
      <w:r>
        <w:rPr>
          <w:rFonts w:ascii="微软雅黑" w:eastAsia="微软雅黑" w:hAnsi="微软雅黑" w:hint="eastAsia"/>
          <w:color w:val="202020"/>
        </w:rPr>
        <w:t>的文书应当使用无碳复写纸印制。</w:t>
      </w:r>
    </w:p>
    <w:p w14:paraId="2A05002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应当用黑色或者蓝黑色的水笔或者签字笔填写，保证字迹清楚、文字规范、文面清洁。</w:t>
      </w:r>
    </w:p>
    <w:p w14:paraId="1CE323B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因书写错误需要对文书进行修改的，应当</w:t>
      </w:r>
      <w:proofErr w:type="gramStart"/>
      <w:r>
        <w:rPr>
          <w:rFonts w:ascii="微软雅黑" w:eastAsia="微软雅黑" w:hAnsi="微软雅黑" w:hint="eastAsia"/>
          <w:color w:val="202020"/>
        </w:rPr>
        <w:t>用杠线划去</w:t>
      </w:r>
      <w:proofErr w:type="gramEnd"/>
      <w:r>
        <w:rPr>
          <w:rFonts w:ascii="微软雅黑" w:eastAsia="微软雅黑" w:hAnsi="微软雅黑" w:hint="eastAsia"/>
          <w:color w:val="202020"/>
        </w:rPr>
        <w:t>修改处，在其上方或者接下处写上正确内容。对外使用的文书</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修改的，应当在改动处加盖校对章，或者由对方当事人签名或者盖章。</w:t>
      </w:r>
    </w:p>
    <w:p w14:paraId="50DE1DF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文书也可以按照规范的格式打印。执法过程中需要利用手持移动执法设备现场打印文书的，在文书格式和内容不变的情况下，文书规格大小可以适当调整。</w:t>
      </w:r>
    </w:p>
    <w:p w14:paraId="74314C12"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第六条 </w:t>
      </w:r>
      <w:r>
        <w:rPr>
          <w:rFonts w:ascii="微软雅黑" w:eastAsia="微软雅黑" w:hAnsi="微软雅黑" w:hint="eastAsia"/>
          <w:color w:val="202020"/>
        </w:rPr>
        <w:t>预先设定的文书栏目，应当逐项填写。摘要填写的，应当简明、完整、准确。签名和注明日期必须清楚无误。</w:t>
      </w:r>
    </w:p>
    <w:p w14:paraId="22405497"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第七条 </w:t>
      </w:r>
      <w:r>
        <w:rPr>
          <w:rFonts w:ascii="微软雅黑" w:eastAsia="微软雅黑" w:hAnsi="微软雅黑" w:hint="eastAsia"/>
          <w:color w:val="202020"/>
        </w:rPr>
        <w:t>调查询问所作的记录应当具体详细，涉及案件关键事实和重要线索的，应当尽量记录原话。不得使用推测性词句，以免发生词句歧义。</w:t>
      </w:r>
    </w:p>
    <w:p w14:paraId="18F9D6A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对方位、状态及程度的描述记录，应当依次有序、准确清楚。</w:t>
      </w:r>
    </w:p>
    <w:p w14:paraId="43ADC965"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第八条 </w:t>
      </w:r>
      <w:r>
        <w:rPr>
          <w:rFonts w:ascii="微软雅黑" w:eastAsia="微软雅黑" w:hAnsi="微软雅黑" w:hint="eastAsia"/>
          <w:color w:val="202020"/>
        </w:rPr>
        <w:t>当场制作的现场笔录、询问笔录、陈述和申辩笔录、听证笔录等文书，应当在记录完成后注明“以下空白”，当场交由有关当事人审阅或者向当事人宣读，并由当事人签字确认。当事人认为记录有遗漏或者有差错的，应当提出补充和修改，在改动处签字或者用指纹、印鉴覆盖。</w:t>
      </w:r>
    </w:p>
    <w:p w14:paraId="7D140F0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当事人认为笔录所记录的内容真实无误的，应当在笔录上注明“以上笔录属实”并签名。当事人拒不签名的，应当注明情况。采取行政强制措施时，当事人不到场的，应当邀请见证人到场在现场笔录上签名或者盖章。</w:t>
      </w:r>
    </w:p>
    <w:p w14:paraId="0590F8CE"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第九条 </w:t>
      </w:r>
      <w:r>
        <w:rPr>
          <w:rFonts w:ascii="微软雅黑" w:eastAsia="微软雅黑" w:hAnsi="微软雅黑" w:hint="eastAsia"/>
          <w:color w:val="202020"/>
        </w:rPr>
        <w:t>各类文书中有关共性栏目的填写方法：</w:t>
      </w:r>
    </w:p>
    <w:p w14:paraId="25A59D2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文书本身设有“当事人”项目的，按照以下要求填写：是法人或者其他组织的，应当填写单位的全称、统一社会信用代码、地址、联系电话，法定代表人（负责人）的姓名、性别、民族等内容；是个体工商户且有字号的，应当填写字号名称为当事人名称，同时注明经营者姓名、身份证号。当事人是个人的，填写姓名、性别、身份证号码、民族、住址、联系电话等信息。</w:t>
      </w:r>
    </w:p>
    <w:p w14:paraId="5D89A77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文书首页不够记录时，可以续页记录，但首页</w:t>
      </w:r>
      <w:proofErr w:type="gramStart"/>
      <w:r>
        <w:rPr>
          <w:rFonts w:ascii="微软雅黑" w:eastAsia="微软雅黑" w:hAnsi="微软雅黑" w:hint="eastAsia"/>
          <w:color w:val="202020"/>
        </w:rPr>
        <w:t>及续页均</w:t>
      </w:r>
      <w:proofErr w:type="gramEnd"/>
      <w:r>
        <w:rPr>
          <w:rFonts w:ascii="微软雅黑" w:eastAsia="微软雅黑" w:hAnsi="微软雅黑" w:hint="eastAsia"/>
          <w:color w:val="202020"/>
        </w:rPr>
        <w:t>应当有当事人签名并注明日期。</w:t>
      </w:r>
    </w:p>
    <w:p w14:paraId="04EB88E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案由统一写法为当事人名称（姓名）＋具体违法行为＋案。如有多个违法行为，以主要的违法行为作为案由，写法为当事人名称（姓名）＋具体违法行为＋等案。文书本身设有“当事人”项目的，在填写案由时可以省略有关当事人的内容。</w:t>
      </w:r>
    </w:p>
    <w:p w14:paraId="5AF0EB79"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lastRenderedPageBreak/>
        <w:t>第十条 </w:t>
      </w:r>
      <w:r>
        <w:rPr>
          <w:rFonts w:ascii="微软雅黑" w:eastAsia="微软雅黑" w:hAnsi="微软雅黑" w:hint="eastAsia"/>
          <w:color w:val="202020"/>
        </w:rPr>
        <w:t>对外使用的文书本身设定签收栏的，在直接送达的情况下，应当由当事人直接签收。没有设定的，一般应当使用送达回执。</w:t>
      </w:r>
    </w:p>
    <w:p w14:paraId="67867911"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第十一条 </w:t>
      </w:r>
      <w:r>
        <w:rPr>
          <w:rFonts w:ascii="微软雅黑" w:eastAsia="微软雅黑" w:hAnsi="微软雅黑" w:hint="eastAsia"/>
          <w:color w:val="202020"/>
        </w:rPr>
        <w:t>产品样品采样记录，是采集用于鉴定检验的健康相关产品及其他产品的书面记录。</w:t>
      </w:r>
    </w:p>
    <w:p w14:paraId="2CDF618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采样记录应当写明被采样人、采样地址、采样方法、采样时间、采样目的等内容。</w:t>
      </w:r>
    </w:p>
    <w:p w14:paraId="10AD8EE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样品基本情况应当写明样品名称、样品规格、样品数量、样品包装状况或者储存条件、样品的生产日期及批号、样品标注的生产或者进口代理单位、采集样品的具体地点。</w:t>
      </w:r>
    </w:p>
    <w:p w14:paraId="6D4EF38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第十二条 </w:t>
      </w:r>
      <w:r>
        <w:rPr>
          <w:rFonts w:ascii="微软雅黑" w:eastAsia="微软雅黑" w:hAnsi="微软雅黑" w:hint="eastAsia"/>
          <w:color w:val="202020"/>
        </w:rPr>
        <w:t>非产品样品采样记录，是从有关场所采集鉴定检验用样品的书面记录。</w:t>
      </w:r>
    </w:p>
    <w:p w14:paraId="08E06453"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非产品样品采样记录应当写明被采样人、采样地点、采样方法、采样时间、采样目的、采样设备或者仪器名称、采集样品名称、编号及份数。</w:t>
      </w:r>
    </w:p>
    <w:p w14:paraId="23756A2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此外，还应当对被采集样品的物品或者场所的状况进行客观的描述。</w:t>
      </w:r>
    </w:p>
    <w:p w14:paraId="6A75C47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第十三条</w:t>
      </w:r>
      <w:r>
        <w:rPr>
          <w:rFonts w:ascii="微软雅黑" w:eastAsia="微软雅黑" w:hAnsi="微软雅黑" w:hint="eastAsia"/>
          <w:color w:val="202020"/>
        </w:rPr>
        <w:t> 产品样品确认告知书，是实施监督抽检的行政机关为确认产品的真实生产或者进口代理单位，向标签标注的生产或者进口代理单位发出的文书。</w:t>
      </w:r>
    </w:p>
    <w:p w14:paraId="42FDE2F7"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告知书应当写明样品的基本情况，采样日期、被采样单位或者地址、样品标识的生产或者进口代理单位及地址、生产日期或者批号、标识、规格、样品名称等内容。还应当告知确认的方式、时间、地点、联系人、联系电话、联系地址和邮政编码等，并告知逾期未回复确认的，视为对样品真实性无异议。</w:t>
      </w:r>
    </w:p>
    <w:p w14:paraId="20F8F54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第十四条 </w:t>
      </w:r>
      <w:r>
        <w:rPr>
          <w:rFonts w:ascii="微软雅黑" w:eastAsia="微软雅黑" w:hAnsi="微软雅黑" w:hint="eastAsia"/>
          <w:color w:val="202020"/>
        </w:rPr>
        <w:t>检验结果告知书，是行政机关将抽检不合格样品的检验结果告知相应当事人的文书。</w:t>
      </w:r>
    </w:p>
    <w:p w14:paraId="09E551B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告知书应当写明被检验的产品或者其他物品的名称，检验结果不符合国家有关卫生健康标准规定的情况，并告知当事人依照规定是否有申请复核的权利及提出复核申请的期限等内容。</w:t>
      </w:r>
    </w:p>
    <w:p w14:paraId="3D7CE5E6"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第十五条</w:t>
      </w:r>
      <w:r>
        <w:rPr>
          <w:rFonts w:ascii="微软雅黑" w:eastAsia="微软雅黑" w:hAnsi="微软雅黑" w:hint="eastAsia"/>
          <w:color w:val="202020"/>
        </w:rPr>
        <w:t> 监督意见书，是行政机关制作的对公民、法人或者其他组织具有指导性或者指令性作用的文书。</w:t>
      </w:r>
    </w:p>
    <w:p w14:paraId="7B8C6B2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对存在违法事实，依法需要责令改正的，应当写明法律依据、改正期限及责令改正意见等内容。</w:t>
      </w:r>
    </w:p>
    <w:p w14:paraId="54F8167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第十六条 </w:t>
      </w:r>
      <w:r>
        <w:rPr>
          <w:rFonts w:ascii="微软雅黑" w:eastAsia="微软雅黑" w:hAnsi="微软雅黑" w:hint="eastAsia"/>
          <w:color w:val="202020"/>
        </w:rPr>
        <w:t>行政执法事项审批表，是在</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证据先行登记保存、行政强制、行政处罚、延期或者分期缴纳罚没款、不予行政处罚、中止行政处罚等行政决定前，由行政机关负责人对拟作出的行政决定意见进行审查，并签署审批意见的文书。也适用于因情况紧急需要当场实施行政措施，事后补办批准手续的情形。</w:t>
      </w:r>
    </w:p>
    <w:p w14:paraId="4C82451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审批表应当写明当事人、案由、申请审批事项、执法人员处理意见、审核意见及部门负责人审批意见等。</w:t>
      </w:r>
    </w:p>
    <w:p w14:paraId="3CA090B7"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申请行政处罚审批时，申请审批事项中应当写明主要违法事实、证据、处罚理由及依据。申请证据先行登记保存、行政强制审批时，申请审批事项中应当写明原因及依据。</w:t>
      </w:r>
    </w:p>
    <w:p w14:paraId="76DC99C3"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第十七条</w:t>
      </w:r>
      <w:r>
        <w:rPr>
          <w:rFonts w:ascii="微软雅黑" w:eastAsia="微软雅黑" w:hAnsi="微软雅黑" w:hint="eastAsia"/>
          <w:color w:val="202020"/>
        </w:rPr>
        <w:t> 行政控制决定书，是行政机关发现当事人生产经营的产品或者场所已经或者可能对人体健康产生危害，需要对物品或者场所采取控制措施时发出的文书。</w:t>
      </w:r>
    </w:p>
    <w:p w14:paraId="0803D38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决定书应当写明当事人的姓名或者名称、控制的原因、控制的法律依据和</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处理决定的期限，对控制的物品或者场所应当写明物品或者场所的名称、控制地点、控制方式等内容。</w:t>
      </w:r>
    </w:p>
    <w:p w14:paraId="15D6243B"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第十八条</w:t>
      </w:r>
      <w:r>
        <w:rPr>
          <w:rFonts w:ascii="微软雅黑" w:eastAsia="微软雅黑" w:hAnsi="微软雅黑" w:hint="eastAsia"/>
          <w:color w:val="202020"/>
        </w:rPr>
        <w:t> 解除行政控制决定书，是行政机关确认被控制的物品或者场所不能或者不可能对人体健康构成危害时，决定对被控制的物品或者场所解除控制时发出的文书。</w:t>
      </w:r>
    </w:p>
    <w:p w14:paraId="5338A487"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决定书应当写明当事人的姓名或者名称及控制文书</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的时间及文号。</w:t>
      </w:r>
    </w:p>
    <w:p w14:paraId="3F0CB89E"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第十九条 </w:t>
      </w:r>
      <w:r>
        <w:rPr>
          <w:rFonts w:ascii="微软雅黑" w:eastAsia="微软雅黑" w:hAnsi="微软雅黑" w:hint="eastAsia"/>
          <w:color w:val="202020"/>
        </w:rPr>
        <w:t>查封、扣押决定书，是行政机关为制止违法行为、防止证据毁损、避免危害发生、控制危险扩大，依法对涉案的场所、设施或者财物采取查封、扣押措施时发出的文书。</w:t>
      </w:r>
    </w:p>
    <w:p w14:paraId="66135C9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决定书中应当写明当事人的姓名或者名称，查封、扣押的理由、依据和期限，查封、扣押场所、设施或者财物的名称、数量等，并告知当事人申请行政复议或者提起行政诉讼的途径和期限。</w:t>
      </w:r>
    </w:p>
    <w:p w14:paraId="0FD4DD5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对物品需要进行检测、检验、检疫或者技术鉴定的，应当告知当事人所需的时间，同时告知查封、扣押的期间不包括检测、检验、检疫或者技术鉴定的期间。</w:t>
      </w:r>
    </w:p>
    <w:p w14:paraId="743CE298"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第二十条</w:t>
      </w:r>
      <w:r>
        <w:rPr>
          <w:rFonts w:ascii="微软雅黑" w:eastAsia="微软雅黑" w:hAnsi="微软雅黑" w:hint="eastAsia"/>
          <w:color w:val="202020"/>
        </w:rPr>
        <w:t> 查封、扣押处理决定书，是行政机关在规定的期限内对被采取查封、扣押行政强制措施的场所、设施或者财物</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处理决定时发出的文书。</w:t>
      </w:r>
    </w:p>
    <w:p w14:paraId="5ECDC8B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处理决定书应当写明当事人的姓名或者名称，查封扣押决定书</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的时间、文号及具体处理意见。</w:t>
      </w:r>
    </w:p>
    <w:p w14:paraId="179928A9"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第二十一条 </w:t>
      </w:r>
      <w:r>
        <w:rPr>
          <w:rFonts w:ascii="微软雅黑" w:eastAsia="微软雅黑" w:hAnsi="微软雅黑" w:hint="eastAsia"/>
          <w:color w:val="202020"/>
        </w:rPr>
        <w:t>查封、扣押延期通知书，是因案情复杂，需要延长查封、扣押期限时发出的文书。</w:t>
      </w:r>
    </w:p>
    <w:p w14:paraId="69B9A69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延期通知书应当写明当事人的姓名或者名称，延长查封扣押的期限，并说明理由。</w:t>
      </w:r>
    </w:p>
    <w:p w14:paraId="123A09B1"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第二十二条 </w:t>
      </w:r>
      <w:r>
        <w:rPr>
          <w:rFonts w:ascii="微软雅黑" w:eastAsia="微软雅黑" w:hAnsi="微软雅黑" w:hint="eastAsia"/>
          <w:color w:val="202020"/>
        </w:rPr>
        <w:t>物品清单，是</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证据先行登记保存、查封、扣押、没收物品等行政决定时，附于证据先行登记保存决定书、查封、扣押决定书、行政处罚决定书等文书后，用于登记相关物品所使用的文书。</w:t>
      </w:r>
    </w:p>
    <w:p w14:paraId="57927C4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物品清单应当注明被附文书的名称及文号，并写明物品名称、数量、生产或进口代理单位、生产日期及批号等内容，由当事人、执法人员签名。</w:t>
      </w:r>
    </w:p>
    <w:p w14:paraId="29B78E3C"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第二十三条 </w:t>
      </w:r>
      <w:r>
        <w:rPr>
          <w:rFonts w:ascii="微软雅黑" w:eastAsia="微软雅黑" w:hAnsi="微软雅黑" w:hint="eastAsia"/>
          <w:color w:val="202020"/>
        </w:rPr>
        <w:t>公告，是指行政机关为制止违法行为或者防止危害后果扩大，对当事人的违法行为依法采取执法行为并需要公众知晓或者配合时使用的文书。</w:t>
      </w:r>
    </w:p>
    <w:p w14:paraId="01D85BBB"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公告应当写明违法当事人的姓名或者名称、地点、违法事实、违反的法律条款、处理依据及时间。公告的纸张规格大小可以根据实际需要确定。</w:t>
      </w:r>
    </w:p>
    <w:p w14:paraId="6443D6CB"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第二十四条 </w:t>
      </w:r>
      <w:r>
        <w:rPr>
          <w:rFonts w:ascii="微软雅黑" w:eastAsia="微软雅黑" w:hAnsi="微软雅黑" w:hint="eastAsia"/>
          <w:color w:val="202020"/>
        </w:rPr>
        <w:t>封条，是为调查取证、保存证据或者防止危害进一步扩大等，对特定生产经营场所、物品等采取临时停止使用,以及禁止销售、转移、损毁、隐匿物品等措施，以及用于采集样品时使用的文书。</w:t>
      </w:r>
    </w:p>
    <w:p w14:paraId="19941CF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封条应加盖行政机关公章。除采集样品填写封样日期外，封条上应当注明日期和期限。封条的规格可以根据实际需要确定。</w:t>
      </w:r>
    </w:p>
    <w:p w14:paraId="6228EE53"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第二十五条 </w:t>
      </w:r>
      <w:r>
        <w:rPr>
          <w:rFonts w:ascii="微软雅黑" w:eastAsia="微软雅黑" w:hAnsi="微软雅黑" w:hint="eastAsia"/>
          <w:color w:val="202020"/>
        </w:rPr>
        <w:t>立案报告，是对通过监督检查、监测，或者通过投诉举报、上级行政机关交办、下级行政机关报请或者有关部门移送等途径发现的违法行为线索，进行</w:t>
      </w:r>
      <w:r>
        <w:rPr>
          <w:rFonts w:ascii="微软雅黑" w:eastAsia="微软雅黑" w:hAnsi="微软雅黑" w:hint="eastAsia"/>
          <w:color w:val="202020"/>
        </w:rPr>
        <w:lastRenderedPageBreak/>
        <w:t>初步核实后，确认有违法事实，属于本机关管辖，并需给予行政处罚的，为了对案件展开调查，向相关负责人提出的书面报告。</w:t>
      </w:r>
    </w:p>
    <w:p w14:paraId="574BCCE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案情摘要应当按照违法事实的性质和程度，由大到小、从重到</w:t>
      </w:r>
      <w:proofErr w:type="gramStart"/>
      <w:r>
        <w:rPr>
          <w:rFonts w:ascii="微软雅黑" w:eastAsia="微软雅黑" w:hAnsi="微软雅黑" w:hint="eastAsia"/>
          <w:color w:val="202020"/>
        </w:rPr>
        <w:t>轻加以</w:t>
      </w:r>
      <w:proofErr w:type="gramEnd"/>
      <w:r>
        <w:rPr>
          <w:rFonts w:ascii="微软雅黑" w:eastAsia="微软雅黑" w:hAnsi="微软雅黑" w:hint="eastAsia"/>
          <w:color w:val="202020"/>
        </w:rPr>
        <w:t>排列，逐个罗列事实并加以简要说明。同时要指明当事人涉嫌违反的具体法律条款。</w:t>
      </w:r>
    </w:p>
    <w:p w14:paraId="11FFAEB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负责人审批意见，是负责人对查处案件的批示，如是否批准立案，对批准立案的应当确定办案人员。</w:t>
      </w:r>
    </w:p>
    <w:p w14:paraId="18DDF68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第二十六条</w:t>
      </w:r>
      <w:r>
        <w:rPr>
          <w:rFonts w:ascii="微软雅黑" w:eastAsia="微软雅黑" w:hAnsi="微软雅黑" w:hint="eastAsia"/>
          <w:color w:val="202020"/>
        </w:rPr>
        <w:t> 案件移送书，是将不属于本单位或者本部门管辖的案件，移送有关单位或者部门处理的文书。</w:t>
      </w:r>
    </w:p>
    <w:p w14:paraId="16464E7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案件移送书应当写明移送案件的受理时间、案由、移送原因、移送的法律依据，并应当将案件材料一并移送，并做好交接记录。</w:t>
      </w:r>
    </w:p>
    <w:p w14:paraId="223BF289"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第二十七条</w:t>
      </w:r>
      <w:r>
        <w:rPr>
          <w:rFonts w:ascii="微软雅黑" w:eastAsia="微软雅黑" w:hAnsi="微软雅黑" w:hint="eastAsia"/>
          <w:color w:val="202020"/>
        </w:rPr>
        <w:t> 现场笔录，是在案件调查、现场监督检查或者采取行政强制措施过程中，对与案件有关的现场环境、场所、设施、物品、人员、生产经营过程等进行现场检查时作的记录。</w:t>
      </w:r>
    </w:p>
    <w:p w14:paraId="70D42F0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检查时间指在现场检查的具体时间，起止时间应当写明：年、月、日、时、分至几时几分。</w:t>
      </w:r>
    </w:p>
    <w:p w14:paraId="171E429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检查地点应当写明现场检查的具体方位和具体地点。</w:t>
      </w:r>
    </w:p>
    <w:p w14:paraId="7EEE7E1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检查内容记录要将现场监督检查涉及案件事实的有关情况准确、客观地记录下来。</w:t>
      </w:r>
    </w:p>
    <w:p w14:paraId="1E68184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第二十八条 </w:t>
      </w:r>
      <w:r>
        <w:rPr>
          <w:rFonts w:ascii="微软雅黑" w:eastAsia="微软雅黑" w:hAnsi="微软雅黑" w:hint="eastAsia"/>
          <w:color w:val="202020"/>
        </w:rPr>
        <w:t>询问笔录，是为查明案件事实，收集证据，而向案件当事人、证人或者其他有关人员调查了解有关情况时作的记录。</w:t>
      </w:r>
    </w:p>
    <w:p w14:paraId="1A77AF5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被询问人的基本情况应当记录姓名、性别、年龄、住址（联系地址）、身份证号、联系电话等。</w:t>
      </w:r>
    </w:p>
    <w:p w14:paraId="7C8F414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询问时间应当写明起止时间。</w:t>
      </w:r>
    </w:p>
    <w:p w14:paraId="1EC8070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询问地点应当写明具体地点。</w:t>
      </w:r>
    </w:p>
    <w:p w14:paraId="7AC16C7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询问内容应当记录被询问人提供的与案件有关的全部情况，包括案件发生的时间、地点、事实经过、因果关系、后果等。</w:t>
      </w:r>
    </w:p>
    <w:p w14:paraId="696B909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应当分别对被询问人进行询问,被询问人是未成年人的,应当有监护人陪同。</w:t>
      </w:r>
    </w:p>
    <w:p w14:paraId="5E96A587"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第二十九条 </w:t>
      </w:r>
      <w:r>
        <w:rPr>
          <w:rFonts w:ascii="微软雅黑" w:eastAsia="微软雅黑" w:hAnsi="微软雅黑" w:hint="eastAsia"/>
          <w:color w:val="202020"/>
        </w:rPr>
        <w:t>限期提供材料通知书，是行政机关为查明案情，要求当事人在一定期限内提供与涉嫌违法行为有关的证据材料时所使用的文书。限期提供材料通知书应写明要求当事人提供的证据材料以及逾期未提供应承担相应的法律责任。</w:t>
      </w:r>
    </w:p>
    <w:p w14:paraId="5459207B"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第三十条 </w:t>
      </w:r>
      <w:r>
        <w:rPr>
          <w:rFonts w:ascii="微软雅黑" w:eastAsia="微软雅黑" w:hAnsi="微软雅黑" w:hint="eastAsia"/>
          <w:color w:val="202020"/>
        </w:rPr>
        <w:t>法律文书送达信息确认书，是行政机关为便于当事人及时收到执法文书，要求受送达人确认送达地址和送达方式的文书。</w:t>
      </w:r>
    </w:p>
    <w:p w14:paraId="7A3FF2DC"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第三十一条 </w:t>
      </w:r>
      <w:r>
        <w:rPr>
          <w:rFonts w:ascii="微软雅黑" w:eastAsia="微软雅黑" w:hAnsi="微软雅黑" w:hint="eastAsia"/>
          <w:color w:val="202020"/>
        </w:rPr>
        <w:t>证据先行登记保存决定书，是在证据可能灭失或者以后难以取得的情况下，对需要保存的证据进行保管的文书。</w:t>
      </w:r>
    </w:p>
    <w:p w14:paraId="0254DC8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决定书应当写明保存方式、保存期限、保存地点以及保存证据的有关内容。</w:t>
      </w:r>
    </w:p>
    <w:p w14:paraId="0C9C210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第三十二条 </w:t>
      </w:r>
      <w:r>
        <w:rPr>
          <w:rFonts w:ascii="微软雅黑" w:eastAsia="微软雅黑" w:hAnsi="微软雅黑" w:hint="eastAsia"/>
          <w:color w:val="202020"/>
        </w:rPr>
        <w:t>证据先行登记保存处理决定书，是行政机关在规定的期限内对被保存的证据</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处理决定的文书。</w:t>
      </w:r>
    </w:p>
    <w:p w14:paraId="5CAAB233"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处理决定书应当写明当事人的姓名或者名称，保存决定书</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的时间、文号及具体处理决定。</w:t>
      </w:r>
    </w:p>
    <w:p w14:paraId="1B833E0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第三十三条 </w:t>
      </w:r>
      <w:r>
        <w:rPr>
          <w:rFonts w:ascii="微软雅黑" w:eastAsia="微软雅黑" w:hAnsi="微软雅黑" w:hint="eastAsia"/>
          <w:color w:val="202020"/>
        </w:rPr>
        <w:t>案件调查终结报告，是案件调查终结后，办案人员就案情事实、对所调查问题性质的认识、对当事人责任的分析、对当事人的处理意见等，以书面形式向领导或者有关部门所做的正式报告。</w:t>
      </w:r>
    </w:p>
    <w:p w14:paraId="14EECE7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承办</w:t>
      </w:r>
      <w:proofErr w:type="gramStart"/>
      <w:r>
        <w:rPr>
          <w:rFonts w:ascii="微软雅黑" w:eastAsia="微软雅黑" w:hAnsi="微软雅黑" w:hint="eastAsia"/>
          <w:color w:val="202020"/>
        </w:rPr>
        <w:t>机构指负主要</w:t>
      </w:r>
      <w:proofErr w:type="gramEnd"/>
      <w:r>
        <w:rPr>
          <w:rFonts w:ascii="微软雅黑" w:eastAsia="微软雅黑" w:hAnsi="微软雅黑" w:hint="eastAsia"/>
          <w:color w:val="202020"/>
        </w:rPr>
        <w:t>责任办理该案件的机构，如科（处、室、队）等。案情及违法事实应当简明扼要，写明案件的经过和结果，违反的法律条款等。</w:t>
      </w:r>
    </w:p>
    <w:p w14:paraId="28724DE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相关证据应当列明已经查证属实的，与案件有关的所有证据。</w:t>
      </w:r>
    </w:p>
    <w:p w14:paraId="44230E4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争议要点，既应当写明当事人与办案人员之间对案情事实的不同观点，也应当表明办案人员之间对案件的不同意见。如无争议则写“无”。</w:t>
      </w:r>
    </w:p>
    <w:p w14:paraId="0FE87E1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处理建议，经过调查，据以立案的违法事实并不存在，应当写明建议终结调查并结案等内容。拟给予行政处罚的，应当写明具体建议及法律依据。</w:t>
      </w:r>
    </w:p>
    <w:p w14:paraId="6539CADC"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负责人意见，应当写明是否同意调查终结的意见。</w:t>
      </w:r>
    </w:p>
    <w:p w14:paraId="752854F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第三十四条 </w:t>
      </w:r>
      <w:r>
        <w:rPr>
          <w:rFonts w:ascii="微软雅黑" w:eastAsia="微软雅黑" w:hAnsi="微软雅黑" w:hint="eastAsia"/>
          <w:color w:val="202020"/>
        </w:rPr>
        <w:t>行政处罚事先告知书，是在</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行政处罚决定前，向当事人告知拟作出的行政处罚内容及事实、理由、依据以及当事人依法应当享有的权利的文书。</w:t>
      </w:r>
    </w:p>
    <w:p w14:paraId="274FF83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事先告知书应当写明拟作出的行政处罚内容及罚款金额、事实、理由、依据，告知当事人享有的陈述和申辩的权利，适用听证的还应当告知当事人享有要求举行听证的权利及法定期限，并注明联系人、联系电话、地址等。</w:t>
      </w:r>
    </w:p>
    <w:p w14:paraId="41F2659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在当事人表明放弃陈述和申辩权或者放弃听证权时，应当请当事人在“当事人意见记录”处写明“放弃陈述和申辩权”或者“放弃听证权”等内容。</w:t>
      </w:r>
    </w:p>
    <w:p w14:paraId="0B31401C"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第三十五条 </w:t>
      </w:r>
      <w:r>
        <w:rPr>
          <w:rFonts w:ascii="微软雅黑" w:eastAsia="微软雅黑" w:hAnsi="微软雅黑" w:hint="eastAsia"/>
          <w:color w:val="202020"/>
        </w:rPr>
        <w:t>陈述和申辩笔录，是对当事人及陈述申辩人陈述事实、理由和申辩内容的记录。</w:t>
      </w:r>
    </w:p>
    <w:p w14:paraId="7B75204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当事人委托陈述申辩人的，应当写明受委托的陈述申辩人的姓名、性别、职务、现在工作单位等。受委托的陈述申辩人应当出具当事人的委托书。</w:t>
      </w:r>
    </w:p>
    <w:p w14:paraId="57632C4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应当写明陈述和申辩的地点和时间。</w:t>
      </w:r>
    </w:p>
    <w:p w14:paraId="12A6E23C"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应当尽可能记录陈述申辩人原话，不能记录原话的，记录应当真实反映陈述申辩人原意。</w:t>
      </w:r>
    </w:p>
    <w:p w14:paraId="2741D8FC"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第三十六条 </w:t>
      </w:r>
      <w:r>
        <w:rPr>
          <w:rFonts w:ascii="微软雅黑" w:eastAsia="微软雅黑" w:hAnsi="微软雅黑" w:hint="eastAsia"/>
          <w:color w:val="202020"/>
        </w:rPr>
        <w:t>陈述和申辩复核意见书，是对当事人提出的事实、理由和证据进行复核的记录。</w:t>
      </w:r>
    </w:p>
    <w:p w14:paraId="242E167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复核意见书应当写明陈述申辩人的姓名、陈述和申辩的理由和证据，以及复核人和承办机构的意见。当事人收到催告书后所进行的陈述和申辩的复核，应当在复核意见书中写明卫生健康行政机关的意见。</w:t>
      </w:r>
    </w:p>
    <w:p w14:paraId="171F86D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第三十七条</w:t>
      </w:r>
      <w:r>
        <w:rPr>
          <w:rFonts w:ascii="微软雅黑" w:eastAsia="微软雅黑" w:hAnsi="微软雅黑" w:hint="eastAsia"/>
          <w:color w:val="202020"/>
        </w:rPr>
        <w:t> 行政处罚听证通知书，是经有权要求举行听证的当事人提出，行政机关决定举行听证时向当事人发出的书面通知。</w:t>
      </w:r>
    </w:p>
    <w:p w14:paraId="2F843913"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通知书应当写明举行听证的时间、地点、听证方式、申请回避的权利、听证机关的联系方式等。</w:t>
      </w:r>
    </w:p>
    <w:p w14:paraId="7E8E615E"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第三十八条 </w:t>
      </w:r>
      <w:r>
        <w:rPr>
          <w:rFonts w:ascii="微软雅黑" w:eastAsia="微软雅黑" w:hAnsi="微软雅黑" w:hint="eastAsia"/>
          <w:color w:val="202020"/>
        </w:rPr>
        <w:t>听证笔录，是对听证过程和内容的记录。</w:t>
      </w:r>
    </w:p>
    <w:p w14:paraId="373A60B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当事人委托代理人的，应当写明代理人的姓名、性别、职务、现在工作单位等。委托代理人应当出具当事人的委托书。</w:t>
      </w:r>
    </w:p>
    <w:p w14:paraId="559C1E6C"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笔录应当写明办案人员、听证主持人、书记员、听证方式、听证地点、听证时间、案由等内容。</w:t>
      </w:r>
    </w:p>
    <w:p w14:paraId="6147F0F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记录应当写明办案人员提出的事实、证据和行政处罚建议，当事人陈述、申辩等内容。</w:t>
      </w:r>
    </w:p>
    <w:p w14:paraId="1FF35A5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所有参加听证的人员都应当在每页笔录上签名并注明日期。</w:t>
      </w:r>
    </w:p>
    <w:p w14:paraId="55DDA10F"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第三十九条 </w:t>
      </w:r>
      <w:r>
        <w:rPr>
          <w:rFonts w:ascii="微软雅黑" w:eastAsia="微软雅黑" w:hAnsi="微软雅黑" w:hint="eastAsia"/>
          <w:color w:val="202020"/>
        </w:rPr>
        <w:t>听证意见书，是听证结束后，就听证情况及听证人员对该案件的意见，以书面形式向负责人或者有关部门所作的正式报告。</w:t>
      </w:r>
    </w:p>
    <w:p w14:paraId="3278940B"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对当事人和办案人员的陈述应当抓住要点，归纳概括。听证人员意见是评议后对案件认定的违法事实是否清楚、证据是否确凿和适用法律是否正确、处罚裁量是否合理等提出的意见。</w:t>
      </w:r>
    </w:p>
    <w:p w14:paraId="56D42A6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负责人意见是负责人依据听证笔录</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的具体批示。这里的负责人，可以是行政机关的负责人，也可以是经授权的有关主管科（处、室、队）负责人。</w:t>
      </w:r>
    </w:p>
    <w:p w14:paraId="246CC642"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第四十条 </w:t>
      </w:r>
      <w:r>
        <w:rPr>
          <w:rFonts w:ascii="微软雅黑" w:eastAsia="微软雅黑" w:hAnsi="微软雅黑" w:hint="eastAsia"/>
          <w:color w:val="202020"/>
        </w:rPr>
        <w:t>重大行政处罚决定法制审核意见书，是行政机关负责人</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重大行政处罚决定之前，从事行政处罚决定法制审核的人员进行法制审核所使用的文书。</w:t>
      </w:r>
    </w:p>
    <w:p w14:paraId="7BFE94F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重大行政处罚决定法制审核意见书应当包括违法事实及处理意见、法制机构审核意见及建议。</w:t>
      </w:r>
    </w:p>
    <w:p w14:paraId="70A58A0A"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第四十一条</w:t>
      </w:r>
      <w:r>
        <w:rPr>
          <w:rFonts w:ascii="微软雅黑" w:eastAsia="微软雅黑" w:hAnsi="微软雅黑" w:hint="eastAsia"/>
          <w:color w:val="202020"/>
        </w:rPr>
        <w:t> 行政处罚决定书，是行政机关对确有应受行政处罚的违法行为，根据情节轻重及具体情况</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行政处罚决定的文书。</w:t>
      </w:r>
    </w:p>
    <w:p w14:paraId="19AD986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决定书应当写明违法行为发生的时间、地点、 人物等要素，写明违反法律、法规、规章的事实和证据，行政处罚的种类和依据，</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行政处罚决定的行政机关名称和</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决定的日期。决定书还应当写明罚款缴往单位和缴纳期限，申请行政复议和提起行政诉讼的途径和期限等。</w:t>
      </w:r>
    </w:p>
    <w:p w14:paraId="33BC30C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行政处罚决定书必须盖有</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行政处罚决定的行政机关的印章。</w:t>
      </w:r>
    </w:p>
    <w:p w14:paraId="55A85D8B"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第四十二条 </w:t>
      </w:r>
      <w:r>
        <w:rPr>
          <w:rFonts w:ascii="微软雅黑" w:eastAsia="微软雅黑" w:hAnsi="微软雅黑" w:hint="eastAsia"/>
          <w:color w:val="202020"/>
        </w:rPr>
        <w:t>当场行政处罚决定书，是对案情简单、违法事实清楚、证据确凿的违法案件依法当场</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处罚决定的文书。</w:t>
      </w:r>
    </w:p>
    <w:p w14:paraId="3719851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当场行政处罚决定书的填写与普通程序行政处罚决定书的要求基本相同。</w:t>
      </w:r>
    </w:p>
    <w:p w14:paraId="6914D81E"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第四十三条 </w:t>
      </w:r>
      <w:r>
        <w:rPr>
          <w:rFonts w:ascii="微软雅黑" w:eastAsia="微软雅黑" w:hAnsi="微软雅黑" w:hint="eastAsia"/>
          <w:color w:val="202020"/>
        </w:rPr>
        <w:t>送达回执，是将行政执法文书送交有关当事人后</w:t>
      </w:r>
      <w:proofErr w:type="gramStart"/>
      <w:r>
        <w:rPr>
          <w:rFonts w:ascii="微软雅黑" w:eastAsia="微软雅黑" w:hAnsi="微软雅黑" w:hint="eastAsia"/>
          <w:color w:val="202020"/>
        </w:rPr>
        <w:t>证明受</w:t>
      </w:r>
      <w:proofErr w:type="gramEnd"/>
      <w:r>
        <w:rPr>
          <w:rFonts w:ascii="微软雅黑" w:eastAsia="微软雅黑" w:hAnsi="微软雅黑" w:hint="eastAsia"/>
          <w:color w:val="202020"/>
        </w:rPr>
        <w:t>送达人已收到的凭证。</w:t>
      </w:r>
    </w:p>
    <w:p w14:paraId="5FB3D947"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送达回执用于直接送达、邮寄送达、留置送达、电子送达等方式。</w:t>
      </w:r>
    </w:p>
    <w:p w14:paraId="11A3659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送达回执应当写明受送达人、送达机关、送达文件名称及文号、送达地点等内容。</w:t>
      </w:r>
    </w:p>
    <w:p w14:paraId="447D21C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在直接送达时当事人拒绝签收而采用留置送达方式的，应当在备注</w:t>
      </w:r>
      <w:proofErr w:type="gramStart"/>
      <w:r>
        <w:rPr>
          <w:rFonts w:ascii="微软雅黑" w:eastAsia="微软雅黑" w:hAnsi="微软雅黑" w:hint="eastAsia"/>
          <w:color w:val="202020"/>
        </w:rPr>
        <w:t>栏说明</w:t>
      </w:r>
      <w:proofErr w:type="gramEnd"/>
      <w:r>
        <w:rPr>
          <w:rFonts w:ascii="微软雅黑" w:eastAsia="微软雅黑" w:hAnsi="微软雅黑" w:hint="eastAsia"/>
          <w:color w:val="202020"/>
        </w:rPr>
        <w:t>有关情况，并记录留置送达的过程。</w:t>
      </w:r>
    </w:p>
    <w:p w14:paraId="0F86AE69"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第四十四条 </w:t>
      </w:r>
      <w:r>
        <w:rPr>
          <w:rFonts w:ascii="微软雅黑" w:eastAsia="微软雅黑" w:hAnsi="微软雅黑" w:hint="eastAsia"/>
          <w:color w:val="202020"/>
        </w:rPr>
        <w:t>延期/分期缴纳罚没款通知书，是经当事人书面申请，行政机关负责人批准同意后，书面告知当事人延期/分期缴纳罚没款事宜时所使用的文书。通知书中应当载明暂缓或者分期缴纳罚没款的具体时限以及不履行义务的法律后果。</w:t>
      </w:r>
    </w:p>
    <w:p w14:paraId="3CDDAC11"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第四十五条</w:t>
      </w:r>
      <w:r>
        <w:rPr>
          <w:rFonts w:ascii="微软雅黑" w:eastAsia="微软雅黑" w:hAnsi="微软雅黑" w:hint="eastAsia"/>
          <w:color w:val="202020"/>
        </w:rPr>
        <w:t> 催告书，是行政机关</w:t>
      </w:r>
      <w:proofErr w:type="gramStart"/>
      <w:r>
        <w:rPr>
          <w:rFonts w:ascii="微软雅黑" w:eastAsia="微软雅黑" w:hAnsi="微软雅黑" w:hint="eastAsia"/>
          <w:color w:val="202020"/>
        </w:rPr>
        <w:t>作出</w:t>
      </w:r>
      <w:proofErr w:type="gramEnd"/>
      <w:r>
        <w:rPr>
          <w:rFonts w:ascii="微软雅黑" w:eastAsia="微软雅黑" w:hAnsi="微软雅黑" w:hint="eastAsia"/>
          <w:color w:val="202020"/>
        </w:rPr>
        <w:t>申请强制执行决定前，事先催告当事人履行法定义务时发出的文书。</w:t>
      </w:r>
    </w:p>
    <w:p w14:paraId="1F1ECB5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催告书应当写明当事人履行法定义务的期限、方式，涉及金钱给付的，应当注明明确的金额和给付方式，并告知当事人依法享有陈述和申辩的权利。</w:t>
      </w:r>
    </w:p>
    <w:p w14:paraId="7B6A8C4F"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第四十六条 </w:t>
      </w:r>
      <w:r>
        <w:rPr>
          <w:rFonts w:ascii="微软雅黑" w:eastAsia="微软雅黑" w:hAnsi="微软雅黑" w:hint="eastAsia"/>
          <w:color w:val="202020"/>
        </w:rPr>
        <w:t>强制执行申请书，是当事人在法定期限内不申请行政复议或者提起行政诉讼，又不履行行政决定的，经依法催告仍未履行，行政机关申请人民法院强制执行时提交给人民法院的书面申请。</w:t>
      </w:r>
    </w:p>
    <w:p w14:paraId="4195A12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申请书中的“（）”内填写行政决定的名称、文号或者编号。申请书应当写明当事人基本情况及申请执行的内容，由行政机关负责人签名，加盖行政机关印章并注明日期，也可以按照当地人民法院要求的格式制作。</w:t>
      </w:r>
    </w:p>
    <w:p w14:paraId="2453D86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第四十七条 </w:t>
      </w:r>
      <w:r>
        <w:rPr>
          <w:rFonts w:ascii="微软雅黑" w:eastAsia="微软雅黑" w:hAnsi="微软雅黑" w:hint="eastAsia"/>
          <w:color w:val="202020"/>
        </w:rPr>
        <w:t>结案报告，是对立案调查的案件，在行政处罚决定履行或者执行后，或者不作行政处罚的案件，报请负责人批准结案的文书。</w:t>
      </w:r>
    </w:p>
    <w:p w14:paraId="3FA146E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结案报告应当填写当事人、立案日期、案由等，给予行政处罚的应当写明行政处罚决定书文号、执行方式、执行日期、执行结果（如未执行或者未完</w:t>
      </w:r>
      <w:proofErr w:type="gramStart"/>
      <w:r>
        <w:rPr>
          <w:rFonts w:ascii="微软雅黑" w:eastAsia="微软雅黑" w:hAnsi="微软雅黑" w:hint="eastAsia"/>
          <w:color w:val="202020"/>
        </w:rPr>
        <w:t>全执行</w:t>
      </w:r>
      <w:proofErr w:type="gramEnd"/>
      <w:r>
        <w:rPr>
          <w:rFonts w:ascii="微软雅黑" w:eastAsia="微软雅黑" w:hAnsi="微软雅黑" w:hint="eastAsia"/>
          <w:color w:val="202020"/>
        </w:rPr>
        <w:t>的需说明原因）等内容，不予行政处罚的应当写明理由。</w:t>
      </w:r>
    </w:p>
    <w:p w14:paraId="2929C5D7"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第四十八条 </w:t>
      </w:r>
      <w:r>
        <w:rPr>
          <w:rFonts w:ascii="微软雅黑" w:eastAsia="微软雅黑" w:hAnsi="微软雅黑" w:hint="eastAsia"/>
          <w:color w:val="202020"/>
        </w:rPr>
        <w:t>续页，是接在各类行政执法文书后面完成相关记录内容时所使用的文书。</w:t>
      </w:r>
    </w:p>
    <w:p w14:paraId="42978C3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使用续</w:t>
      </w:r>
      <w:proofErr w:type="gramStart"/>
      <w:r>
        <w:rPr>
          <w:rFonts w:ascii="微软雅黑" w:eastAsia="微软雅黑" w:hAnsi="微软雅黑" w:hint="eastAsia"/>
          <w:color w:val="202020"/>
        </w:rPr>
        <w:t>页应当</w:t>
      </w:r>
      <w:proofErr w:type="gramEnd"/>
      <w:r>
        <w:rPr>
          <w:rFonts w:ascii="微软雅黑" w:eastAsia="微软雅黑" w:hAnsi="微软雅黑" w:hint="eastAsia"/>
          <w:color w:val="202020"/>
        </w:rPr>
        <w:t>写明所接执法文书的名称，有相关人员签字并注明页码、日期。</w:t>
      </w:r>
    </w:p>
    <w:p w14:paraId="4AEBF6C5"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第四十九条 </w:t>
      </w:r>
      <w:r>
        <w:rPr>
          <w:rFonts w:ascii="微软雅黑" w:eastAsia="微软雅黑" w:hAnsi="微软雅黑" w:hint="eastAsia"/>
          <w:color w:val="202020"/>
        </w:rPr>
        <w:t>行政执法建议书，是行政机关为促进依法履职、规范执法，在日常监督检查和稽查过程中，结合执法办案，建议下级行政机关及其委托的卫生</w:t>
      </w:r>
      <w:proofErr w:type="gramStart"/>
      <w:r>
        <w:rPr>
          <w:rFonts w:ascii="微软雅黑" w:eastAsia="微软雅黑" w:hAnsi="微软雅黑" w:hint="eastAsia"/>
          <w:color w:val="202020"/>
        </w:rPr>
        <w:t>健康监督</w:t>
      </w:r>
      <w:proofErr w:type="gramEnd"/>
      <w:r>
        <w:rPr>
          <w:rFonts w:ascii="微软雅黑" w:eastAsia="微软雅黑" w:hAnsi="微软雅黑" w:hint="eastAsia"/>
          <w:color w:val="202020"/>
        </w:rPr>
        <w:t>机构完善制度和工作机制，加强内部管理，改进工作、消除隐患，促进执法监管水平提高时发出的文书。</w:t>
      </w:r>
    </w:p>
    <w:p w14:paraId="5966D20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行政执法建议书应当写明提出建议的起因，在日常监督检查和案件调查处理过程中发现的需要重视和解决的问题，对问题产生原因的分析，并依据法律法规及有关规定提出的具体建议、意见，以及其他需要说明的事项。</w:t>
      </w:r>
    </w:p>
    <w:p w14:paraId="58938CE3"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第三章 执法文书管理</w:t>
      </w:r>
    </w:p>
    <w:p w14:paraId="2F90CB77"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第五十条</w:t>
      </w:r>
      <w:r>
        <w:rPr>
          <w:rFonts w:ascii="微软雅黑" w:eastAsia="微软雅黑" w:hAnsi="微软雅黑" w:hint="eastAsia"/>
          <w:color w:val="202020"/>
        </w:rPr>
        <w:t> 各级行政机关应当加强对行政执法文书的管理，制定相应的管理制度，落实专人负责管理。</w:t>
      </w:r>
    </w:p>
    <w:p w14:paraId="60DA566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为提高工作效率，现场使用的执法文书可以提前加盖印章，并做好领用登记管理。</w:t>
      </w:r>
    </w:p>
    <w:p w14:paraId="33312314"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第五十一条 </w:t>
      </w:r>
      <w:r>
        <w:rPr>
          <w:rFonts w:ascii="微软雅黑" w:eastAsia="微软雅黑" w:hAnsi="微软雅黑" w:hint="eastAsia"/>
          <w:color w:val="202020"/>
        </w:rPr>
        <w:t>行政执法案卷材料应当按照一案一卷形式进行装订，每卷顺序按照有关材料形成的时间先后顺序排列，或者按照处罚决定书在前、其他有关材料按照形成时间先后顺序排列。</w:t>
      </w:r>
    </w:p>
    <w:p w14:paraId="7F1B8D8E"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第四章 附则</w:t>
      </w:r>
    </w:p>
    <w:p w14:paraId="5F1271E0"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lastRenderedPageBreak/>
        <w:t>第五十二条 </w:t>
      </w:r>
      <w:r>
        <w:rPr>
          <w:rFonts w:ascii="微软雅黑" w:eastAsia="微软雅黑" w:hAnsi="微软雅黑" w:hint="eastAsia"/>
          <w:color w:val="202020"/>
        </w:rPr>
        <w:t>本规范由国家卫生健康委员会负责解释。</w:t>
      </w:r>
    </w:p>
    <w:p w14:paraId="61A790CA" w14:textId="77777777" w:rsidR="00CE231B" w:rsidRDefault="00CE231B" w:rsidP="00CE231B">
      <w:pPr>
        <w:pStyle w:val="a3"/>
        <w:spacing w:before="0" w:beforeAutospacing="0" w:after="0" w:afterAutospacing="0" w:line="436" w:lineRule="atLeast"/>
        <w:rPr>
          <w:rFonts w:ascii="微软雅黑" w:eastAsia="微软雅黑" w:hAnsi="微软雅黑" w:hint="eastAsia"/>
          <w:color w:val="202020"/>
        </w:rPr>
      </w:pPr>
      <w:r>
        <w:rPr>
          <w:rStyle w:val="a4"/>
          <w:rFonts w:ascii="微软雅黑" w:eastAsia="微软雅黑" w:hAnsi="微软雅黑" w:hint="eastAsia"/>
          <w:color w:val="333333"/>
        </w:rPr>
        <w:t>第五十三条</w:t>
      </w:r>
      <w:r>
        <w:rPr>
          <w:rFonts w:ascii="微软雅黑" w:eastAsia="微软雅黑" w:hAnsi="微软雅黑" w:hint="eastAsia"/>
          <w:color w:val="202020"/>
        </w:rPr>
        <w:t> 本规范自20 年 月 日起施行。2002年12月18日卫生部发布的《卫生行政执法文书规范》同时废止。实施卫生行政许可，按照《卫生行政许可管理办法》及卫生健康行政许可文书样本执行。</w:t>
      </w:r>
    </w:p>
    <w:p w14:paraId="746A7D3B" w14:textId="77777777" w:rsidR="00CE231B" w:rsidRDefault="00CE231B" w:rsidP="00CE231B">
      <w:pPr>
        <w:pStyle w:val="a3"/>
        <w:spacing w:before="0" w:beforeAutospacing="0" w:after="0" w:afterAutospacing="0" w:line="436" w:lineRule="atLeast"/>
        <w:jc w:val="center"/>
        <w:rPr>
          <w:rFonts w:ascii="微软雅黑" w:eastAsia="微软雅黑" w:hAnsi="微软雅黑" w:hint="eastAsia"/>
          <w:color w:val="202020"/>
        </w:rPr>
      </w:pPr>
      <w:r>
        <w:rPr>
          <w:rStyle w:val="a4"/>
          <w:rFonts w:ascii="微软雅黑" w:eastAsia="微软雅黑" w:hAnsi="微软雅黑" w:hint="eastAsia"/>
          <w:color w:val="333333"/>
        </w:rPr>
        <w:t>卫生健康行政执法文书目录</w:t>
      </w:r>
    </w:p>
    <w:p w14:paraId="3453373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1.产品样品采样记录</w:t>
      </w:r>
    </w:p>
    <w:p w14:paraId="77794F4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2.非产品样品采样记录</w:t>
      </w:r>
    </w:p>
    <w:p w14:paraId="03E2658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3.产品样品确认告知书</w:t>
      </w:r>
    </w:p>
    <w:p w14:paraId="1F5CC72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4.检验结果告知书</w:t>
      </w:r>
    </w:p>
    <w:p w14:paraId="454FF87B"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5.监督意见书</w:t>
      </w:r>
    </w:p>
    <w:p w14:paraId="27FC691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6.行政执法事项审批表</w:t>
      </w:r>
    </w:p>
    <w:p w14:paraId="1957779C"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7.行政控制决定书</w:t>
      </w:r>
    </w:p>
    <w:p w14:paraId="4B946B9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8.解除行政控制决定书</w:t>
      </w:r>
    </w:p>
    <w:p w14:paraId="17F1855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9.查封、扣押决定书</w:t>
      </w:r>
    </w:p>
    <w:p w14:paraId="2794EE2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10.查封、扣押处理决定书</w:t>
      </w:r>
    </w:p>
    <w:p w14:paraId="1781846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11.查封、扣押延期通知书</w:t>
      </w:r>
    </w:p>
    <w:p w14:paraId="5EC0E6F0"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12.物品清单</w:t>
      </w:r>
    </w:p>
    <w:p w14:paraId="296873A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13.公告</w:t>
      </w:r>
    </w:p>
    <w:p w14:paraId="2728DDA7"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14.封条</w:t>
      </w:r>
    </w:p>
    <w:p w14:paraId="65CC144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15.立案报告</w:t>
      </w:r>
    </w:p>
    <w:p w14:paraId="6133B67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16.案件移送书</w:t>
      </w:r>
    </w:p>
    <w:p w14:paraId="17ED0EE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17.协助调查函</w:t>
      </w:r>
    </w:p>
    <w:p w14:paraId="7C60F1C1"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18.现场笔录</w:t>
      </w:r>
    </w:p>
    <w:p w14:paraId="2E276A6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19.询问笔录</w:t>
      </w:r>
    </w:p>
    <w:p w14:paraId="3929E3D6"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20.限期提供材料通知书</w:t>
      </w:r>
    </w:p>
    <w:p w14:paraId="17164A3B"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21.法律文书送达信息确认书</w:t>
      </w:r>
    </w:p>
    <w:p w14:paraId="4D2A89D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22.证据先行登记保存决定书</w:t>
      </w:r>
    </w:p>
    <w:p w14:paraId="73F6866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23.证据先行登记保存处理决定书</w:t>
      </w:r>
    </w:p>
    <w:p w14:paraId="538EBE9C"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24.案件调查终结报告</w:t>
      </w:r>
    </w:p>
    <w:p w14:paraId="2633527F"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25.行政处罚事先告知书</w:t>
      </w:r>
    </w:p>
    <w:p w14:paraId="19F0943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26.陈述和申辩笔录</w:t>
      </w:r>
    </w:p>
    <w:p w14:paraId="3D73307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27.陈述和申辩复核意见书</w:t>
      </w:r>
    </w:p>
    <w:p w14:paraId="071806D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28.行政处罚听证通知书</w:t>
      </w:r>
    </w:p>
    <w:p w14:paraId="3FCA9735"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29.听证笔录</w:t>
      </w:r>
    </w:p>
    <w:p w14:paraId="5A179BD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30.听证意见书</w:t>
      </w:r>
    </w:p>
    <w:p w14:paraId="56C1EA1B"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31.重大行政处罚决定法制审核意见书</w:t>
      </w:r>
    </w:p>
    <w:p w14:paraId="683F02B2"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32.行政处罚决定书</w:t>
      </w:r>
    </w:p>
    <w:p w14:paraId="54574E4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lastRenderedPageBreak/>
        <w:t>33.当场行政处罚决定书</w:t>
      </w:r>
    </w:p>
    <w:p w14:paraId="34634EBD"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34.送达回执</w:t>
      </w:r>
    </w:p>
    <w:p w14:paraId="60D08B0A"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35.延期/分期缴纳罚没款通知书</w:t>
      </w:r>
    </w:p>
    <w:p w14:paraId="3B72EB6E"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36.催告书</w:t>
      </w:r>
    </w:p>
    <w:p w14:paraId="42BEAAE9"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37.强制执行申请书</w:t>
      </w:r>
    </w:p>
    <w:p w14:paraId="27AF7F3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38.结案报告</w:t>
      </w:r>
    </w:p>
    <w:p w14:paraId="12B04144"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39.续页</w:t>
      </w:r>
    </w:p>
    <w:p w14:paraId="0EC490D8" w14:textId="77777777"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hint="eastAsia"/>
          <w:color w:val="202020"/>
        </w:rPr>
        <w:t>40.行政执法建议书</w:t>
      </w:r>
    </w:p>
    <w:p w14:paraId="25F5585B" w14:textId="0EFEE88D" w:rsidR="00CE231B" w:rsidRDefault="00CE231B" w:rsidP="00CE231B">
      <w:pPr>
        <w:pStyle w:val="a3"/>
        <w:spacing w:before="300" w:beforeAutospacing="0" w:after="0" w:afterAutospacing="0" w:line="436" w:lineRule="atLeast"/>
        <w:rPr>
          <w:rFonts w:ascii="微软雅黑" w:eastAsia="微软雅黑" w:hAnsi="微软雅黑" w:hint="eastAsia"/>
          <w:color w:val="202020"/>
        </w:rPr>
      </w:pPr>
      <w:r>
        <w:rPr>
          <w:rFonts w:ascii="微软雅黑" w:eastAsia="微软雅黑" w:hAnsi="微软雅黑"/>
          <w:noProof/>
          <w:color w:val="202020"/>
        </w:rPr>
        <w:lastRenderedPageBreak/>
        <w:drawing>
          <wp:inline distT="0" distB="0" distL="0" distR="0" wp14:anchorId="3F9AC64C" wp14:editId="5F20F90A">
            <wp:extent cx="5486400" cy="3860800"/>
            <wp:effectExtent l="0" t="0" r="0" b="6350"/>
            <wp:docPr id="1863662523" name="图片 4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8608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2FB62468" wp14:editId="794FC77E">
            <wp:extent cx="5486400" cy="7721600"/>
            <wp:effectExtent l="0" t="0" r="0" b="0"/>
            <wp:docPr id="1115178140" name="图片 3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799F789A" wp14:editId="6A5C0D80">
            <wp:extent cx="5486400" cy="7721600"/>
            <wp:effectExtent l="0" t="0" r="0" b="0"/>
            <wp:docPr id="1168349469" name="图片 3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75E2AF71" wp14:editId="52C3D63F">
            <wp:extent cx="5486400" cy="7721600"/>
            <wp:effectExtent l="0" t="0" r="0" b="0"/>
            <wp:docPr id="1123253454" name="图片 3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47179DD" wp14:editId="3246DE48">
            <wp:extent cx="5486400" cy="7721600"/>
            <wp:effectExtent l="0" t="0" r="0" b="0"/>
            <wp:docPr id="1892517175" name="图片 3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605CD7D8" wp14:editId="1F973006">
            <wp:extent cx="5486400" cy="7721600"/>
            <wp:effectExtent l="0" t="0" r="0" b="0"/>
            <wp:docPr id="2035741629" name="图片 3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64D15B06" wp14:editId="45512B68">
            <wp:extent cx="5486400" cy="7721600"/>
            <wp:effectExtent l="0" t="0" r="0" b="0"/>
            <wp:docPr id="2032378248" name="图片 3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E9DE20D" wp14:editId="5EC91B70">
            <wp:extent cx="5486400" cy="7721600"/>
            <wp:effectExtent l="0" t="0" r="0" b="0"/>
            <wp:docPr id="1603368329" name="图片 3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9F5E3A4" wp14:editId="231F7EA8">
            <wp:extent cx="5486400" cy="7721600"/>
            <wp:effectExtent l="0" t="0" r="0" b="0"/>
            <wp:docPr id="1827583838" name="图片 3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092AD908" wp14:editId="46849990">
            <wp:extent cx="5486400" cy="7721600"/>
            <wp:effectExtent l="0" t="0" r="0" b="0"/>
            <wp:docPr id="541244073" name="图片 3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BD4C233" wp14:editId="50EB43A5">
            <wp:extent cx="5486400" cy="7721600"/>
            <wp:effectExtent l="0" t="0" r="0" b="0"/>
            <wp:docPr id="2053498285" name="图片 3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3C2B0481" wp14:editId="2B3C7262">
            <wp:extent cx="5486400" cy="7721600"/>
            <wp:effectExtent l="0" t="0" r="0" b="0"/>
            <wp:docPr id="531159745" name="图片 2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5958AADE" wp14:editId="466B2297">
            <wp:extent cx="5486400" cy="7721600"/>
            <wp:effectExtent l="0" t="0" r="0" b="0"/>
            <wp:docPr id="729372663" name="图片 2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399FF6F7" wp14:editId="66A7173C">
            <wp:extent cx="5486400" cy="7757160"/>
            <wp:effectExtent l="0" t="0" r="0" b="0"/>
            <wp:docPr id="332539706" name="图片 2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75716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8D24649" wp14:editId="6F09FCCE">
            <wp:extent cx="5486400" cy="7721600"/>
            <wp:effectExtent l="0" t="0" r="0" b="0"/>
            <wp:docPr id="1618887939" name="图片 2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5DF2F38" wp14:editId="16EB4285">
            <wp:extent cx="5486400" cy="7721600"/>
            <wp:effectExtent l="0" t="0" r="0" b="0"/>
            <wp:docPr id="1146674848" name="图片 2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E2342E0" wp14:editId="58020B07">
            <wp:extent cx="5486400" cy="7721600"/>
            <wp:effectExtent l="0" t="0" r="0" b="0"/>
            <wp:docPr id="158702193" name="图片 2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9C94272" wp14:editId="6EDCBAC3">
            <wp:extent cx="5486400" cy="7757160"/>
            <wp:effectExtent l="0" t="0" r="0" b="0"/>
            <wp:docPr id="2102919141" name="图片 2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75716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906FCA9" wp14:editId="30EA5E15">
            <wp:extent cx="5486400" cy="7721600"/>
            <wp:effectExtent l="0" t="0" r="0" b="0"/>
            <wp:docPr id="1170039304" name="图片 2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2C17B2CB" wp14:editId="2C66BDBA">
            <wp:extent cx="5486400" cy="7721600"/>
            <wp:effectExtent l="0" t="0" r="0" b="0"/>
            <wp:docPr id="1790587848" name="图片 2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2432CF98" wp14:editId="20915080">
            <wp:extent cx="5486400" cy="7757160"/>
            <wp:effectExtent l="0" t="0" r="0" b="0"/>
            <wp:docPr id="1055229149" name="图片 2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75716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C52B663" wp14:editId="49A10431">
            <wp:extent cx="5486400" cy="7721600"/>
            <wp:effectExtent l="0" t="0" r="0" b="0"/>
            <wp:docPr id="1364306653" name="图片 1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C2BC856" wp14:editId="1D47B0A8">
            <wp:extent cx="5486400" cy="7721600"/>
            <wp:effectExtent l="0" t="0" r="0" b="0"/>
            <wp:docPr id="2122239799" name="图片 1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56B152F3" wp14:editId="24774F20">
            <wp:extent cx="5486400" cy="7721600"/>
            <wp:effectExtent l="0" t="0" r="0" b="0"/>
            <wp:docPr id="1164374889" name="图片 1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6BC80798" wp14:editId="23E0CB77">
            <wp:extent cx="5486400" cy="7721600"/>
            <wp:effectExtent l="0" t="0" r="0" b="0"/>
            <wp:docPr id="1966852006" name="图片 1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73D851D2" wp14:editId="6B79B17D">
            <wp:extent cx="5486400" cy="7721600"/>
            <wp:effectExtent l="0" t="0" r="0" b="0"/>
            <wp:docPr id="1460631896" name="图片 1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4CC7CC04" wp14:editId="4C58558D">
            <wp:extent cx="5486400" cy="7721600"/>
            <wp:effectExtent l="0" t="0" r="0" b="0"/>
            <wp:docPr id="122818299" name="图片 1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27EA907E" wp14:editId="1FDD1DFD">
            <wp:extent cx="5486400" cy="7940040"/>
            <wp:effectExtent l="0" t="0" r="0" b="3810"/>
            <wp:docPr id="981900964" name="图片 1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94004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6CB5FFD9" wp14:editId="31B536D4">
            <wp:extent cx="5486400" cy="7721600"/>
            <wp:effectExtent l="0" t="0" r="0" b="0"/>
            <wp:docPr id="622459716" name="图片 1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D250C03" wp14:editId="61E933D3">
            <wp:extent cx="5486400" cy="7721600"/>
            <wp:effectExtent l="0" t="0" r="0" b="0"/>
            <wp:docPr id="1707909205" name="图片 1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314AA363" wp14:editId="0B852A9A">
            <wp:extent cx="5486400" cy="7721600"/>
            <wp:effectExtent l="0" t="0" r="0" b="0"/>
            <wp:docPr id="1102762"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76ACDB5" wp14:editId="6E6D57E7">
            <wp:extent cx="5486400" cy="7721600"/>
            <wp:effectExtent l="0" t="0" r="0" b="0"/>
            <wp:docPr id="75998819" name="图片 9"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776249D4" wp14:editId="017DCB32">
            <wp:extent cx="5486400" cy="7721600"/>
            <wp:effectExtent l="0" t="0" r="0" b="0"/>
            <wp:docPr id="2078152883" name="图片 8"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10B7493F" wp14:editId="649E6A7A">
            <wp:extent cx="5486400" cy="7721600"/>
            <wp:effectExtent l="0" t="0" r="0" b="0"/>
            <wp:docPr id="653601438" name="图片 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6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6281B9D8" wp14:editId="1566C924">
            <wp:extent cx="5486400" cy="7721600"/>
            <wp:effectExtent l="0" t="0" r="0" b="0"/>
            <wp:docPr id="758659330" name="图片 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25C38A02" wp14:editId="0ACB136A">
            <wp:extent cx="5486400" cy="7721600"/>
            <wp:effectExtent l="0" t="0" r="0" b="0"/>
            <wp:docPr id="684961152" name="图片 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59922FD7" wp14:editId="6D1585F0">
            <wp:extent cx="5486400" cy="7757160"/>
            <wp:effectExtent l="0" t="0" r="0" b="0"/>
            <wp:docPr id="1241347886" name="图片 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75716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58421F06" wp14:editId="3F463C02">
            <wp:extent cx="5486400" cy="7721600"/>
            <wp:effectExtent l="0" t="0" r="0" b="0"/>
            <wp:docPr id="164584954" name="图片 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7BAD13CD" wp14:editId="0EB4FB23">
            <wp:extent cx="5486400" cy="7721600"/>
            <wp:effectExtent l="0" t="0" r="0" b="0"/>
            <wp:docPr id="1482949169" name="图片 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r>
        <w:rPr>
          <w:rFonts w:ascii="微软雅黑" w:eastAsia="微软雅黑" w:hAnsi="微软雅黑"/>
          <w:noProof/>
          <w:color w:val="202020"/>
        </w:rPr>
        <w:lastRenderedPageBreak/>
        <w:drawing>
          <wp:inline distT="0" distB="0" distL="0" distR="0" wp14:anchorId="39DD8B85" wp14:editId="6EE5F409">
            <wp:extent cx="5486400" cy="7721600"/>
            <wp:effectExtent l="0" t="0" r="0" b="0"/>
            <wp:docPr id="422324719" name="图片 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721600"/>
                    </a:xfrm>
                    <a:prstGeom prst="rect">
                      <a:avLst/>
                    </a:prstGeom>
                    <a:noFill/>
                    <a:ln>
                      <a:noFill/>
                    </a:ln>
                  </pic:spPr>
                </pic:pic>
              </a:graphicData>
            </a:graphic>
          </wp:inline>
        </w:drawing>
      </w:r>
    </w:p>
    <w:p w14:paraId="7D678224" w14:textId="77777777" w:rsidR="00F80D1C" w:rsidRDefault="00F80D1C"/>
    <w:sectPr w:rsidR="00F80D1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1C"/>
    <w:rsid w:val="00CE231B"/>
    <w:rsid w:val="00F80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F75FA6-8129-4308-B255-C31EB9921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23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4">
    <w:name w:val="Strong"/>
    <w:basedOn w:val="a0"/>
    <w:uiPriority w:val="22"/>
    <w:qFormat/>
    <w:rsid w:val="00CE23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1219</Words>
  <Characters>6952</Characters>
  <Application>Microsoft Office Word</Application>
  <DocSecurity>0</DocSecurity>
  <Lines>57</Lines>
  <Paragraphs>16</Paragraphs>
  <ScaleCrop>false</ScaleCrop>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ZHAO</dc:creator>
  <cp:keywords/>
  <dc:description/>
  <cp:lastModifiedBy>Lily ZHAO</cp:lastModifiedBy>
  <cp:revision>2</cp:revision>
  <dcterms:created xsi:type="dcterms:W3CDTF">2023-08-04T03:55:00Z</dcterms:created>
  <dcterms:modified xsi:type="dcterms:W3CDTF">2023-08-04T03:56:00Z</dcterms:modified>
</cp:coreProperties>
</file>