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244" w:rightChars="116"/>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缺血修饰白蛋白测定试剂盒注册审查指导</w:t>
      </w:r>
    </w:p>
    <w:p>
      <w:pPr>
        <w:spacing w:line="520" w:lineRule="exact"/>
        <w:ind w:right="244" w:rightChars="116"/>
        <w:jc w:val="center"/>
        <w:rPr>
          <w:rFonts w:hint="default" w:ascii="Times New Roman" w:hAnsi="Times New Roman" w:eastAsia="方正小标宋简体" w:cs="Times New Roman"/>
          <w:sz w:val="44"/>
          <w:szCs w:val="44"/>
          <w:lang w:eastAsia="zh-CN"/>
        </w:rPr>
      </w:pPr>
      <w:bookmarkStart w:id="2" w:name="_GoBack"/>
      <w:bookmarkEnd w:id="2"/>
      <w:r>
        <w:rPr>
          <w:rFonts w:hint="default" w:ascii="Times New Roman" w:hAnsi="Times New Roman" w:eastAsia="方正小标宋简体" w:cs="Times New Roman"/>
          <w:sz w:val="44"/>
          <w:szCs w:val="44"/>
        </w:rPr>
        <w:t>原则</w:t>
      </w:r>
      <w:r>
        <w:rPr>
          <w:rFonts w:hint="default" w:ascii="Times New Roman" w:hAnsi="Times New Roman" w:eastAsia="方正小标宋简体" w:cs="Times New Roman"/>
          <w:sz w:val="44"/>
          <w:szCs w:val="44"/>
          <w:lang w:eastAsia="zh-CN"/>
        </w:rPr>
        <w:t>（20</w:t>
      </w:r>
      <w:r>
        <w:rPr>
          <w:rFonts w:hint="default" w:ascii="Times New Roman" w:hAnsi="Times New Roman" w:eastAsia="方正小标宋简体" w:cs="Times New Roman"/>
          <w:sz w:val="44"/>
          <w:szCs w:val="44"/>
          <w:lang w:val="en-US" w:eastAsia="zh-CN"/>
        </w:rPr>
        <w:t>23</w:t>
      </w:r>
      <w:r>
        <w:rPr>
          <w:rFonts w:hint="default" w:ascii="Times New Roman" w:hAnsi="Times New Roman" w:eastAsia="方正小标宋简体" w:cs="Times New Roman"/>
          <w:sz w:val="44"/>
          <w:szCs w:val="44"/>
          <w:lang w:eastAsia="zh-CN"/>
        </w:rPr>
        <w:t>年修订版）</w:t>
      </w:r>
    </w:p>
    <w:p>
      <w:pPr>
        <w:spacing w:line="520" w:lineRule="exact"/>
        <w:ind w:right="244" w:rightChars="116"/>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eastAsia="zh-CN"/>
        </w:rPr>
        <w:t>征求意见稿</w:t>
      </w:r>
      <w:r>
        <w:rPr>
          <w:rFonts w:hint="default" w:ascii="Times New Roman" w:hAnsi="Times New Roman" w:eastAsia="方正小标宋简体" w:cs="Times New Roman"/>
          <w:sz w:val="44"/>
          <w:szCs w:val="44"/>
        </w:rPr>
        <w:t>）</w:t>
      </w:r>
    </w:p>
    <w:p>
      <w:pPr>
        <w:spacing w:line="520" w:lineRule="exact"/>
        <w:ind w:right="244" w:rightChars="116"/>
        <w:jc w:val="center"/>
        <w:rPr>
          <w:rFonts w:hint="default" w:ascii="Times New Roman" w:hAnsi="Times New Roman" w:eastAsia="方正小标宋简体" w:cs="Times New Roman"/>
          <w:sz w:val="44"/>
          <w:szCs w:val="44"/>
        </w:rPr>
      </w:pPr>
    </w:p>
    <w:p>
      <w:pPr>
        <w:spacing w:line="58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本指导原则旨在指导注册申请人对</w:t>
      </w:r>
      <w:r>
        <w:rPr>
          <w:rFonts w:hint="default" w:ascii="Times New Roman" w:hAnsi="Times New Roman" w:eastAsia="仿宋_GB2312" w:cs="Times New Roman"/>
          <w:sz w:val="32"/>
          <w:szCs w:val="32"/>
        </w:rPr>
        <w:t>缺血修饰白蛋白测定试剂盒</w:t>
      </w:r>
      <w:r>
        <w:rPr>
          <w:rFonts w:hint="default" w:ascii="Times New Roman" w:hAnsi="Times New Roman" w:eastAsia="仿宋_GB2312" w:cs="Times New Roman"/>
          <w:kern w:val="0"/>
          <w:sz w:val="32"/>
          <w:szCs w:val="32"/>
        </w:rPr>
        <w:t>注册申报资料的准备及撰写，同时也为技术审评部门审评注册申报资料提供参考。</w:t>
      </w:r>
    </w:p>
    <w:p>
      <w:pPr>
        <w:spacing w:line="58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本指导原则是对</w:t>
      </w:r>
      <w:r>
        <w:rPr>
          <w:rFonts w:hint="default" w:ascii="Times New Roman" w:hAnsi="Times New Roman" w:eastAsia="仿宋_GB2312" w:cs="Times New Roman"/>
          <w:sz w:val="32"/>
          <w:szCs w:val="32"/>
        </w:rPr>
        <w:t>缺血修饰白蛋白测定试剂</w:t>
      </w:r>
      <w:r>
        <w:rPr>
          <w:rFonts w:hint="default" w:ascii="Times New Roman" w:hAnsi="Times New Roman" w:eastAsia="仿宋_GB2312" w:cs="Times New Roman"/>
          <w:kern w:val="0"/>
          <w:sz w:val="32"/>
          <w:szCs w:val="32"/>
        </w:rPr>
        <w:t>的一般要求，申请人应依据产品的具体特性确定其中内容是否适用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若不适用，需具体阐述理由及相应的科学依据，并依据产品的具体特性对注册申报资料的内容进行充实和细化。</w:t>
      </w:r>
    </w:p>
    <w:p>
      <w:pPr>
        <w:spacing w:line="58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本指导原则是供</w:t>
      </w:r>
      <w:r>
        <w:rPr>
          <w:rFonts w:hint="default" w:ascii="Times New Roman" w:hAnsi="Times New Roman" w:eastAsia="仿宋_GB2312" w:cs="Times New Roman"/>
          <w:kern w:val="0"/>
          <w:sz w:val="32"/>
          <w:szCs w:val="32"/>
          <w:lang w:eastAsia="zh-CN"/>
        </w:rPr>
        <w:t>注册</w:t>
      </w:r>
      <w:r>
        <w:rPr>
          <w:rFonts w:hint="default" w:ascii="Times New Roman" w:hAnsi="Times New Roman" w:eastAsia="仿宋_GB2312" w:cs="Times New Roman"/>
          <w:kern w:val="0"/>
          <w:sz w:val="32"/>
          <w:szCs w:val="32"/>
        </w:rPr>
        <w:t>申请人和审查人员使用的指导文件，</w:t>
      </w:r>
      <w:r>
        <w:rPr>
          <w:rFonts w:hint="default" w:ascii="Times New Roman" w:hAnsi="Times New Roman" w:eastAsia="仿宋_GB2312" w:cs="Times New Roman"/>
          <w:kern w:val="0"/>
          <w:sz w:val="32"/>
          <w:szCs w:val="32"/>
          <w:lang w:val="en-US" w:eastAsia="zh-CN"/>
        </w:rPr>
        <w:t>但</w:t>
      </w:r>
      <w:r>
        <w:rPr>
          <w:rFonts w:hint="default" w:ascii="Times New Roman" w:hAnsi="Times New Roman" w:eastAsia="仿宋_GB2312" w:cs="Times New Roman"/>
          <w:kern w:val="0"/>
          <w:sz w:val="32"/>
          <w:szCs w:val="32"/>
        </w:rPr>
        <w:t>不</w:t>
      </w:r>
      <w:r>
        <w:rPr>
          <w:rFonts w:hint="default" w:ascii="Times New Roman" w:hAnsi="Times New Roman" w:eastAsia="仿宋_GB2312" w:cs="Times New Roman"/>
          <w:color w:val="000000"/>
          <w:sz w:val="32"/>
          <w:szCs w:val="32"/>
        </w:rPr>
        <w:t>包括审评审批所</w:t>
      </w:r>
      <w:r>
        <w:rPr>
          <w:rFonts w:hint="default" w:ascii="Times New Roman" w:hAnsi="Times New Roman" w:eastAsia="仿宋_GB2312" w:cs="Times New Roman"/>
          <w:kern w:val="0"/>
          <w:sz w:val="32"/>
          <w:szCs w:val="32"/>
        </w:rPr>
        <w:t>涉及</w:t>
      </w:r>
      <w:r>
        <w:rPr>
          <w:rFonts w:hint="default"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rPr>
        <w:t>行政事项，亦不作为法规强制执行，</w:t>
      </w:r>
      <w:r>
        <w:rPr>
          <w:rFonts w:hint="default" w:ascii="Times New Roman" w:hAnsi="Times New Roman" w:eastAsia="仿宋_GB2312" w:cs="Times New Roman"/>
          <w:color w:val="000000"/>
          <w:sz w:val="32"/>
          <w:szCs w:val="32"/>
        </w:rPr>
        <w:t>应在遵循相关法规的前提下使用本指导原则。</w:t>
      </w:r>
      <w:r>
        <w:rPr>
          <w:rFonts w:hint="default" w:ascii="Times New Roman" w:hAnsi="Times New Roman" w:eastAsia="仿宋_GB2312" w:cs="Times New Roman"/>
          <w:kern w:val="0"/>
          <w:sz w:val="32"/>
          <w:szCs w:val="32"/>
        </w:rPr>
        <w:t>如</w:t>
      </w:r>
      <w:r>
        <w:rPr>
          <w:rFonts w:hint="default" w:ascii="Times New Roman" w:hAnsi="Times New Roman" w:eastAsia="仿宋_GB2312" w:cs="Times New Roman"/>
          <w:kern w:val="0"/>
          <w:sz w:val="32"/>
          <w:szCs w:val="32"/>
          <w:lang w:val="en-US" w:eastAsia="zh-CN"/>
        </w:rPr>
        <w:t>果</w:t>
      </w:r>
      <w:r>
        <w:rPr>
          <w:rFonts w:hint="default" w:ascii="Times New Roman" w:hAnsi="Times New Roman" w:eastAsia="仿宋_GB2312" w:cs="Times New Roman"/>
          <w:kern w:val="0"/>
          <w:sz w:val="32"/>
          <w:szCs w:val="32"/>
        </w:rPr>
        <w:t>有能够满足</w:t>
      </w:r>
      <w:r>
        <w:rPr>
          <w:rFonts w:hint="default" w:ascii="Times New Roman" w:hAnsi="Times New Roman" w:eastAsia="仿宋_GB2312" w:cs="Times New Roman"/>
          <w:kern w:val="0"/>
          <w:sz w:val="32"/>
          <w:szCs w:val="32"/>
          <w:lang w:val="en-US" w:eastAsia="zh-CN"/>
        </w:rPr>
        <w:t>相关</w:t>
      </w:r>
      <w:r>
        <w:rPr>
          <w:rFonts w:hint="default" w:ascii="Times New Roman" w:hAnsi="Times New Roman" w:eastAsia="仿宋_GB2312" w:cs="Times New Roman"/>
          <w:kern w:val="0"/>
          <w:sz w:val="32"/>
          <w:szCs w:val="32"/>
        </w:rPr>
        <w:t>法规要求的其他方法，也可以采用，但</w:t>
      </w:r>
      <w:r>
        <w:rPr>
          <w:rFonts w:hint="default" w:ascii="Times New Roman" w:hAnsi="Times New Roman" w:eastAsia="仿宋_GB2312" w:cs="Times New Roman"/>
          <w:kern w:val="0"/>
          <w:sz w:val="32"/>
          <w:szCs w:val="32"/>
          <w:lang w:val="en-US" w:eastAsia="zh-CN"/>
        </w:rPr>
        <w:t>是需要</w:t>
      </w:r>
      <w:r>
        <w:rPr>
          <w:rFonts w:hint="default" w:ascii="Times New Roman" w:hAnsi="Times New Roman" w:eastAsia="仿宋_GB2312" w:cs="Times New Roman"/>
          <w:kern w:val="0"/>
          <w:sz w:val="32"/>
          <w:szCs w:val="32"/>
        </w:rPr>
        <w:t>提供详细的研究资料和验证资料。</w:t>
      </w:r>
    </w:p>
    <w:p>
      <w:pPr>
        <w:spacing w:line="58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rPr>
          <w:rFonts w:hint="default" w:ascii="Times New Roman" w:hAnsi="Times New Roman" w:eastAsia="黑体" w:cs="Times New Roman"/>
          <w:bCs/>
          <w:color w:val="000000"/>
          <w:sz w:val="32"/>
          <w:szCs w:val="30"/>
        </w:rPr>
      </w:pPr>
      <w:r>
        <w:rPr>
          <w:rFonts w:hint="default" w:ascii="Times New Roman" w:hAnsi="Times New Roman" w:eastAsia="黑体" w:cs="Times New Roman"/>
          <w:bCs/>
          <w:color w:val="000000"/>
          <w:sz w:val="32"/>
          <w:szCs w:val="30"/>
        </w:rPr>
        <w:t>一、适用范围</w:t>
      </w:r>
    </w:p>
    <w:p>
      <w:pPr>
        <w:spacing w:line="58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本指导原则主要针对利用白蛋白钴结合试验（Albumin Cobalt Binding Test, 简称ACB法)间接测算结果的试剂，从方法学考虑，本文主要指采用比色法，利用全自动、半自动生化分析仪或分光光度计，在医学实验室对人体血清中缺血修饰白蛋白进行定量</w:t>
      </w:r>
      <w:r>
        <w:rPr>
          <w:rFonts w:hint="default" w:ascii="Times New Roman" w:hAnsi="Times New Roman" w:eastAsia="仿宋_GB2312" w:cs="Times New Roman"/>
          <w:kern w:val="0"/>
          <w:sz w:val="32"/>
          <w:szCs w:val="32"/>
          <w:lang w:eastAsia="zh-CN"/>
        </w:rPr>
        <w:t>测定</w:t>
      </w:r>
      <w:r>
        <w:rPr>
          <w:rFonts w:hint="default" w:ascii="Times New Roman" w:hAnsi="Times New Roman" w:eastAsia="仿宋_GB2312" w:cs="Times New Roman"/>
          <w:kern w:val="0"/>
          <w:sz w:val="32"/>
          <w:szCs w:val="32"/>
        </w:rPr>
        <w:t>的临床化学体外诊断试剂。不包括用于单独销售的校准品和质控品。基于其他方法学的缺血修饰白蛋白测定试剂可参照本指导原则，但应根据产品的具体特性确定其中内容是否适用，若不适用，应另行选择适用自身方法学特性的研究步骤及方法。</w:t>
      </w:r>
    </w:p>
    <w:p>
      <w:pPr>
        <w:numPr>
          <w:ilvl w:val="0"/>
          <w:numId w:val="1"/>
        </w:numPr>
        <w:spacing w:line="520" w:lineRule="exact"/>
        <w:ind w:firstLine="640"/>
        <w:rPr>
          <w:rFonts w:hint="default" w:ascii="Times New Roman" w:hAnsi="Times New Roman" w:eastAsia="黑体" w:cs="Times New Roman"/>
          <w:bCs/>
          <w:color w:val="000000"/>
          <w:sz w:val="32"/>
          <w:szCs w:val="30"/>
          <w:lang w:val="en-US" w:eastAsia="zh-CN"/>
        </w:rPr>
      </w:pPr>
      <w:r>
        <w:rPr>
          <w:rFonts w:hint="default" w:ascii="Times New Roman" w:hAnsi="Times New Roman" w:eastAsia="黑体" w:cs="Times New Roman"/>
          <w:bCs/>
          <w:color w:val="000000"/>
          <w:sz w:val="32"/>
          <w:szCs w:val="30"/>
        </w:rPr>
        <w:t>注册</w:t>
      </w:r>
      <w:r>
        <w:rPr>
          <w:rFonts w:hint="default" w:ascii="Times New Roman" w:hAnsi="Times New Roman" w:eastAsia="黑体" w:cs="Times New Roman"/>
          <w:bCs/>
          <w:color w:val="000000"/>
          <w:sz w:val="32"/>
          <w:szCs w:val="30"/>
          <w:lang w:val="en-US" w:eastAsia="zh-CN"/>
        </w:rPr>
        <w:t>审查要点</w:t>
      </w:r>
    </w:p>
    <w:p>
      <w:pPr>
        <w:numPr>
          <w:ilvl w:val="0"/>
          <w:numId w:val="2"/>
        </w:numPr>
        <w:spacing w:line="520" w:lineRule="exact"/>
        <w:ind w:firstLine="640"/>
        <w:rPr>
          <w:rFonts w:hint="default" w:ascii="Times New Roman" w:hAnsi="Times New Roman" w:eastAsia="楷体_GB2312" w:cs="Times New Roman"/>
          <w:bCs/>
          <w:sz w:val="32"/>
          <w:szCs w:val="30"/>
          <w:lang w:val="en-US" w:eastAsia="zh-CN"/>
        </w:rPr>
      </w:pPr>
      <w:r>
        <w:rPr>
          <w:rFonts w:hint="default" w:ascii="Times New Roman" w:hAnsi="Times New Roman" w:eastAsia="楷体_GB2312" w:cs="Times New Roman"/>
          <w:bCs/>
          <w:sz w:val="32"/>
          <w:szCs w:val="30"/>
          <w:lang w:val="en-US" w:eastAsia="zh-CN"/>
        </w:rPr>
        <w:t>监管信息</w:t>
      </w:r>
    </w:p>
    <w:p>
      <w:pPr>
        <w:spacing w:line="52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sz w:val="32"/>
          <w:szCs w:val="32"/>
        </w:rPr>
        <w:t>应按《体外诊断试剂注册申报资料要求及说明》的要求提交申请表、术语缩写词列表、产品列表、关联文件、申报前与监管机构的联系情况和沟通记录、符合性声明以及其它相关信息。</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1.产品名称</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产品名称由三部分组成。第一部分：被测物质的名称，如</w:t>
      </w:r>
      <w:r>
        <w:rPr>
          <w:rFonts w:hint="default" w:ascii="Times New Roman" w:hAnsi="Times New Roman" w:eastAsia="仿宋_GB2312" w:cs="Times New Roman"/>
          <w:kern w:val="0"/>
          <w:sz w:val="32"/>
          <w:szCs w:val="32"/>
        </w:rPr>
        <w:t>缺血修饰白蛋白</w:t>
      </w:r>
      <w:r>
        <w:rPr>
          <w:rFonts w:hint="default" w:ascii="Times New Roman" w:hAnsi="Times New Roman" w:eastAsia="仿宋_GB2312" w:cs="Times New Roman"/>
          <w:sz w:val="32"/>
          <w:szCs w:val="32"/>
        </w:rPr>
        <w:t>；第二部分：用途，如测定试剂盒；第三部分：方法或者原理，如</w:t>
      </w:r>
      <w:r>
        <w:rPr>
          <w:rFonts w:hint="default" w:ascii="Times New Roman" w:hAnsi="Times New Roman" w:eastAsia="仿宋_GB2312" w:cs="Times New Roman"/>
          <w:sz w:val="32"/>
          <w:szCs w:val="32"/>
          <w:lang w:val="en-US" w:eastAsia="zh-CN"/>
        </w:rPr>
        <w:t>比色法</w:t>
      </w:r>
      <w:r>
        <w:rPr>
          <w:rFonts w:hint="default" w:ascii="Times New Roman" w:hAnsi="Times New Roman" w:eastAsia="仿宋_GB2312" w:cs="Times New Roman"/>
          <w:sz w:val="32"/>
          <w:szCs w:val="32"/>
        </w:rPr>
        <w:t>等，本部分应当在括号中列出。</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2.分类依据</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根据《体外诊断试剂分类子目录》，</w:t>
      </w:r>
      <w:r>
        <w:rPr>
          <w:rFonts w:hint="default" w:ascii="Times New Roman" w:hAnsi="Times New Roman" w:eastAsia="仿宋_GB2312" w:cs="Times New Roman"/>
          <w:bCs/>
          <w:sz w:val="32"/>
          <w:szCs w:val="32"/>
        </w:rPr>
        <w:t>缺血修饰白蛋白</w:t>
      </w:r>
      <w:r>
        <w:rPr>
          <w:rFonts w:hint="default" w:ascii="Times New Roman" w:hAnsi="Times New Roman" w:eastAsia="仿宋_GB2312" w:cs="Times New Roman"/>
          <w:bCs/>
          <w:sz w:val="32"/>
          <w:szCs w:val="32"/>
          <w:lang w:eastAsia="zh-CN"/>
        </w:rPr>
        <w:t>测定</w:t>
      </w:r>
      <w:r>
        <w:rPr>
          <w:rFonts w:hint="default" w:ascii="Times New Roman" w:hAnsi="Times New Roman" w:eastAsia="仿宋_GB2312" w:cs="Times New Roman"/>
          <w:bCs/>
          <w:sz w:val="32"/>
          <w:szCs w:val="32"/>
        </w:rPr>
        <w:t>试剂产品类别为：II-</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用于蛋白质检测的试剂，管理类别为第</w:t>
      </w:r>
      <w:r>
        <w:rPr>
          <w:rFonts w:hint="default" w:ascii="Times New Roman" w:hAnsi="Times New Roman" w:eastAsia="仿宋_GB2312" w:cs="Times New Roman"/>
          <w:bCs/>
          <w:sz w:val="32"/>
        </w:rPr>
        <w:t>二类</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分类编码为6840。</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3.注册单元划分</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符合《医疗器械注册单元划分指导原则》中体外诊断试剂注册单元划分相关要求。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w:t>
      </w:r>
      <w:r>
        <w:rPr>
          <w:rFonts w:hint="default" w:ascii="Times New Roman" w:hAnsi="Times New Roman" w:eastAsia="仿宋_GB2312" w:cs="Times New Roman"/>
          <w:sz w:val="32"/>
          <w:szCs w:val="32"/>
          <w:lang w:eastAsia="zh-CN"/>
        </w:rPr>
        <w:t>测定</w:t>
      </w:r>
      <w:r>
        <w:rPr>
          <w:rFonts w:hint="default" w:ascii="Times New Roman" w:hAnsi="Times New Roman" w:eastAsia="仿宋_GB2312" w:cs="Times New Roman"/>
          <w:sz w:val="32"/>
          <w:szCs w:val="32"/>
        </w:rPr>
        <w:t>试剂合并申请注册，也可以单独申请注册。</w:t>
      </w:r>
    </w:p>
    <w:p>
      <w:pPr>
        <w:overflowPunct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4.产品列表</w:t>
      </w:r>
    </w:p>
    <w:p>
      <w:pPr>
        <w:overflowPunct w:val="0"/>
        <w:spacing w:line="520" w:lineRule="exact"/>
        <w:ind w:firstLine="636"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1"/>
          <w:sz w:val="32"/>
          <w:szCs w:val="32"/>
        </w:rPr>
        <w:t>以表格形式列出拟申报产品的包装规格、主要组成成分，以及每个包装规格的标识（如货号、器械唯一标识等）和描述说明。</w:t>
      </w:r>
    </w:p>
    <w:p>
      <w:pPr>
        <w:overflowPunct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5.关联文件</w:t>
      </w:r>
    </w:p>
    <w:p>
      <w:pPr>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应由境内（外）申请人提供相关证明材料和文件、主文档授权信（如适用）。授权信中应当包括引用主文档的申请人信息、产品名称、已备案的主文档编号、授权引用的主文档页码/章节信息等内容。</w:t>
      </w:r>
    </w:p>
    <w:p>
      <w:pPr>
        <w:overflowPunct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6.既往沟通记录</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在产品申报前，如果申请人与监管机构针对申报产品以会议形式进行了沟通，或者申报产品与既往注册申报相关。应当提供相关内容（如适用）。</w:t>
      </w:r>
    </w:p>
    <w:p>
      <w:pPr>
        <w:overflowPunct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如不适用，应当明确声明申报产品没有既往申报和/或申报前沟通。</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7.符合性声明</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申请人应当声明下列内容：</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7.1申报产品符合《体外诊断试剂注册与备案管理办法》和相关法规的要求。</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7.2申报产品符合《体外诊断试剂分类规则》、《体外诊断试剂分类子目录》有关分类的要求。</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7.3申报产品符合现行国家标准、行业标准，并提供符合标准的清单。</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7.4申报产品符合国家标准品的清单。</w:t>
      </w:r>
    </w:p>
    <w:p>
      <w:pPr>
        <w:pStyle w:val="2"/>
        <w:rPr>
          <w:rFonts w:hint="default" w:ascii="Times New Roman" w:hAnsi="Times New Roman" w:cs="Times New Roman"/>
        </w:rPr>
      </w:pPr>
      <w:r>
        <w:rPr>
          <w:rFonts w:hint="default" w:ascii="Times New Roman" w:hAnsi="Times New Roman" w:eastAsia="仿宋_GB2312" w:cs="Times New Roman"/>
          <w:kern w:val="0"/>
          <w:sz w:val="32"/>
          <w:szCs w:val="32"/>
        </w:rPr>
        <w:t>7.5保证所提交资料的真实性（境内产品由申请人出具，进口产品由申请人和代理人分别出具）。</w:t>
      </w:r>
    </w:p>
    <w:p>
      <w:pPr>
        <w:spacing w:line="520" w:lineRule="exact"/>
        <w:ind w:firstLine="640"/>
        <w:rPr>
          <w:rFonts w:hint="default" w:ascii="Times New Roman" w:hAnsi="Times New Roman" w:eastAsia="楷体_GB2312" w:cs="Times New Roman"/>
          <w:bCs/>
          <w:sz w:val="32"/>
          <w:szCs w:val="30"/>
          <w:lang w:val="en-US" w:eastAsia="zh-CN"/>
        </w:rPr>
      </w:pPr>
      <w:r>
        <w:rPr>
          <w:rFonts w:hint="default" w:ascii="Times New Roman" w:hAnsi="Times New Roman" w:eastAsia="楷体_GB2312" w:cs="Times New Roman"/>
          <w:bCs/>
          <w:sz w:val="32"/>
          <w:szCs w:val="30"/>
          <w:lang w:val="en-US" w:eastAsia="zh-CN"/>
        </w:rPr>
        <w:t>（二）综述资料</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综述资料主要包括章节目录、概述、产品描述、预期用途、申报产品上市历史、其他需说明的内容等。</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1.章节目录</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应包括本章的所有标题和小标题，注明目录中各内容的页码。</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2.概述</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应描述缺血修饰白蛋白</w:t>
      </w:r>
      <w:r>
        <w:rPr>
          <w:rFonts w:hint="default" w:ascii="Times New Roman" w:hAnsi="Times New Roman" w:eastAsia="仿宋_GB2312" w:cs="Times New Roman"/>
          <w:bCs/>
          <w:sz w:val="32"/>
          <w:szCs w:val="32"/>
          <w:lang w:eastAsia="zh-CN"/>
        </w:rPr>
        <w:t>测定</w:t>
      </w:r>
      <w:r>
        <w:rPr>
          <w:rFonts w:hint="default" w:ascii="Times New Roman" w:hAnsi="Times New Roman" w:eastAsia="仿宋_GB2312" w:cs="Times New Roman"/>
          <w:bCs/>
          <w:sz w:val="32"/>
          <w:szCs w:val="32"/>
        </w:rPr>
        <w:t>试剂名称及其确定依据；该产品属于II-</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用于蛋白质检测的试剂，管理类别为第二类，分类编码为6840；描述申报产品预期用途；描述有关申报产品的背景信息概述或特别细节（如适用），如申报产品的历史概述、历次提交的信息，与其他经批准上市产品的关系等。</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.产品描述</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.1产品综述</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明确产品所采用的技术原理，产品组成，原材料的来源及制备方法，主要生产工艺，检验方法，质控品的制备方法及赋值情况等。如产品包含校准品，应提供校准品的制备方法及溯源情况。技术原理包括反应原理，方法学，测量方法，信号处理方法，数据获取和解读方式，分析前处理步骤等。</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描述产品主要研究结果的总结和评价，包括分析性能评估、参考区间、稳定性以及临床评价等。</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描述不同包装规格之间的差异。</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描述产品中使用的生物材料或衍生物（如适用），包括生物学来源（如人、动物、病原体、重组或发酵产物）和组织来源（如血液）的描述。人源性材料须对有关传染病（HIV、HBV、HCV等）病原体</w:t>
      </w:r>
      <w:r>
        <w:rPr>
          <w:rFonts w:hint="default" w:ascii="Times New Roman" w:hAnsi="Times New Roman" w:eastAsia="仿宋_GB2312" w:cs="Times New Roman"/>
          <w:color w:val="000000"/>
          <w:sz w:val="32"/>
          <w:szCs w:val="32"/>
          <w:lang w:eastAsia="zh-CN"/>
        </w:rPr>
        <w:t>检测</w:t>
      </w:r>
      <w:r>
        <w:rPr>
          <w:rFonts w:hint="default" w:ascii="Times New Roman" w:hAnsi="Times New Roman" w:eastAsia="仿宋_GB2312" w:cs="Times New Roman"/>
          <w:color w:val="000000"/>
          <w:sz w:val="32"/>
          <w:szCs w:val="32"/>
        </w:rPr>
        <w:t>予以说明；其他动物源及微生物来源的材料，应当说明其在产品运输、使用过程中对使用者和环境是安全的，并提供相关的证明文件。</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3.2包装描述</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提供有关产品包装信息，包括包装形状和材料等。</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3.3研发历程</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阐述申请注册产品的研发背景和目的。如有参考的同类产品或前代产品，应当提供同类产品和/或前代产品的信息，并说明选择其作为研发参考的原因。</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与同类和/或前代产品的比较</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应着重从预期用途、主要组成成分、溯源情况、主要性能指标、参考区间等方面写明拟申报产品与境内、外已上市同类产品和/或前代产品之间的主要区别</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.预期用途</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.1预期用途</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说明产品用于体外定量测定人体样本中</w:t>
      </w:r>
      <w:r>
        <w:rPr>
          <w:rFonts w:hint="default" w:ascii="Times New Roman" w:hAnsi="Times New Roman" w:eastAsia="仿宋_GB2312" w:cs="Times New Roman"/>
          <w:kern w:val="0"/>
          <w:sz w:val="32"/>
          <w:szCs w:val="32"/>
        </w:rPr>
        <w:t>缺血修饰白蛋白</w:t>
      </w:r>
      <w:r>
        <w:rPr>
          <w:rFonts w:hint="default" w:ascii="Times New Roman" w:hAnsi="Times New Roman" w:eastAsia="仿宋_GB2312" w:cs="Times New Roman"/>
          <w:bCs/>
          <w:sz w:val="32"/>
          <w:szCs w:val="32"/>
        </w:rPr>
        <w:t>的含量，应明确具体的样本类型，适用的样本类型应结合实际的分析性能研究及临床研究情况进行确认。</w:t>
      </w:r>
    </w:p>
    <w:p>
      <w:pPr>
        <w:spacing w:line="580" w:lineRule="exact"/>
        <w:ind w:firstLine="64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Cs/>
          <w:sz w:val="32"/>
          <w:szCs w:val="32"/>
        </w:rPr>
        <w:t>临床适应证：</w:t>
      </w:r>
      <w:r>
        <w:rPr>
          <w:rFonts w:hint="default" w:ascii="Times New Roman" w:hAnsi="Times New Roman" w:eastAsia="仿宋_GB2312" w:cs="Times New Roman"/>
          <w:color w:val="auto"/>
          <w:kern w:val="0"/>
          <w:sz w:val="32"/>
          <w:szCs w:val="32"/>
        </w:rPr>
        <w:t>缺血修饰白蛋白（Ischemia Modified Albumin，IMA）测定可用于急性冠状动脉综合征（Acute Coronary Syndrome，ACS）的排除诊断及危险性分层。心肌缺血时,IMA可在数分钟内升高,缺血缓解后6—12h左右回到基础水平，故IMA的升高被认为是心肌缺血的早期诊断指标之一，亦可对判断预后提供参考。</w:t>
      </w:r>
    </w:p>
    <w:p>
      <w:pPr>
        <w:spacing w:line="58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此外，非冠脉缺血（如耐力运动后24—48h）、脑缺血（卒中）、某些肿瘤、急性感染、终末期肾病、肝硬化等情况可出现IMA升高。</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临床适应证应鉴别疾病等的发生率、易感人群、分析物的详细介绍及与临床适应证的关系，相关的临床或实验室诊断方法。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适用人群：目标患者/人群的信息，对于适用人群包含亚群、儿童或新生儿的情况，应进行明确。</w:t>
      </w:r>
    </w:p>
    <w:p>
      <w:pPr>
        <w:pStyle w:val="2"/>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预期使用者：专业或非专业。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预期使用环境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提供申报产品预期使用的地点及可能会影响其安全性和有效性的环境条件（如温度、湿度、海拔）等。</w:t>
      </w:r>
    </w:p>
    <w:p>
      <w:pPr>
        <w:spacing w:line="52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8"/>
        </w:rPr>
        <w:t>5.提供</w:t>
      </w:r>
      <w:r>
        <w:rPr>
          <w:rFonts w:hint="default" w:ascii="Times New Roman" w:hAnsi="Times New Roman" w:eastAsia="仿宋_GB2312" w:cs="Times New Roman"/>
          <w:sz w:val="32"/>
          <w:szCs w:val="22"/>
        </w:rPr>
        <w:t>申报产品上市历史情况（如适用）。</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28"/>
        </w:rPr>
        <w:t>6.</w:t>
      </w:r>
      <w:r>
        <w:rPr>
          <w:rFonts w:hint="default" w:ascii="Times New Roman" w:hAnsi="Times New Roman" w:eastAsia="仿宋_GB2312" w:cs="Times New Roman"/>
          <w:kern w:val="0"/>
          <w:sz w:val="32"/>
          <w:szCs w:val="32"/>
        </w:rPr>
        <w:t>其他需说明的内容</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除申报产品外，还需提供</w:t>
      </w:r>
      <w:r>
        <w:rPr>
          <w:rFonts w:hint="default" w:ascii="Times New Roman" w:hAnsi="Times New Roman" w:eastAsia="仿宋_GB2312" w:cs="Times New Roman"/>
          <w:sz w:val="32"/>
          <w:szCs w:val="32"/>
          <w:lang w:eastAsia="zh-CN"/>
        </w:rPr>
        <w:t>测定</w:t>
      </w:r>
      <w:r>
        <w:rPr>
          <w:rFonts w:hint="default" w:ascii="Times New Roman" w:hAnsi="Times New Roman" w:eastAsia="仿宋_GB2312" w:cs="Times New Roman"/>
          <w:sz w:val="32"/>
          <w:szCs w:val="32"/>
        </w:rPr>
        <w:t>系统的其他组成部分，如样本处理用试剂、适用仪器、质控品、校准品、独立软件等的基本信息，并说明其在</w:t>
      </w:r>
      <w:r>
        <w:rPr>
          <w:rFonts w:hint="default" w:ascii="Times New Roman" w:hAnsi="Times New Roman" w:eastAsia="仿宋_GB2312" w:cs="Times New Roman"/>
          <w:sz w:val="32"/>
          <w:szCs w:val="32"/>
          <w:lang w:eastAsia="zh-CN"/>
        </w:rPr>
        <w:t>测定</w:t>
      </w:r>
      <w:r>
        <w:rPr>
          <w:rFonts w:hint="default" w:ascii="Times New Roman" w:hAnsi="Times New Roman" w:eastAsia="仿宋_GB2312" w:cs="Times New Roman"/>
          <w:sz w:val="32"/>
          <w:szCs w:val="32"/>
        </w:rPr>
        <w:t>中发挥的作用。</w:t>
      </w:r>
    </w:p>
    <w:p>
      <w:pPr>
        <w:pStyle w:val="2"/>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对于已获得批准的</w:t>
      </w:r>
      <w:r>
        <w:rPr>
          <w:rFonts w:hint="default" w:ascii="Times New Roman" w:hAnsi="Times New Roman" w:eastAsia="仿宋_GB2312" w:cs="Times New Roman"/>
          <w:sz w:val="32"/>
          <w:szCs w:val="32"/>
          <w:lang w:eastAsia="zh-CN"/>
        </w:rPr>
        <w:t>测定</w:t>
      </w:r>
      <w:r>
        <w:rPr>
          <w:rFonts w:hint="default" w:ascii="Times New Roman" w:hAnsi="Times New Roman" w:eastAsia="仿宋_GB2312" w:cs="Times New Roman"/>
          <w:sz w:val="32"/>
          <w:szCs w:val="32"/>
        </w:rPr>
        <w:t>系统的其他组成部分，应当提供注册证编号和国家药监局官方网站公布的注册证信息。</w:t>
      </w:r>
    </w:p>
    <w:p>
      <w:pPr>
        <w:adjustRightInd w:val="0"/>
        <w:snapToGrid w:val="0"/>
        <w:spacing w:line="52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（三）非临床资料</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1.章节目录</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应包括本章的所有标题和小标题，注明目录中各内容的页码。</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2.产品风险管理资料</w:t>
      </w:r>
    </w:p>
    <w:p>
      <w:pPr>
        <w:snapToGrid w:val="0"/>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32"/>
        </w:rPr>
        <w:t>申请人应考虑产品</w:t>
      </w:r>
      <w:r>
        <w:rPr>
          <w:rFonts w:hint="default" w:ascii="Times New Roman" w:hAnsi="Times New Roman" w:eastAsia="仿宋_GB2312" w:cs="Times New Roman"/>
          <w:sz w:val="32"/>
          <w:szCs w:val="28"/>
        </w:rPr>
        <w:t>生命周期的各个环节，从产品设计开发、原材料的采购控制、生产、预期用途、可能的使用错误、与安全性有关的特征、已知和可预见的危害等方面的判定以及对患者风险的估计进行风险分析、风险评价和相应的风险控制基础上，</w:t>
      </w:r>
      <w:r>
        <w:rPr>
          <w:rFonts w:hint="default" w:ascii="Times New Roman" w:hAnsi="Times New Roman" w:eastAsia="仿宋_GB2312" w:cs="Times New Roman"/>
          <w:color w:val="000000"/>
          <w:sz w:val="32"/>
          <w:szCs w:val="32"/>
        </w:rPr>
        <w:t>综合评价产品风险可接受程度，</w:t>
      </w:r>
      <w:r>
        <w:rPr>
          <w:rFonts w:hint="default" w:ascii="Times New Roman" w:hAnsi="Times New Roman" w:eastAsia="仿宋_GB2312" w:cs="Times New Roman"/>
          <w:sz w:val="32"/>
          <w:szCs w:val="28"/>
        </w:rPr>
        <w:t>形成风险管理资料。应符合GB/T 42062《医疗器械风险管理对医疗器械的应用》的要求。</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.体外诊断试剂安全和性能基本原则清单</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说明产品符合《体外诊断试剂安全和性能基本原则清单》各项适用要求所采用的方法，以及证明其符合性的文件。对于其中不适用的各项要求，应当说明理由。</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.产品技术要求及检验报告</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4.1适用的产品标准</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4.2 产品技术要求</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应当在原材料质量和生产工艺稳定的前提下，根据产品研制、前期临床评价等结果，依据国家标准，行业标准及有关文献，按照《医疗器械产品技术要求编写指导原则》的有关要求进行产品技术要求编写。产品技术要求的性能指标应不低于国家/行业标准的要求。</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bookmarkStart w:id="0" w:name="OLE_LINK6"/>
      <w:r>
        <w:rPr>
          <w:rFonts w:hint="default" w:ascii="Times New Roman" w:hAnsi="Times New Roman" w:eastAsia="仿宋_GB2312" w:cs="Times New Roman"/>
          <w:sz w:val="32"/>
          <w:szCs w:val="32"/>
          <w:highlight w:val="none"/>
        </w:rPr>
        <w:t>产品各性能指标建议不低于YY/T 1461《缺血修饰白蛋白测定试剂（盒）》的要求</w:t>
      </w:r>
      <w:bookmarkEnd w:id="0"/>
      <w:r>
        <w:rPr>
          <w:rFonts w:hint="default" w:ascii="Times New Roman" w:hAnsi="Times New Roman" w:eastAsia="仿宋_GB2312" w:cs="Times New Roman"/>
          <w:sz w:val="32"/>
          <w:szCs w:val="32"/>
          <w:highlight w:val="none"/>
        </w:rPr>
        <w:t>。如有修订，以最新发布版本为准。不同方法学的产品应根据方法学特点制订不同的性能指标。</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产品的检验方法需根据技术性能指标设定，检验方法需优先采用公认的或已颁布的标准检验方法；自建检验方法应进行方法学研究，以确保检验方法的科学性、准确性、可重现性和可操作性。</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4.3 产品检验报告</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（1）申请人出具的自检报告。</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（2）委托有资质的医疗器械检验机构出具的检验报告。</w:t>
      </w:r>
    </w:p>
    <w:p>
      <w:pPr>
        <w:adjustRightInd w:val="0"/>
        <w:snapToGrid w:val="0"/>
        <w:spacing w:line="5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如产品提交自检报告，还需按照《医疗器械注册自检管理规定》的要求提交相应资料。</w:t>
      </w:r>
    </w:p>
    <w:p>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.分析性能研究</w:t>
      </w:r>
    </w:p>
    <w:p>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分析性能研究的试验方法，可以参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定量检测体外诊断试剂分析性能评估注册审查指导原则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或YY/T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1789《体外诊断检验系统性能评价方法》系列标准。</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析性能评估时应将试剂、仪器和所选用的校准品、质控品作为一个整体进行评价，评估整个系统的性能是否符合要求。有关分析性能评估的背景信息也应在申报资料中有所体现，包括试验时间、地点、检验人员、适用仪器、试剂规格和批号、所选用的校准品和质控品、临床样本来源等。用于分析性能评估的样本，应尽量与预期适用的真实临床样本一致，并按照说明书描述的方式进行样本采集、处理、运输和保存。</w:t>
      </w:r>
    </w:p>
    <w:p>
      <w:pPr>
        <w:autoSpaceDE w:val="0"/>
        <w:adjustRightInd/>
        <w:snapToGrid/>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如申报产品适用不同的机型，需要提交在不同机型上进行评估的资料</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pPr>
        <w:overflowPunct w:val="0"/>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.1样本稳定性</w:t>
      </w:r>
    </w:p>
    <w:p>
      <w:pPr>
        <w:overflowPunct w:val="0"/>
        <w:adjustRightInd w:val="0"/>
        <w:snapToGrid w:val="0"/>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pPr>
        <w:overflowPunct w:val="0"/>
        <w:adjustRightInd w:val="0"/>
        <w:snapToGrid w:val="0"/>
        <w:spacing w:line="52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.2适用的样本类型</w:t>
      </w:r>
    </w:p>
    <w:p>
      <w:pPr>
        <w:overflowPunct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如果样本的采集、处理方式存在差别，例如适用不同采样器、不同样本保存液等处理方法，应分析这些差别的潜在影响，并进行针对性的分析性能验证。</w:t>
      </w:r>
    </w:p>
    <w:p>
      <w:pPr>
        <w:overflowPunct w:val="0"/>
        <w:adjustRightInd w:val="0"/>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sz w:val="32"/>
          <w:szCs w:val="32"/>
        </w:rPr>
        <w:t>校准品的量值溯源和质控品的赋值（如适用）</w:t>
      </w:r>
    </w:p>
    <w:p>
      <w:pPr>
        <w:adjustRightInd w:val="0"/>
        <w:snapToGrid w:val="0"/>
        <w:spacing w:line="52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可参考GB/T 21415《体外诊断医疗器械生物样品中量的测量校准品和控制物质赋值的计量学溯源性》、YY/T1709《外诊断试剂用校准物测量不确定度评定》、YY/T 1549《生化分析用校准物》、YY/T 1662《生化分析仪用质控物》、YY/T 1652《体外诊断试剂用质控物通用技术要求》的要求，提供试剂配套校准品量值溯源相关资料，提供质控品赋值及其质控范围确定的相关资料。同时，应对校准品的正确度、质控品的可接受区间/值（预期结果）以及校准品/质控品的均匀性进行评价。</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5.4</w:t>
      </w:r>
      <w:r>
        <w:rPr>
          <w:rFonts w:hint="default" w:ascii="Times New Roman" w:hAnsi="Times New Roman" w:eastAsia="仿宋_GB2312" w:cs="Times New Roman"/>
          <w:kern w:val="0"/>
          <w:sz w:val="32"/>
          <w:szCs w:val="32"/>
          <w:lang w:eastAsia="zh-CN"/>
        </w:rPr>
        <w:t>正</w:t>
      </w:r>
      <w:r>
        <w:rPr>
          <w:rFonts w:hint="default" w:ascii="Times New Roman" w:hAnsi="Times New Roman" w:eastAsia="仿宋_GB2312" w:cs="Times New Roman"/>
          <w:kern w:val="0"/>
          <w:sz w:val="32"/>
          <w:szCs w:val="32"/>
        </w:rPr>
        <w:t>确度</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对测量准确度的评价包括：</w:t>
      </w:r>
      <w:r>
        <w:rPr>
          <w:rFonts w:hint="default" w:ascii="Times New Roman" w:hAnsi="Times New Roman" w:eastAsia="仿宋_GB2312" w:cs="Times New Roman"/>
          <w:kern w:val="0"/>
          <w:sz w:val="32"/>
          <w:szCs w:val="32"/>
          <w:lang w:val="en-US" w:eastAsia="zh-CN"/>
        </w:rPr>
        <w:t>参考物质检测</w:t>
      </w:r>
      <w:r>
        <w:rPr>
          <w:rFonts w:hint="default" w:ascii="Times New Roman" w:hAnsi="Times New Roman" w:eastAsia="仿宋_GB2312" w:cs="Times New Roman"/>
          <w:kern w:val="0"/>
          <w:sz w:val="32"/>
          <w:szCs w:val="32"/>
        </w:rPr>
        <w:t>、方法学比对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回收试验</w:t>
      </w:r>
      <w:r>
        <w:rPr>
          <w:rFonts w:hint="default" w:ascii="Times New Roman" w:hAnsi="Times New Roman" w:eastAsia="仿宋_GB2312" w:cs="Times New Roman"/>
          <w:kern w:val="0"/>
          <w:sz w:val="32"/>
          <w:szCs w:val="32"/>
        </w:rPr>
        <w:t>等方法，企业可根据实际情况选择合理方法进行研究。</w:t>
      </w:r>
    </w:p>
    <w:p>
      <w:pPr>
        <w:spacing w:line="520" w:lineRule="exact"/>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5.4.1参考物质测定</w:t>
      </w:r>
    </w:p>
    <w:p>
      <w:pPr>
        <w:spacing w:line="520" w:lineRule="exact"/>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参考物质包括具有互换性的有证参考物质、公认的参考品、标准品，参考测量程序赋值的临床样本等。不可采用产品校准品、申报试剂检测系统定值的质控品进行正确度评价。 </w:t>
      </w:r>
    </w:p>
    <w:p>
      <w:pPr>
        <w:spacing w:line="520" w:lineRule="exact"/>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采用至少两个浓度的参考物质，代表临床意义相关的高、低浓度水平，进行多次重复测定，根据测定结果平均值与参考量值计算偏倚。如参考物质只有一个水平，且无合理稀释方法，亦可在说明原因的基础上，仅采用一个水平的参考物质进行正确度评价，结果应在申请人给定范围内。</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5.4.2</w:t>
      </w:r>
      <w:r>
        <w:rPr>
          <w:rFonts w:hint="default" w:ascii="Times New Roman" w:hAnsi="Times New Roman" w:eastAsia="仿宋_GB2312" w:cs="Times New Roman"/>
          <w:kern w:val="0"/>
          <w:sz w:val="32"/>
          <w:szCs w:val="32"/>
        </w:rPr>
        <w:t>方法学比对</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采用参考方法或国内/国际普遍认为质量较好的已上市同类试剂作为参比方法，与拟申报试剂同时检测一批</w:t>
      </w:r>
      <w:r>
        <w:rPr>
          <w:rFonts w:hint="default" w:ascii="Times New Roman" w:hAnsi="Times New Roman" w:eastAsia="仿宋_GB2312" w:cs="Times New Roman"/>
          <w:kern w:val="0"/>
          <w:sz w:val="32"/>
          <w:szCs w:val="32"/>
          <w:lang w:eastAsia="zh-CN"/>
        </w:rPr>
        <w:t>临床样本</w:t>
      </w:r>
      <w:r>
        <w:rPr>
          <w:rFonts w:hint="default" w:ascii="Times New Roman" w:hAnsi="Times New Roman" w:eastAsia="仿宋_GB2312" w:cs="Times New Roman"/>
          <w:kern w:val="0"/>
          <w:sz w:val="32"/>
          <w:szCs w:val="32"/>
        </w:rPr>
        <w:t>，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相关系数r2≥0.95，相对偏差应不超过±15%。</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5.4.3</w:t>
      </w:r>
      <w:r>
        <w:rPr>
          <w:rFonts w:hint="default" w:ascii="Times New Roman" w:hAnsi="Times New Roman" w:eastAsia="仿宋_GB2312" w:cs="Times New Roman"/>
          <w:kern w:val="0"/>
          <w:sz w:val="32"/>
          <w:szCs w:val="32"/>
        </w:rPr>
        <w:t>测试白蛋白浓度在（43—47）g/L区间内的40份健康人血清样本的IMA值，计算各样本IMA/ALB(白蛋白)的值，比值的95%在1.4—1.8范围内即符合要求；当比值中有3个或3个以上数值不在1.4—1.8范围内时，应进行120份健康人血清样本的实验，95%样本的比值在1.4—1.8范围内即符合要求。</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精密度</w:t>
      </w:r>
    </w:p>
    <w:p>
      <w:pPr>
        <w:spacing w:line="520" w:lineRule="exact"/>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应根据各测量条件对检测结果影响程度的分析，设计合理的精密度试验方案进行评价，包括重复性、中间精密度和再现性。</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pPr>
        <w:spacing w:line="520" w:lineRule="exact"/>
        <w:ind w:firstLine="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6分析灵敏度</w:t>
      </w:r>
    </w:p>
    <w:p>
      <w:pPr>
        <w:overflowPunct w:val="0"/>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用试剂测试（73.0—83.0）U/mL范围内的样本，记录在试剂参数规定读数点下的吸光度差值（△A），换算为78.0U/mL的吸光度差值（△A）即为本产品的分析灵敏度。</w:t>
      </w:r>
    </w:p>
    <w:p>
      <w:pPr>
        <w:overflowPunct w:val="0"/>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5.7</w:t>
      </w:r>
      <w:r>
        <w:rPr>
          <w:rFonts w:hint="default" w:ascii="Times New Roman" w:hAnsi="Times New Roman" w:eastAsia="仿宋_GB2312" w:cs="Times New Roman"/>
          <w:kern w:val="0"/>
          <w:sz w:val="32"/>
          <w:szCs w:val="32"/>
        </w:rPr>
        <w:t>试剂空白吸光度</w:t>
      </w:r>
    </w:p>
    <w:p>
      <w:pPr>
        <w:overflowPunct/>
        <w:adjustRightInd/>
        <w:snapToGrid/>
        <w:spacing w:line="520" w:lineRule="exact"/>
        <w:ind w:firstLine="640" w:firstLineChars="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用试剂测定空白样本，记录试剂参数规定读数点主波长下吸光度值（A），应A≥0.6。空白样本可以用纯化水或生理盐水。</w:t>
      </w:r>
    </w:p>
    <w:p>
      <w:pPr>
        <w:overflowPunct w:val="0"/>
        <w:adjustRightInd w:val="0"/>
        <w:snapToGrid w:val="0"/>
        <w:spacing w:line="52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5.8 空白限、检出限、定量限</w:t>
      </w:r>
    </w:p>
    <w:p>
      <w:pPr>
        <w:adjustRightInd w:val="0"/>
        <w:snapToGrid w:val="0"/>
        <w:spacing w:line="520" w:lineRule="exact"/>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0"/>
          <w:sz w:val="32"/>
          <w:szCs w:val="32"/>
          <w:lang w:val="en-US" w:eastAsia="zh-CN" w:bidi="ar"/>
        </w:rPr>
        <w:t>5.8.1</w:t>
      </w:r>
      <w:r>
        <w:rPr>
          <w:rFonts w:hint="default" w:ascii="Times New Roman" w:hAnsi="Times New Roman" w:eastAsia="仿宋_GB2312" w:cs="Times New Roman"/>
          <w:kern w:val="2"/>
          <w:sz w:val="32"/>
          <w:szCs w:val="32"/>
          <w:lang w:val="en-US" w:eastAsia="zh-CN" w:bidi="ar"/>
        </w:rPr>
        <w:t>空白限、检出限与定量限的建立</w:t>
      </w:r>
    </w:p>
    <w:p>
      <w:pPr>
        <w:adjustRightInd w:val="0"/>
        <w:snapToGrid w:val="0"/>
        <w:spacing w:line="520" w:lineRule="exact"/>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空白限（LoB），检出限(LoD)，定量限(LoQ)的建立需分别选择多个独立的样本（空白样本、低浓度水平样本、已知浓度的低水平样本），在多天内进行研究。</w:t>
      </w:r>
    </w:p>
    <w:p>
      <w:pPr>
        <w:adjustRightInd w:val="0"/>
        <w:snapToGrid w:val="0"/>
        <w:spacing w:line="520" w:lineRule="exact"/>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空白限一般由多个独立的空白样本（无分析物）的测定结果，经计算获得；检出限一般由多个低浓度（含有分析物）样本的测定结果结合空白限（或单独计算）获得。定量限应满足预设正确度指标，即考虑偏倚和精密度的要求。</w:t>
      </w:r>
    </w:p>
    <w:p>
      <w:pPr>
        <w:adjustRightInd w:val="0"/>
        <w:snapToGrid w:val="0"/>
        <w:spacing w:line="520" w:lineRule="exact"/>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0"/>
          <w:sz w:val="32"/>
          <w:szCs w:val="32"/>
          <w:lang w:val="en-US" w:eastAsia="zh-CN" w:bidi="ar"/>
        </w:rPr>
        <w:t>5.8.2</w:t>
      </w:r>
      <w:r>
        <w:rPr>
          <w:rFonts w:hint="default" w:ascii="Times New Roman" w:hAnsi="Times New Roman" w:eastAsia="仿宋_GB2312" w:cs="Times New Roman"/>
          <w:kern w:val="2"/>
          <w:sz w:val="32"/>
          <w:szCs w:val="32"/>
          <w:lang w:val="en-US" w:eastAsia="zh-CN" w:bidi="ar"/>
        </w:rPr>
        <w:t xml:space="preserve"> 空白限、检出限与定量限的验证</w:t>
      </w:r>
    </w:p>
    <w:p>
      <w:pPr>
        <w:adjustRightInd w:val="0"/>
        <w:snapToGrid w:val="0"/>
        <w:spacing w:line="520" w:lineRule="exact"/>
        <w:ind w:firstLine="640" w:firstLineChars="200"/>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空白限、检出限及定量限的验证，每个项目需选择至少2个样本（空白样本、检出限浓度样本、定量限浓度样本），在多天内进行试验。每个试剂批次至少需要获得20个检测结果，计算与5.8.1研究获得的空白限、检出限及定量限呈现一致性的检测结果比例，如果比例符合统计学要求/预设的临界值，则空白限、检出限及定量限得到验证。</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分析特异性</w:t>
      </w:r>
    </w:p>
    <w:p>
      <w:pPr>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应充分考虑干扰物质对检测结果的影响。申请人可</w:t>
      </w:r>
      <w:r>
        <w:rPr>
          <w:rFonts w:hint="default" w:ascii="Times New Roman" w:hAnsi="Times New Roman" w:eastAsia="仿宋_GB2312" w:cs="Times New Roman"/>
          <w:color w:val="000000"/>
          <w:kern w:val="0"/>
          <w:sz w:val="32"/>
          <w:szCs w:val="32"/>
          <w:lang w:val="en-US" w:eastAsia="zh-CN"/>
        </w:rPr>
        <w:t>参考《</w:t>
      </w:r>
      <w:r>
        <w:rPr>
          <w:rFonts w:hint="default" w:ascii="Times New Roman" w:hAnsi="Times New Roman" w:eastAsia="仿宋_GB2312" w:cs="Times New Roman"/>
          <w:color w:val="000000"/>
          <w:kern w:val="0"/>
          <w:sz w:val="32"/>
          <w:szCs w:val="32"/>
        </w:rPr>
        <w:t>定量检测体外诊断试剂分析性能评估注册审查指导原则</w:t>
      </w:r>
      <w:r>
        <w:rPr>
          <w:rFonts w:hint="default" w:ascii="Times New Roman" w:hAnsi="Times New Roman" w:eastAsia="仿宋_GB2312" w:cs="Times New Roman"/>
          <w:color w:val="000000"/>
          <w:kern w:val="0"/>
          <w:sz w:val="32"/>
          <w:szCs w:val="32"/>
          <w:lang w:val="en-US" w:eastAsia="zh-CN"/>
        </w:rPr>
        <w:t>》并结合</w:t>
      </w:r>
      <w:r>
        <w:rPr>
          <w:rFonts w:hint="default" w:ascii="Times New Roman" w:hAnsi="Times New Roman" w:eastAsia="仿宋_GB2312" w:cs="Times New Roman"/>
          <w:color w:val="000000"/>
          <w:kern w:val="0"/>
          <w:sz w:val="32"/>
          <w:szCs w:val="32"/>
        </w:rPr>
        <w:t>实际情况选择适用的干扰物质进行评价。</w:t>
      </w:r>
    </w:p>
    <w:p>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常见的内源性干扰物质包括</w:t>
      </w:r>
      <w:r>
        <w:rPr>
          <w:rFonts w:hint="default" w:ascii="Times New Roman" w:hAnsi="Times New Roman" w:eastAsia="仿宋_GB2312" w:cs="Times New Roman"/>
          <w:color w:val="000000"/>
          <w:kern w:val="0"/>
          <w:sz w:val="32"/>
          <w:szCs w:val="32"/>
          <w:vertAlign w:val="baseline"/>
          <w:lang w:eastAsia="zh-CN"/>
        </w:rPr>
        <w:t>抗凝物质、</w:t>
      </w:r>
      <w:r>
        <w:rPr>
          <w:rFonts w:hint="default" w:ascii="Times New Roman" w:hAnsi="Times New Roman" w:eastAsia="仿宋_GB2312" w:cs="Times New Roman"/>
          <w:color w:val="000000"/>
          <w:kern w:val="0"/>
          <w:sz w:val="32"/>
          <w:szCs w:val="32"/>
        </w:rPr>
        <w:t>胆红素、血红蛋白、甘油三酯等，常见的外源性干扰物质包括样本添加剂（</w:t>
      </w:r>
      <w:r>
        <w:rPr>
          <w:rFonts w:hint="default" w:ascii="Times New Roman" w:hAnsi="Times New Roman" w:eastAsia="仿宋_GB2312" w:cs="Times New Roman"/>
          <w:color w:val="000000"/>
          <w:kern w:val="0"/>
          <w:sz w:val="32"/>
          <w:szCs w:val="32"/>
          <w:lang w:val="en-US" w:eastAsia="zh-CN"/>
        </w:rPr>
        <w:t>如</w:t>
      </w:r>
      <w:r>
        <w:rPr>
          <w:rFonts w:hint="default" w:ascii="Times New Roman" w:hAnsi="Times New Roman" w:eastAsia="仿宋_GB2312" w:cs="Times New Roman"/>
          <w:color w:val="000000"/>
          <w:kern w:val="0"/>
          <w:sz w:val="32"/>
          <w:szCs w:val="32"/>
        </w:rPr>
        <w:t>防腐剂）、常用药物及其代谢物、患者群体使用的药物及其代谢物、膳食物质、样本收集或处理过程中接触到的物质，样本污染物；亦应考虑文献中已报道的对类似试剂或测量程序存在干扰的物质。</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5.10</w:t>
      </w:r>
      <w:r>
        <w:rPr>
          <w:rFonts w:hint="default" w:ascii="Times New Roman" w:hAnsi="Times New Roman" w:eastAsia="仿宋_GB2312" w:cs="Times New Roman"/>
          <w:sz w:val="32"/>
          <w:szCs w:val="32"/>
        </w:rPr>
        <w:t>线性区间与测量区间</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5.10.1</w:t>
      </w:r>
      <w:r>
        <w:rPr>
          <w:rFonts w:hint="default" w:ascii="Times New Roman" w:hAnsi="Times New Roman" w:eastAsia="仿宋_GB2312" w:cs="Times New Roman"/>
          <w:sz w:val="32"/>
          <w:szCs w:val="32"/>
        </w:rPr>
        <w:t>线性区间</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性区间的研究所用的样本基质应尽可能与临床实际检测的样本相似，需采用高值和零浓度/低值样本配制一系列不同浓度的样本。当建立试剂的线性区间时，需配制较预期线性区间更宽的9-11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当验证试剂的线性区间时，需配制覆盖整个线性区间的至少5-7个不同浓度的样本，每个样本至少重复检测2次。</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5.10.2</w:t>
      </w:r>
      <w:r>
        <w:rPr>
          <w:rFonts w:hint="default" w:ascii="Times New Roman" w:hAnsi="Times New Roman" w:eastAsia="仿宋_GB2312" w:cs="Times New Roman"/>
          <w:sz w:val="32"/>
          <w:szCs w:val="32"/>
        </w:rPr>
        <w:t>测量区间</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测量区间，也称分析测量区间，在该区间内，临床样本在未经稀释、浓缩，或非常规测量程序步骤中的其他前处理情况下，检测结果的线性偏差、不精密度和偏倚均在可接受范围内。测量区间下限为定量限，线性区间包含测量区间。</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如对超出测量区间浓度的样本可进行稀释后检测，应研究合适的稀释液和稀释倍数，从而确定试剂的可报告区间。</w:t>
      </w:r>
    </w:p>
    <w:p>
      <w:pPr>
        <w:pStyle w:val="13"/>
        <w:snapToGrid w:val="0"/>
        <w:spacing w:line="520" w:lineRule="exact"/>
        <w:ind w:firstLine="640"/>
        <w:rPr>
          <w:rFonts w:hint="default" w:ascii="Times New Roman" w:hAnsi="Times New Roman" w:eastAsia="仿宋_GB2312" w:cs="Times New Roman"/>
          <w:bCs w:val="0"/>
          <w:sz w:val="32"/>
          <w:szCs w:val="32"/>
        </w:rPr>
      </w:pPr>
      <w:r>
        <w:rPr>
          <w:rFonts w:hint="default" w:ascii="Times New Roman" w:hAnsi="Times New Roman" w:eastAsia="仿宋_GB2312" w:cs="Times New Roman"/>
          <w:bCs w:val="0"/>
          <w:sz w:val="32"/>
          <w:szCs w:val="32"/>
          <w:lang w:val="en-US" w:eastAsia="zh-CN"/>
        </w:rPr>
        <w:t>6.</w:t>
      </w:r>
      <w:r>
        <w:rPr>
          <w:rFonts w:hint="default" w:ascii="Times New Roman" w:hAnsi="Times New Roman" w:eastAsia="仿宋_GB2312" w:cs="Times New Roman"/>
          <w:bCs w:val="0"/>
          <w:sz w:val="32"/>
          <w:szCs w:val="32"/>
        </w:rPr>
        <w:t>稳定性研究资料</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一般应包含研究方案、报告和数据三部分内容</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.1实时稳定性</w:t>
      </w:r>
    </w:p>
    <w:p>
      <w:pPr>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提交至少三批申报产品在实际储存条件下保存至成品有效期后的实时稳定性研究资料。明确储存的环境条件（如温度、湿度和光照）及有效期。</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.2使用稳定性</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交申报产品实际使用期间稳定性的研究资料，应包括所有组成成分的开瓶稳定性。适用时提交复溶稳定性、机载稳定性及冻融次数研究资料等。如产品中包含校准品、质控品，还应提交校准、质控频率或校准、质控稳定性研究资料。明确产品使用的温度、湿度条件等。</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.3运输稳定性</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pPr>
        <w:spacing w:line="520" w:lineRule="exact"/>
        <w:ind w:firstLine="640"/>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sz w:val="32"/>
          <w:szCs w:val="32"/>
        </w:rPr>
        <w:t>试剂稳定性内容的研究结果应在说明书【储存条件及有效期】中进行详细描述。</w:t>
      </w:r>
    </w:p>
    <w:p>
      <w:pPr>
        <w:spacing w:line="520" w:lineRule="exact"/>
        <w:ind w:firstLine="640"/>
        <w:rPr>
          <w:rFonts w:hint="default" w:ascii="Times New Roman" w:hAnsi="Times New Roman" w:eastAsia="楷体_GB2312" w:cs="Times New Roman"/>
          <w:bCs/>
          <w:sz w:val="32"/>
          <w:szCs w:val="30"/>
        </w:rPr>
      </w:pPr>
      <w:r>
        <w:rPr>
          <w:rFonts w:hint="default" w:ascii="Times New Roman" w:hAnsi="Times New Roman" w:eastAsia="仿宋_GB2312" w:cs="Times New Roman"/>
          <w:bCs w:val="0"/>
          <w:sz w:val="32"/>
          <w:szCs w:val="32"/>
          <w:lang w:val="en-US" w:eastAsia="zh-CN"/>
        </w:rPr>
        <w:t>7.</w:t>
      </w:r>
      <w:r>
        <w:rPr>
          <w:rFonts w:hint="default" w:ascii="Times New Roman" w:hAnsi="Times New Roman" w:eastAsia="仿宋_GB2312" w:cs="Times New Roman"/>
          <w:sz w:val="32"/>
          <w:szCs w:val="32"/>
        </w:rPr>
        <w:t>参考区间</w:t>
      </w:r>
    </w:p>
    <w:p>
      <w:pPr>
        <w:overflowPunct/>
        <w:autoSpaceDE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申报产品可以</w:t>
      </w:r>
      <w:r>
        <w:rPr>
          <w:rFonts w:hint="default" w:ascii="Times New Roman" w:hAnsi="Times New Roman" w:eastAsia="仿宋_GB2312" w:cs="Times New Roman"/>
          <w:kern w:val="0"/>
          <w:sz w:val="32"/>
          <w:szCs w:val="32"/>
        </w:rPr>
        <w:t>建立自己的参考区间或验证参考区间，</w:t>
      </w:r>
      <w:r>
        <w:rPr>
          <w:rFonts w:hint="default" w:ascii="Times New Roman" w:hAnsi="Times New Roman" w:eastAsia="仿宋_GB2312" w:cs="Times New Roman"/>
          <w:kern w:val="0"/>
          <w:sz w:val="32"/>
          <w:szCs w:val="32"/>
          <w:lang w:eastAsia="zh-CN"/>
        </w:rPr>
        <w:t>但</w:t>
      </w:r>
      <w:r>
        <w:rPr>
          <w:rFonts w:hint="default" w:ascii="Times New Roman" w:hAnsi="Times New Roman" w:eastAsia="仿宋_GB2312" w:cs="Times New Roman"/>
          <w:kern w:val="0"/>
          <w:sz w:val="32"/>
          <w:szCs w:val="32"/>
        </w:rPr>
        <w:t>都要确保参考区间的可溯源性，记录确定参考区间的所有步骤，包括参考个体的选择、分析前因素、样本检测以及统计分析方法等。</w:t>
      </w:r>
    </w:p>
    <w:p>
      <w:pPr>
        <w:overflowPunct/>
        <w:autoSpaceDE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w:t>
      </w:r>
      <w:r>
        <w:rPr>
          <w:rFonts w:hint="default" w:ascii="Times New Roman" w:hAnsi="Times New Roman" w:eastAsia="仿宋_GB2312" w:cs="Times New Roman"/>
          <w:kern w:val="0"/>
          <w:sz w:val="32"/>
          <w:szCs w:val="32"/>
          <w:lang w:eastAsia="zh-CN"/>
        </w:rPr>
        <w:t>参考</w:t>
      </w:r>
      <w:r>
        <w:rPr>
          <w:rFonts w:hint="default" w:ascii="Times New Roman" w:hAnsi="Times New Roman" w:eastAsia="仿宋_GB2312" w:cs="Times New Roman"/>
          <w:kern w:val="0"/>
          <w:sz w:val="32"/>
          <w:szCs w:val="32"/>
        </w:rPr>
        <w:t>已发布实施的临床检测参考区间标准等验证参考区间</w:t>
      </w:r>
      <w:r>
        <w:rPr>
          <w:rFonts w:hint="default" w:ascii="Times New Roman" w:hAnsi="Times New Roman" w:eastAsia="仿宋_GB2312" w:cs="Times New Roman"/>
          <w:kern w:val="0"/>
          <w:sz w:val="32"/>
          <w:szCs w:val="32"/>
          <w:lang w:eastAsia="zh-CN"/>
        </w:rPr>
        <w:t>，应依据《</w:t>
      </w:r>
      <w:r>
        <w:rPr>
          <w:rFonts w:hint="default" w:ascii="Times New Roman" w:hAnsi="Times New Roman" w:eastAsia="仿宋_GB2312" w:cs="Times New Roman"/>
          <w:kern w:val="0"/>
          <w:sz w:val="32"/>
          <w:szCs w:val="32"/>
        </w:rPr>
        <w:t>体外诊断试剂参考区间确定注册审查指导原则</w:t>
      </w:r>
      <w:r>
        <w:rPr>
          <w:rFonts w:hint="default" w:ascii="Times New Roman" w:hAnsi="Times New Roman" w:eastAsia="仿宋_GB2312" w:cs="Times New Roman"/>
          <w:kern w:val="0"/>
          <w:sz w:val="32"/>
          <w:szCs w:val="32"/>
          <w:lang w:eastAsia="zh-CN"/>
        </w:rPr>
        <w:t>》中</w:t>
      </w:r>
      <w:r>
        <w:rPr>
          <w:rFonts w:hint="default" w:ascii="Times New Roman" w:hAnsi="Times New Roman" w:eastAsia="仿宋_GB2312" w:cs="Times New Roman"/>
          <w:kern w:val="0"/>
          <w:sz w:val="32"/>
          <w:szCs w:val="32"/>
        </w:rPr>
        <w:t>“（二）参考区间的验证”章节相关条件</w:t>
      </w:r>
      <w:r>
        <w:rPr>
          <w:rFonts w:hint="default" w:ascii="Times New Roman" w:hAnsi="Times New Roman" w:eastAsia="仿宋_GB2312" w:cs="Times New Roman"/>
          <w:kern w:val="0"/>
          <w:sz w:val="32"/>
          <w:szCs w:val="32"/>
          <w:lang w:eastAsia="zh-CN"/>
        </w:rPr>
        <w:t>进行验证，</w:t>
      </w:r>
      <w:r>
        <w:rPr>
          <w:rFonts w:hint="default" w:ascii="Times New Roman" w:hAnsi="Times New Roman" w:eastAsia="仿宋_GB2312" w:cs="Times New Roman"/>
          <w:kern w:val="0"/>
          <w:sz w:val="32"/>
          <w:szCs w:val="32"/>
        </w:rPr>
        <w:t>如验证通过，可直接采用经验证的参考区间；如验证不通过，应建立参考区间。</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参考区间的建立应</w:t>
      </w:r>
      <w:r>
        <w:rPr>
          <w:rFonts w:hint="default" w:ascii="Times New Roman" w:hAnsi="Times New Roman" w:eastAsia="仿宋_GB2312" w:cs="Times New Roman"/>
          <w:kern w:val="0"/>
          <w:sz w:val="32"/>
          <w:szCs w:val="32"/>
          <w:lang w:val="en-US" w:eastAsia="zh-CN"/>
        </w:rPr>
        <w:t>参考《</w:t>
      </w:r>
      <w:r>
        <w:rPr>
          <w:rFonts w:hint="default" w:ascii="Times New Roman" w:hAnsi="Times New Roman" w:eastAsia="仿宋_GB2312" w:cs="Times New Roman"/>
          <w:kern w:val="0"/>
          <w:sz w:val="32"/>
          <w:szCs w:val="32"/>
        </w:rPr>
        <w:t>体外诊断试剂参考区间确定注册审查指导原则</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中</w:t>
      </w:r>
      <w:r>
        <w:rPr>
          <w:rFonts w:hint="default" w:ascii="Times New Roman" w:hAnsi="Times New Roman" w:eastAsia="仿宋_GB2312" w:cs="Times New Roman"/>
          <w:kern w:val="0"/>
          <w:sz w:val="32"/>
          <w:szCs w:val="32"/>
        </w:rPr>
        <w:t>“（一）参考区间的建立”章节相关要求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提交建立参考区间所采用样本来源及详细的试验资料。研究样本来源应覆盖年龄、性别等因素，尽可能考虑样本来源的多样性、代表性。应明确参考人群的筛选标准，研究各组（如性别、年龄等）例数通常应不低于120例。（注：研究例数不低于120例是为了保证能正确估计参考限的90%置信区间。申请人应根据预设的置信区间水平进行样本研究例数的选择并符合统计学要求。）</w:t>
      </w:r>
    </w:p>
    <w:p>
      <w:pPr>
        <w:autoSpaceDE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参考值研究结果应在说明书【参考区间】项中进行相应说明。</w:t>
      </w:r>
    </w:p>
    <w:p>
      <w:pPr>
        <w:numPr>
          <w:ilvl w:val="-1"/>
          <w:numId w:val="0"/>
        </w:num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8</w:t>
      </w:r>
      <w:r>
        <w:rPr>
          <w:rFonts w:hint="default" w:ascii="Times New Roman" w:hAnsi="Times New Roman" w:eastAsia="方正楷体_GBK" w:cs="Times New Roman"/>
          <w:kern w:val="0"/>
          <w:sz w:val="32"/>
          <w:szCs w:val="32"/>
          <w:lang w:val="en-US" w:eastAsia="zh-CN"/>
        </w:rPr>
        <w:t>.</w:t>
      </w:r>
      <w:r>
        <w:rPr>
          <w:rFonts w:hint="default" w:ascii="Times New Roman" w:hAnsi="Times New Roman" w:eastAsia="仿宋_GB2312" w:cs="Times New Roman"/>
          <w:sz w:val="32"/>
          <w:szCs w:val="32"/>
        </w:rPr>
        <w:t>其他资料</w:t>
      </w:r>
    </w:p>
    <w:p>
      <w:pPr>
        <w:numPr>
          <w:ilvl w:val="-1"/>
          <w:numId w:val="0"/>
        </w:numPr>
        <w:snapToGrid w:val="0"/>
        <w:spacing w:line="520" w:lineRule="exact"/>
        <w:ind w:left="640" w:firstLine="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8.1反应体系（如需提供）</w:t>
      </w:r>
    </w:p>
    <w:p>
      <w:pPr>
        <w:snapToGrid/>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反应体系研究资料包括样本的制备方式（采集和处理）、样本要求、样本用量、试剂用量、反应条件、校准方法（如有）、质控方法等。</w:t>
      </w:r>
    </w:p>
    <w:p>
      <w:pPr>
        <w:snapToGrid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 xml:space="preserve"> 主要原材料研究资料和生产工艺研究资料（如需提供）</w:t>
      </w:r>
    </w:p>
    <w:p>
      <w:pPr>
        <w:adjustRightInd w:val="0"/>
        <w:snapToGrid w:val="0"/>
        <w:spacing w:line="520" w:lineRule="exact"/>
        <w:ind w:firstLine="640"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主要</w:t>
      </w:r>
      <w:r>
        <w:rPr>
          <w:rFonts w:hint="default" w:ascii="Times New Roman" w:hAnsi="Times New Roman" w:eastAsia="仿宋_GB2312" w:cs="Times New Roman"/>
          <w:spacing w:val="-4"/>
          <w:sz w:val="32"/>
          <w:szCs w:val="32"/>
        </w:rPr>
        <w:t>原材料的</w:t>
      </w:r>
      <w:r>
        <w:rPr>
          <w:rFonts w:hint="default" w:ascii="Times New Roman" w:hAnsi="Times New Roman" w:eastAsia="仿宋_GB2312" w:cs="Times New Roman"/>
          <w:sz w:val="32"/>
          <w:szCs w:val="32"/>
        </w:rPr>
        <w:t>研究资料包括主要原材料的</w:t>
      </w:r>
      <w:r>
        <w:rPr>
          <w:rFonts w:hint="default" w:ascii="Times New Roman" w:hAnsi="Times New Roman" w:eastAsia="仿宋_GB2312" w:cs="Times New Roman"/>
          <w:spacing w:val="-4"/>
          <w:sz w:val="32"/>
          <w:szCs w:val="32"/>
        </w:rPr>
        <w:t>来源、选择、制备方法的研究资料，质量分析证书，主要原材料质量标准的制定和检验</w:t>
      </w:r>
      <w:r>
        <w:rPr>
          <w:rFonts w:hint="default" w:ascii="Times New Roman" w:hAnsi="Times New Roman" w:eastAsia="仿宋_GB2312" w:cs="Times New Roman"/>
          <w:sz w:val="32"/>
          <w:szCs w:val="32"/>
        </w:rPr>
        <w:t>资料。如涉及企业参考品，还应提交企业参考品</w:t>
      </w:r>
      <w:r>
        <w:rPr>
          <w:rFonts w:hint="default" w:ascii="Times New Roman" w:hAnsi="Times New Roman" w:eastAsia="仿宋_GB2312" w:cs="Times New Roman"/>
          <w:spacing w:val="-4"/>
          <w:sz w:val="32"/>
          <w:szCs w:val="32"/>
        </w:rPr>
        <w:t>的研究资料，包括来源、组成、量值确认等。</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生产工艺的研究资料主要为生产工艺介绍，可用流程图方式表示，并简要说明主要生产工艺的确定依据。</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三批产品的生产及自检记录。</w:t>
      </w:r>
    </w:p>
    <w:p>
      <w:pPr>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提供三批产品生产及自检记录的复印件。如产品包含校准品和（或）质控品，还应提供校准品的赋值记录和质控品的定值记录。</w:t>
      </w:r>
    </w:p>
    <w:p>
      <w:pPr>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证明产品安全性、有效性的其他非临床研究资料。</w:t>
      </w:r>
    </w:p>
    <w:p>
      <w:pPr>
        <w:spacing w:line="520" w:lineRule="exact"/>
        <w:ind w:firstLine="640"/>
        <w:rPr>
          <w:rFonts w:hint="default" w:ascii="Times New Roman" w:hAnsi="Times New Roman" w:eastAsia="楷体_GB2312" w:cs="Times New Roman"/>
          <w:bCs/>
          <w:sz w:val="32"/>
          <w:szCs w:val="30"/>
        </w:rPr>
      </w:pPr>
      <w:r>
        <w:rPr>
          <w:rFonts w:hint="default" w:ascii="Times New Roman" w:hAnsi="Times New Roman" w:eastAsia="楷体_GB2312" w:cs="Times New Roman"/>
          <w:bCs/>
          <w:sz w:val="32"/>
          <w:szCs w:val="30"/>
        </w:rPr>
        <w:t>（</w:t>
      </w:r>
      <w:r>
        <w:rPr>
          <w:rFonts w:hint="default" w:ascii="Times New Roman" w:hAnsi="Times New Roman" w:eastAsia="楷体_GB2312" w:cs="Times New Roman"/>
          <w:bCs/>
          <w:sz w:val="32"/>
          <w:szCs w:val="30"/>
          <w:lang w:val="en-US" w:eastAsia="zh-CN"/>
        </w:rPr>
        <w:t>四</w:t>
      </w:r>
      <w:r>
        <w:rPr>
          <w:rFonts w:hint="default" w:ascii="Times New Roman" w:hAnsi="Times New Roman" w:eastAsia="楷体_GB2312" w:cs="Times New Roman"/>
          <w:bCs/>
          <w:sz w:val="32"/>
          <w:szCs w:val="30"/>
        </w:rPr>
        <w:t>）临床评价资料</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根据体外诊断试剂临床评价的相关要求，该项目已列入《免于临床试验体外诊断试剂目录》，申请人可按照《免于临床试验的体外诊断试剂临床评价技术指导原则》要求进行临床评价。</w:t>
      </w:r>
    </w:p>
    <w:p>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bidi="ar"/>
        </w:rPr>
        <w:t>如无法按要求进行临床评价，应进行临床试验；如预期用途超出豁免目录中的描述，也应进行临床试验。临床试验的开展、方案的制定以及报告的撰写等均应符合相关法规及《体外诊断试剂临床试验技术指导原则》的要求</w:t>
      </w:r>
      <w:r>
        <w:rPr>
          <w:rFonts w:hint="default" w:ascii="Times New Roman" w:hAnsi="Times New Roman" w:eastAsia="仿宋_GB2312" w:cs="Times New Roman"/>
          <w:color w:val="000000"/>
          <w:sz w:val="32"/>
          <w:szCs w:val="32"/>
        </w:rPr>
        <w:t>。</w:t>
      </w:r>
    </w:p>
    <w:p>
      <w:pPr>
        <w:spacing w:line="520" w:lineRule="exact"/>
        <w:ind w:firstLine="640"/>
        <w:rPr>
          <w:rFonts w:hint="default" w:ascii="Times New Roman" w:hAnsi="Times New Roman" w:eastAsia="楷体_GB2312" w:cs="Times New Roman"/>
          <w:bCs/>
          <w:sz w:val="32"/>
          <w:szCs w:val="30"/>
          <w:lang w:val="en-US" w:eastAsia="zh-CN"/>
        </w:rPr>
      </w:pPr>
      <w:r>
        <w:rPr>
          <w:rFonts w:hint="default" w:ascii="Times New Roman" w:hAnsi="Times New Roman" w:eastAsia="楷体_GB2312" w:cs="Times New Roman"/>
          <w:bCs/>
          <w:sz w:val="32"/>
          <w:szCs w:val="30"/>
        </w:rPr>
        <w:t>（</w:t>
      </w:r>
      <w:r>
        <w:rPr>
          <w:rFonts w:hint="default" w:ascii="Times New Roman" w:hAnsi="Times New Roman" w:eastAsia="楷体_GB2312" w:cs="Times New Roman"/>
          <w:bCs/>
          <w:sz w:val="32"/>
          <w:szCs w:val="30"/>
          <w:lang w:val="en-US" w:eastAsia="zh-CN"/>
        </w:rPr>
        <w:t>五</w:t>
      </w:r>
      <w:r>
        <w:rPr>
          <w:rFonts w:hint="default" w:ascii="Times New Roman" w:hAnsi="Times New Roman" w:eastAsia="楷体_GB2312" w:cs="Times New Roman"/>
          <w:bCs/>
          <w:sz w:val="32"/>
          <w:szCs w:val="30"/>
        </w:rPr>
        <w:t>）产品说明书</w:t>
      </w:r>
      <w:r>
        <w:rPr>
          <w:rFonts w:hint="default" w:ascii="Times New Roman" w:hAnsi="Times New Roman" w:eastAsia="楷体_GB2312" w:cs="Times New Roman"/>
          <w:bCs/>
          <w:sz w:val="32"/>
          <w:szCs w:val="30"/>
          <w:lang w:val="en-US" w:eastAsia="zh-CN"/>
        </w:rPr>
        <w:t>和</w:t>
      </w:r>
      <w:r>
        <w:rPr>
          <w:rFonts w:hint="default" w:ascii="Times New Roman" w:hAnsi="Times New Roman" w:eastAsia="楷体_GB2312" w:cs="Times New Roman"/>
          <w:color w:val="000000"/>
          <w:sz w:val="32"/>
          <w:szCs w:val="32"/>
        </w:rPr>
        <w:t>标签样稿</w:t>
      </w:r>
    </w:p>
    <w:p>
      <w:pPr>
        <w:adjustRightInd/>
        <w:snapToGrid/>
        <w:spacing w:line="520" w:lineRule="exact"/>
        <w:ind w:firstLine="64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说明书和标签应符合《医疗器械说明书和标签管理规定》和《体外诊断试剂说明书编写指导原则》的要求。产品说明书中的所有内容均应与申请人提交的注册申报资料中的相关研究结果保持一致，如某些内容引自参考文献，则应以规范格式对此内容进行标注，并单独列明文献的相关信息。</w:t>
      </w:r>
    </w:p>
    <w:p>
      <w:pPr>
        <w:adjustRightInd/>
        <w:snapToGrid/>
        <w:spacing w:line="520" w:lineRule="exact"/>
        <w:ind w:firstLine="64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境外试剂应当提交产品原文说明书，中文说明书除格式要求外，其内容应尽量保持与原文说明书的一致性，翻译力求准确且符合中文表达习惯。</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以下内容仅对缺血修饰白蛋白</w:t>
      </w:r>
      <w:r>
        <w:rPr>
          <w:rFonts w:hint="default" w:ascii="Times New Roman" w:hAnsi="Times New Roman" w:eastAsia="仿宋_GB2312" w:cs="Times New Roman"/>
          <w:sz w:val="32"/>
          <w:szCs w:val="32"/>
          <w:lang w:eastAsia="zh-CN"/>
        </w:rPr>
        <w:t>测定</w:t>
      </w:r>
      <w:r>
        <w:rPr>
          <w:rFonts w:hint="default" w:ascii="Times New Roman" w:hAnsi="Times New Roman" w:eastAsia="仿宋_GB2312" w:cs="Times New Roman"/>
          <w:sz w:val="32"/>
          <w:szCs w:val="32"/>
        </w:rPr>
        <w:t>试剂说明书的重点内容进行详细说明，说明书其他内容应根据《体外诊断试剂说明书编写指导原则》要求进行编写。</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1.【产品名称】</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通用名称，试剂名称由三部分组成：被测物名称、用途、方法或原理。例如：缺血修饰白蛋白测定试剂（ACB法）。</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2.【包装规格】</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注明可测试的样本数或装量，如××测试/盒、××人份/盒、××mL，除国际通用计量单位外，其余内容均应采用中文进行表述。如有货号，可增加货号信息。</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（1）包装规格应明确单、双试剂类型；</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（2）包装规格应明确装量（如××mL；××人份）；</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（3）带有校准品或质控品应明确标识；</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（4）与产品技术要求中所列的包装规格一致；</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（5）如不同包装规格有与之特定对应的机型，应同时明确适用机型。</w:t>
      </w:r>
    </w:p>
    <w:p>
      <w:pPr>
        <w:spacing w:line="5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【预期用途】</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内容共分为两段：第一段说明试剂用于体外定量</w:t>
      </w:r>
      <w:r>
        <w:rPr>
          <w:rFonts w:hint="default" w:ascii="Times New Roman" w:hAnsi="Times New Roman" w:eastAsia="仿宋_GB2312" w:cs="Times New Roman"/>
          <w:sz w:val="32"/>
          <w:szCs w:val="32"/>
          <w:lang w:eastAsia="zh-CN"/>
        </w:rPr>
        <w:t>测定</w:t>
      </w:r>
      <w:r>
        <w:rPr>
          <w:rFonts w:hint="default" w:ascii="Times New Roman" w:hAnsi="Times New Roman" w:eastAsia="仿宋_GB2312" w:cs="Times New Roman"/>
          <w:sz w:val="32"/>
          <w:szCs w:val="32"/>
        </w:rPr>
        <w:t>人样本中缺血修饰白蛋白的含量。第二段应明确与目的</w:t>
      </w:r>
      <w:r>
        <w:rPr>
          <w:rFonts w:hint="default" w:ascii="Times New Roman" w:hAnsi="Times New Roman" w:eastAsia="仿宋_GB2312" w:cs="Times New Roman"/>
          <w:sz w:val="32"/>
          <w:szCs w:val="32"/>
          <w:lang w:eastAsia="zh-CN"/>
        </w:rPr>
        <w:t>检测</w:t>
      </w:r>
      <w:r>
        <w:rPr>
          <w:rFonts w:hint="default" w:ascii="Times New Roman" w:hAnsi="Times New Roman" w:eastAsia="仿宋_GB2312" w:cs="Times New Roman"/>
          <w:sz w:val="32"/>
          <w:szCs w:val="32"/>
        </w:rPr>
        <w:t>物相关的临床适应证背景情况，说明相关的临床或实验室诊断方法等。</w:t>
      </w:r>
      <w:r>
        <w:rPr>
          <w:rFonts w:hint="default" w:ascii="Times New Roman" w:hAnsi="Times New Roman" w:eastAsia="仿宋_GB2312" w:cs="Times New Roman"/>
          <w:sz w:val="32"/>
          <w:szCs w:val="32"/>
          <w:lang w:eastAsia="zh-CN"/>
        </w:rPr>
        <w:t>并强调本产品要用于对心肌缺血性疾病的辅助判断，不能作为急性心肌梗死早期识别或确诊的依据。</w:t>
      </w:r>
    </w:p>
    <w:p>
      <w:pPr>
        <w:spacing w:line="5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【检验原理】</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应结合产品主要成分简要说明检验的原理、方法，必要时可采取图示方法表示，检测原理的描述应结合产品主要组成成分、被测物和产物的关系进行描述：</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如：</w:t>
      </w:r>
      <w:r>
        <w:rPr>
          <w:rFonts w:hint="default" w:ascii="Times New Roman" w:hAnsi="Times New Roman" w:eastAsia="仿宋_GB2312" w:cs="Times New Roman"/>
          <w:sz w:val="32"/>
          <w:szCs w:val="32"/>
        </w:rPr>
        <w:t>血清白蛋白与Co2+结合后，剩余的游离Co2+与有机显色物反应生成红褐色产物，用特定波长（如：510nm）进行测定，通过吸光度的变化与校准曲线进行比较，当测试结果以白蛋白钴离子结合能力（ACB值）表示时，应通过相应公式转换为IMA的值。</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【主要组成成分】</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说明试剂包含组分的名称、数量、比例或浓度等信息，如果对于正确的操作很重要，应提供其生物学来源及其他特性；明确说明不同批号试剂中各组分是否可以互换。</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试剂内如包含校准品和/或质控品，应说明其主要组成成分及其生物学来源，校准品应注明其定值及溯源性，质控品应注明靶值和靶值范围，如靶值范围为批特异，可注明批特异，并附单独的靶值单。</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rPr>
        <w:t>试剂盒中不包含但对该项检测必需的组分，应列明检测所需但未包含在本试剂盒中的试剂名称。如该试剂已取得注册证号/备案号，需注明“注册证号/备案号及货号”；如该试剂正处于注册/备案阶段，需注明“货号及注册证号:（留空）/备案号:（留空）”。</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highlight w:val="none"/>
        </w:rPr>
        <w:t>【储存条件及有效期】</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试剂盒的效期稳定性、开瓶稳定性、使用稳定性、在机稳定性等信息做详细介绍，包括环境温湿度、避光条件等。如注册单元含校准品或质控品且其形态为干粉（包含试剂为冻干粉状态），则应对复溶后的储存条件、稳定性做详细介绍。</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保存温度不应有模糊表述，如“常温”、“室温”，应直接以℃为单位。如试剂盒各组分的稳定性不一致，则应对各组分的储存条件和有效期分别进行描述。对于可以冷冻的试剂应注明冻融次数限制。</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注明“生产日期、使用期限或者失效日期见标签”的字样。</w:t>
      </w:r>
    </w:p>
    <w:p>
      <w:pPr>
        <w:spacing w:line="5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【适用机型】</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明确所适用的仪器类型，应细化到具体厂家、型号。如需要可提供与仪器有关的信息以便指导用户操作。如适用仪器为非通用的仪器则需写明其具体型号，避免“系列”。</w:t>
      </w:r>
    </w:p>
    <w:p>
      <w:pPr>
        <w:spacing w:line="5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highlight w:val="none"/>
        </w:rPr>
        <w:t>【样本要求】</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重点明确以下内容：</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rPr>
        <w:t>样本采集前对患者的要求：如采集时间、采集顺序等，是否受临床症状、用药情况等因素的影响。</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样本采集：说明采集方法、样本类型（血清）及添加物等。</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样本处理及保存：样本处理方法、保存条件及期限、运输条件等。冷藏/冷冻样本检测前是否须恢复室温，冻融次数等。</w:t>
      </w:r>
    </w:p>
    <w:p>
      <w:pPr>
        <w:spacing w:line="5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【检验方法】</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详细说明试验操作的各个步骤，包括：</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9.1试剂使用方法：各试剂组分的稀释、混合及其他必要的程序、注意事项等。</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9.2试验条件：时间、试剂用量、样本用量、检测方法、反应类型、反应方向（如有）、反应时间（如有）等以及试验过程中的注意事项试验环境的温度、湿度等注意事项，检验试剂及样本复温、试剂孵育温度等要求。</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9.3校准程序：校准品的使用方法、注意事项、校准曲线的绘制。校准有效期及需要重新校准的情况。推荐的校准周期。</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9.4质量控制程序：质控品的使用方法、对质控结果的必要解释以及推荐的质控周期等。</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9.5试验结果的计算或读取，包括对每个系数及对每个计算步骤的解释。如果可能，应举例说明。</w:t>
      </w:r>
    </w:p>
    <w:p>
      <w:pPr>
        <w:spacing w:line="5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【参考区间】</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别说明常用样本类型的参考区间，并简要说明参考区间的确定方法。应包含参考区间确定的基本信息，包括：样本量、参考人群特征（如性别、年龄、种族等）、表观健康人群的入选和排除标准和参考区间确定采用的统计学方法。</w:t>
      </w:r>
    </w:p>
    <w:p>
      <w:pPr>
        <w:spacing w:line="52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建议注明以下字样“由于地理、人种、性别等差异，建议各实验室建立自己的参考区间”。</w:t>
      </w:r>
    </w:p>
    <w:p>
      <w:pPr>
        <w:spacing w:line="520" w:lineRule="exact"/>
        <w:ind w:firstLine="64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【检验结果的解释】</w:t>
      </w:r>
    </w:p>
    <w:p>
      <w:pPr>
        <w:autoSpaceDE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t>11</w:t>
      </w:r>
      <w:r>
        <w:rPr>
          <w:rFonts w:hint="default" w:ascii="Times New Roman" w:hAnsi="Times New Roman" w:eastAsia="仿宋_GB2312" w:cs="Times New Roman"/>
          <w:sz w:val="32"/>
          <w:szCs w:val="32"/>
          <w:lang w:bidi="ar"/>
        </w:rPr>
        <w:t>.1应根据其临床意义对可能出现的结果进行合理的解释。</w:t>
      </w:r>
    </w:p>
    <w:p>
      <w:pPr>
        <w:autoSpaceDE w:val="0"/>
        <w:spacing w:line="52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11</w:t>
      </w:r>
      <w:r>
        <w:rPr>
          <w:rFonts w:hint="default" w:ascii="Times New Roman" w:hAnsi="Times New Roman" w:eastAsia="仿宋_GB2312" w:cs="Times New Roman"/>
          <w:sz w:val="32"/>
          <w:szCs w:val="32"/>
          <w:lang w:bidi="ar"/>
        </w:rPr>
        <w:t>.2说明在何种情况下应对样本进行重复测试，以及在重复测试时需要采取的样本处理方式。</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t>11</w:t>
      </w:r>
      <w:r>
        <w:rPr>
          <w:rFonts w:hint="default" w:ascii="Times New Roman" w:hAnsi="Times New Roman" w:eastAsia="仿宋_GB2312" w:cs="Times New Roman"/>
          <w:sz w:val="32"/>
          <w:szCs w:val="32"/>
          <w:lang w:bidi="ar"/>
        </w:rPr>
        <w:t>.3</w:t>
      </w:r>
      <w:r>
        <w:rPr>
          <w:rFonts w:hint="default" w:ascii="Times New Roman" w:hAnsi="Times New Roman" w:eastAsia="仿宋_GB2312" w:cs="Times New Roman"/>
          <w:color w:val="000000"/>
          <w:sz w:val="32"/>
          <w:szCs w:val="32"/>
        </w:rPr>
        <w:t>若超过线性区间上限的高浓度样本可稀释后测定，则应说明样本的最大可稀释倍数、稀释溶液等信息。</w:t>
      </w:r>
    </w:p>
    <w:p>
      <w:pPr>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highlight w:val="none"/>
        </w:rPr>
        <w:t>【检验方法局限性】</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综合产品的预期用途、临床背景、检测方法等信息，对可能出现的局限性进行相关说明，申请人选择适用的条款在产品说明书中予以阐述。</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.1本产品检测结果仅供临床参考，不应作为临床诊治的唯一依据，应结合患者性别、年龄、病史及其他实验室指标等信息综合考虑。当检验结果出现与临床不符甚至相悖的情况，应分析查找原因并重新确认等。</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.2其他可能存在的问题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【产品性能指标】</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产品性能指标应符合产品技术要求。说明该产品主要性能指标，应至少包括：试剂空白吸光度、分析灵敏度、线性范围、</w:t>
      </w:r>
      <w:r>
        <w:rPr>
          <w:rFonts w:hint="default" w:ascii="Times New Roman" w:hAnsi="Times New Roman" w:eastAsia="仿宋_GB2312" w:cs="Times New Roman"/>
          <w:sz w:val="32"/>
          <w:szCs w:val="32"/>
          <w:lang w:eastAsia="zh-CN"/>
        </w:rPr>
        <w:t>正</w:t>
      </w:r>
      <w:r>
        <w:rPr>
          <w:rFonts w:hint="default" w:ascii="Times New Roman" w:hAnsi="Times New Roman" w:eastAsia="仿宋_GB2312" w:cs="Times New Roman"/>
          <w:sz w:val="32"/>
          <w:szCs w:val="32"/>
        </w:rPr>
        <w:t>确度、精密度、临床评价结果、校准品/质控品性能（如适用）等。</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【注意事项】</w:t>
      </w:r>
      <w:r>
        <w:rPr>
          <w:rFonts w:hint="default" w:ascii="Times New Roman" w:hAnsi="Times New Roman" w:eastAsia="仿宋_GB2312" w:cs="Times New Roman"/>
          <w:sz w:val="32"/>
          <w:szCs w:val="32"/>
        </w:rPr>
        <w:t>应至少包括以下内容：</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14.1</w:t>
      </w:r>
      <w:r>
        <w:rPr>
          <w:rFonts w:hint="default" w:ascii="Times New Roman" w:hAnsi="Times New Roman" w:eastAsia="仿宋_GB2312" w:cs="Times New Roman"/>
          <w:sz w:val="32"/>
          <w:szCs w:val="32"/>
        </w:rPr>
        <w:t>产品</w:t>
      </w:r>
      <w:r>
        <w:rPr>
          <w:rFonts w:hint="default" w:ascii="Times New Roman" w:hAnsi="Times New Roman" w:eastAsia="仿宋_GB2312" w:cs="Times New Roman"/>
          <w:sz w:val="32"/>
        </w:rPr>
        <w:t>仅用于体外诊断。</w:t>
      </w:r>
      <w:r>
        <w:rPr>
          <w:rFonts w:hint="default" w:ascii="Times New Roman" w:hAnsi="Times New Roman" w:eastAsia="仿宋_GB2312" w:cs="Times New Roman"/>
          <w:sz w:val="32"/>
          <w:szCs w:val="32"/>
        </w:rPr>
        <w:t>检测结果仅供临床参考，对患者的临床诊治应结合其症状/体征、病史、其他实验室检查等情况综合考虑。</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14.2</w:t>
      </w:r>
      <w:r>
        <w:rPr>
          <w:rFonts w:hint="default" w:ascii="Times New Roman" w:hAnsi="Times New Roman" w:eastAsia="仿宋_GB2312" w:cs="Times New Roman"/>
          <w:sz w:val="32"/>
          <w:szCs w:val="32"/>
        </w:rPr>
        <w:t>使用不同生产商的试剂对同一份样本进行检测可能会存在差异。</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14.3</w:t>
      </w:r>
      <w:r>
        <w:rPr>
          <w:rFonts w:hint="default" w:ascii="Times New Roman" w:hAnsi="Times New Roman" w:eastAsia="仿宋_GB2312" w:cs="Times New Roman"/>
          <w:spacing w:val="-4"/>
          <w:kern w:val="0"/>
          <w:sz w:val="32"/>
        </w:rPr>
        <w:t>如无确切的证据证明其安全性，</w:t>
      </w:r>
      <w:r>
        <w:rPr>
          <w:rFonts w:hint="default" w:ascii="Times New Roman" w:hAnsi="Times New Roman" w:eastAsia="仿宋_GB2312" w:cs="Times New Roman"/>
          <w:sz w:val="32"/>
          <w:szCs w:val="32"/>
        </w:rPr>
        <w:t>对所有样本和反应废弃物都应视为传染源对待，提示操作者采取必要的防护措施。</w:t>
      </w:r>
      <w:r>
        <w:rPr>
          <w:rFonts w:hint="default" w:ascii="Times New Roman" w:hAnsi="Times New Roman" w:eastAsia="仿宋_GB2312" w:cs="Times New Roman"/>
          <w:spacing w:val="-4"/>
          <w:kern w:val="0"/>
          <w:sz w:val="32"/>
        </w:rPr>
        <w:t>若试剂组分中，如质控品、校准品等含有人源物质的组分，这些组分亦应该被视为传染源对待；对于动物源性组分，应给出具有潜在感染性的警告。</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14.4</w:t>
      </w:r>
      <w:r>
        <w:rPr>
          <w:rFonts w:hint="default" w:ascii="Times New Roman" w:hAnsi="Times New Roman" w:eastAsia="仿宋_GB2312" w:cs="Times New Roman"/>
          <w:sz w:val="32"/>
          <w:szCs w:val="32"/>
        </w:rPr>
        <w:t>干扰因素：明确常见干扰物质如：抗凝物质、溶血（血红蛋白）、高</w:t>
      </w:r>
      <w:r>
        <w:rPr>
          <w:rFonts w:hint="default" w:ascii="Times New Roman" w:hAnsi="Times New Roman" w:eastAsia="仿宋_GB2312" w:cs="Times New Roman"/>
          <w:sz w:val="32"/>
          <w:szCs w:val="32"/>
          <w:lang w:eastAsia="zh-CN"/>
        </w:rPr>
        <w:t>血</w:t>
      </w:r>
      <w:r>
        <w:rPr>
          <w:rFonts w:hint="default" w:ascii="Times New Roman" w:hAnsi="Times New Roman" w:eastAsia="仿宋_GB2312" w:cs="Times New Roman"/>
          <w:sz w:val="32"/>
          <w:szCs w:val="32"/>
        </w:rPr>
        <w:t>脂、高胆红素等对检测结果的影响，并注明可接受的最高限值。</w:t>
      </w:r>
    </w:p>
    <w:p>
      <w:pPr>
        <w:adjustRightInd w:val="0"/>
        <w:snapToGrid w:val="0"/>
        <w:spacing w:line="52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（六）质量管理体系文件</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主要包括综述、生产制造信息、质量管理体系程序、管理职责程序、资源管理程序、产品实现程序、质量管理体系的测量、分析和改进程序、其他质量体系程序信息以及质量管理体系核查文件等。</w:t>
      </w:r>
    </w:p>
    <w:p>
      <w:pPr>
        <w:spacing w:line="520" w:lineRule="exact"/>
        <w:ind w:firstLine="640"/>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color w:val="000000"/>
          <w:sz w:val="32"/>
          <w:szCs w:val="32"/>
          <w:lang w:eastAsia="zh-CN"/>
        </w:rPr>
        <w:t>三</w:t>
      </w:r>
      <w:r>
        <w:rPr>
          <w:rFonts w:hint="default" w:ascii="Times New Roman" w:hAnsi="Times New Roman" w:eastAsia="黑体" w:cs="Times New Roman"/>
          <w:bCs/>
          <w:color w:val="000000"/>
          <w:sz w:val="32"/>
          <w:szCs w:val="32"/>
        </w:rPr>
        <w:t>、参考</w:t>
      </w:r>
      <w:r>
        <w:rPr>
          <w:rFonts w:hint="default" w:ascii="Times New Roman" w:hAnsi="Times New Roman" w:eastAsia="黑体" w:cs="Times New Roman"/>
          <w:bCs/>
          <w:color w:val="000000"/>
          <w:sz w:val="32"/>
          <w:szCs w:val="32"/>
          <w:lang w:val="en-US" w:eastAsia="zh-CN"/>
        </w:rPr>
        <w:t>文献</w:t>
      </w:r>
    </w:p>
    <w:p>
      <w:pPr>
        <w:widowControl/>
        <w:shd w:val="clear" w:fill="FFFFFF"/>
        <w:spacing w:line="24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auto"/>
          <w:spacing w:val="0"/>
          <w:kern w:val="0"/>
          <w:sz w:val="32"/>
          <w:szCs w:val="32"/>
          <w:u w:val="none"/>
          <w:shd w:val="clear" w:fill="auto"/>
          <w:lang w:val="en-US" w:eastAsia="zh-CN" w:bidi="ar"/>
        </w:rPr>
        <w:fldChar w:fldCharType="begin"/>
      </w:r>
      <w:r>
        <w:rPr>
          <w:rFonts w:hint="default" w:ascii="Times New Roman" w:hAnsi="Times New Roman" w:eastAsia="仿宋_GB2312" w:cs="Times New Roman"/>
          <w:i w:val="0"/>
          <w:iCs w:val="0"/>
          <w:caps w:val="0"/>
          <w:color w:val="auto"/>
          <w:spacing w:val="0"/>
          <w:kern w:val="0"/>
          <w:sz w:val="32"/>
          <w:szCs w:val="32"/>
          <w:u w:val="none"/>
          <w:shd w:val="clear" w:fill="auto"/>
          <w:lang w:val="en-US" w:eastAsia="zh-CN" w:bidi="ar"/>
        </w:rPr>
        <w:instrText xml:space="preserve"> HYPERLINK "https://www.cmde.org.cn//flfg/guizh/20210831134600168.html" \t "https://www.cmde.org.cn/hisisearch/hxsearch/_blank" </w:instrText>
      </w:r>
      <w:r>
        <w:rPr>
          <w:rFonts w:hint="default" w:ascii="Times New Roman" w:hAnsi="Times New Roman" w:eastAsia="仿宋_GB2312" w:cs="Times New Roman"/>
          <w:i w:val="0"/>
          <w:iCs w:val="0"/>
          <w:caps w:val="0"/>
          <w:color w:val="auto"/>
          <w:spacing w:val="0"/>
          <w:kern w:val="0"/>
          <w:sz w:val="32"/>
          <w:szCs w:val="32"/>
          <w:u w:val="none"/>
          <w:shd w:val="clear" w:fill="auto"/>
          <w:lang w:val="en-US" w:eastAsia="zh-CN" w:bidi="ar"/>
        </w:rPr>
        <w:fldChar w:fldCharType="separate"/>
      </w:r>
      <w:r>
        <w:rPr>
          <w:rStyle w:val="8"/>
          <w:rFonts w:hint="default" w:ascii="Times New Roman" w:hAnsi="Times New Roman" w:eastAsia="仿宋_GB2312" w:cs="Times New Roman"/>
          <w:i w:val="0"/>
          <w:iCs w:val="0"/>
          <w:caps w:val="0"/>
          <w:color w:val="FF0000"/>
          <w:spacing w:val="0"/>
          <w:kern w:val="0"/>
          <w:sz w:val="32"/>
          <w:szCs w:val="32"/>
          <w:u w:val="none"/>
          <w:shd w:val="clear" w:fill="FFFFFF"/>
        </w:rPr>
        <w:t>体外诊断试剂注册与备案管理办法</w:t>
      </w:r>
      <w:r>
        <w:rPr>
          <w:rStyle w:val="8"/>
          <w:rFonts w:hint="default" w:ascii="Times New Roman" w:hAnsi="Times New Roman" w:eastAsia="仿宋_GB2312" w:cs="Times New Roman"/>
          <w:i w:val="0"/>
          <w:iCs w:val="0"/>
          <w:caps w:val="0"/>
          <w:color w:val="0B51C1"/>
          <w:spacing w:val="0"/>
          <w:kern w:val="0"/>
          <w:sz w:val="32"/>
          <w:szCs w:val="32"/>
          <w:u w:val="none"/>
          <w:shd w:val="clear" w:fill="FFFFFF"/>
        </w:rPr>
        <w:t>（国家市场监督管理总局令第48号）</w:t>
      </w:r>
      <w:r>
        <w:rPr>
          <w:rFonts w:hint="default" w:ascii="Times New Roman" w:hAnsi="Times New Roman" w:eastAsia="仿宋_GB2312" w:cs="Times New Roman"/>
          <w:i w:val="0"/>
          <w:iCs w:val="0"/>
          <w:caps w:val="0"/>
          <w:color w:val="auto"/>
          <w:spacing w:val="0"/>
          <w:kern w:val="0"/>
          <w:sz w:val="32"/>
          <w:szCs w:val="32"/>
          <w:u w:val="none"/>
          <w:shd w:val="clear" w:fill="auto"/>
          <w:lang w:val="en-US" w:eastAsia="zh-CN" w:bidi="ar"/>
        </w:rPr>
        <w:fldChar w:fldCharType="end"/>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]《体外诊断试剂说明书编写指导原则》（</w:t>
      </w:r>
      <w:r>
        <w:rPr>
          <w:rFonts w:hint="default"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rPr>
        <w:t>国家食品药品监督管理总局通告2014年第17号）</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]《关于公布体外诊断试剂注册申报资料要求和批准证明文件格式的公告》（国家药品监督管理局公告20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rPr>
        <w:t>号）</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]Morrow DA,de LemosJA,Sabatine MS,et al.The search for a biomarker of cardiac ischemia.Clin Chem 2003;49(4):537—539</w:t>
      </w:r>
    </w:p>
    <w:p>
      <w:pPr>
        <w:spacing w:line="52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]《临床检验质量管理技术基础》（第二版），冯仁丰，上海科学技术文献出版社, 2007年4月</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]《定量检测体外诊断试剂分析性能评估注册审查指导原则》</w:t>
      </w:r>
    </w:p>
    <w:p>
      <w:pPr>
        <w:spacing w:line="520" w:lineRule="exact"/>
        <w:ind w:firstLine="640"/>
        <w:rPr>
          <w:rFonts w:hint="default" w:ascii="Times New Roman" w:hAnsi="Times New Roman" w:cs="Times New Roma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]《体外诊断试剂参考区间确定注册审查指导原则》</w:t>
      </w:r>
      <w:bookmarkStart w:id="1" w:name="YinFaRiQiΩ1"/>
      <w:bookmarkEnd w:id="1"/>
    </w:p>
    <w:sectPr>
      <w:footerReference r:id="rId3" w:type="default"/>
      <w:pgSz w:w="11906" w:h="16838"/>
      <w:pgMar w:top="1758" w:right="1531" w:bottom="1588" w:left="153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FC082"/>
    <w:multiLevelType w:val="singleLevel"/>
    <w:tmpl w:val="FF5FC082"/>
    <w:lvl w:ilvl="0" w:tentative="0">
      <w:start w:val="1"/>
      <w:numFmt w:val="chineseCounting"/>
      <w:suff w:val="nothing"/>
      <w:lvlText w:val="（%1）"/>
      <w:lvlJc w:val="left"/>
      <w:rPr>
        <w:rFonts w:hint="eastAsia"/>
      </w:rPr>
    </w:lvl>
  </w:abstractNum>
  <w:abstractNum w:abstractNumId="1">
    <w:nsid w:val="49FB1512"/>
    <w:multiLevelType w:val="singleLevel"/>
    <w:tmpl w:val="49FB151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B43BE5"/>
    <w:rsid w:val="0009075B"/>
    <w:rsid w:val="006A5989"/>
    <w:rsid w:val="00A425DE"/>
    <w:rsid w:val="00AC7C2A"/>
    <w:rsid w:val="00B43BE5"/>
    <w:rsid w:val="00D616E0"/>
    <w:rsid w:val="042053F5"/>
    <w:rsid w:val="04F331A7"/>
    <w:rsid w:val="05876F86"/>
    <w:rsid w:val="0A25653D"/>
    <w:rsid w:val="10B0140E"/>
    <w:rsid w:val="11381FAB"/>
    <w:rsid w:val="1196675B"/>
    <w:rsid w:val="19AF5A77"/>
    <w:rsid w:val="1B66485B"/>
    <w:rsid w:val="1D911C94"/>
    <w:rsid w:val="1DC835AB"/>
    <w:rsid w:val="28CA4D75"/>
    <w:rsid w:val="292559B5"/>
    <w:rsid w:val="2D8D3ECA"/>
    <w:rsid w:val="30313679"/>
    <w:rsid w:val="30C3032E"/>
    <w:rsid w:val="34067413"/>
    <w:rsid w:val="34AC732B"/>
    <w:rsid w:val="385201EA"/>
    <w:rsid w:val="38740160"/>
    <w:rsid w:val="387E68E3"/>
    <w:rsid w:val="3A157721"/>
    <w:rsid w:val="3A744447"/>
    <w:rsid w:val="3B3B774F"/>
    <w:rsid w:val="3D791D75"/>
    <w:rsid w:val="3E304B29"/>
    <w:rsid w:val="3EB63D63"/>
    <w:rsid w:val="3EB72C41"/>
    <w:rsid w:val="44C10289"/>
    <w:rsid w:val="44E328F5"/>
    <w:rsid w:val="47411A94"/>
    <w:rsid w:val="4904566B"/>
    <w:rsid w:val="4A0425CE"/>
    <w:rsid w:val="4A2A2D74"/>
    <w:rsid w:val="4B531E57"/>
    <w:rsid w:val="4C017B05"/>
    <w:rsid w:val="4CF47669"/>
    <w:rsid w:val="4DFA480C"/>
    <w:rsid w:val="52BC4786"/>
    <w:rsid w:val="5DD15589"/>
    <w:rsid w:val="5EA507C4"/>
    <w:rsid w:val="61DFE696"/>
    <w:rsid w:val="635051A2"/>
    <w:rsid w:val="64F16511"/>
    <w:rsid w:val="65173C9C"/>
    <w:rsid w:val="6C3867D3"/>
    <w:rsid w:val="6DE737D7"/>
    <w:rsid w:val="797053DA"/>
    <w:rsid w:val="79C8563A"/>
    <w:rsid w:val="79DE6406"/>
    <w:rsid w:val="7A410F49"/>
    <w:rsid w:val="7B90389F"/>
    <w:rsid w:val="7F1B7FBA"/>
    <w:rsid w:val="ADDB45D0"/>
    <w:rsid w:val="BDC5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jc w:val="both"/>
    </w:pPr>
    <w:rPr>
      <w:rFonts w:ascii="Arial" w:hAnsi="Arial" w:eastAsia="宋体" w:cs="Arial"/>
      <w:sz w:val="18"/>
      <w:szCs w:val="18"/>
      <w:lang w:val="en-US" w:eastAsia="zh-CN" w:bidi="ar-SA"/>
    </w:rPr>
  </w:style>
  <w:style w:type="paragraph" w:styleId="4">
    <w:name w:val="annotation text"/>
    <w:basedOn w:val="1"/>
    <w:unhideWhenUsed/>
    <w:qFormat/>
    <w:uiPriority w:val="0"/>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17355</Words>
  <Characters>18433</Characters>
  <Lines>89</Lines>
  <Paragraphs>25</Paragraphs>
  <TotalTime>17</TotalTime>
  <ScaleCrop>false</ScaleCrop>
  <LinksUpToDate>false</LinksUpToDate>
  <CharactersWithSpaces>18483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2018-07-18T18:41:00Z</dcterms:created>
  <dc:creator>wxl</dc:creator>
  <cp:lastModifiedBy>高田</cp:lastModifiedBy>
  <dcterms:modified xsi:type="dcterms:W3CDTF">2023-09-28T01:07:26Z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4D9A2C8943F7ABA0A7CF4964261D3F08</vt:lpwstr>
  </property>
</Properties>
</file>