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47BC7A">
      <w:pPr>
        <w:jc w:val="center"/>
      </w:pPr>
      <w:bookmarkStart w:id="0" w:name="_GoBack"/>
      <w:bookmarkEnd w:id="0"/>
      <w:r>
        <w:rPr>
          <w:rFonts w:hint="eastAsia" w:ascii="&quot;Times New Roman&quot;" w:hAnsi="&quot;Times New Roman&quot;" w:eastAsia="&quot;Times New Roman&quot;"/>
        </w:rPr>
        <w:t>CE 临 床 评 价 控 制 程 序</w:t>
      </w:r>
    </w:p>
    <w:p w14:paraId="3B0B475A">
      <w:pPr>
        <w:jc w:val="center"/>
      </w:pPr>
      <w:r>
        <w:rPr>
          <w:rFonts w:hint="eastAsia" w:ascii="&quot;Times New Roman&quot;" w:hAnsi="&quot;Times New Roman&quot;" w:eastAsia="&quot;Times New Roman&quot;"/>
          <w:sz w:val="24"/>
        </w:rPr>
        <w:t>版本号/修订号：    生效日期：</w:t>
      </w:r>
    </w:p>
    <w:tbl>
      <w:tblPr>
        <w:tblW w:w="0" w:type="auto"/>
        <w:tblInd w:w="0" w:type="dxa"/>
        <w:tblLayout w:type="fixed"/>
        <w:tblCellMar>
          <w:top w:w="0" w:type="dxa"/>
          <w:left w:w="108" w:type="dxa"/>
          <w:bottom w:w="0" w:type="dxa"/>
          <w:right w:w="108" w:type="dxa"/>
        </w:tblCellMar>
      </w:tblPr>
      <w:tblGrid>
        <w:gridCol w:w="1805"/>
        <w:gridCol w:w="1805"/>
        <w:gridCol w:w="1805"/>
        <w:gridCol w:w="1805"/>
        <w:gridCol w:w="1805"/>
      </w:tblGrid>
      <w:tr w14:paraId="0A877C1D">
        <w:tblPrEx>
          <w:tblCellMar>
            <w:top w:w="0" w:type="dxa"/>
            <w:left w:w="108" w:type="dxa"/>
            <w:bottom w:w="0" w:type="dxa"/>
            <w:right w:w="108" w:type="dxa"/>
          </w:tblCellMar>
        </w:tblPrEx>
        <w:tc>
          <w:tcPr>
            <w:tcBorders>
              <w:top w:val="single" w:color="auto" w:sz="6" w:space="0"/>
              <w:left w:val="single" w:color="auto" w:sz="6" w:space="0"/>
              <w:bottom w:val="single" w:color="auto" w:sz="6" w:space="0"/>
              <w:right w:val="single" w:color="auto" w:sz="6" w:space="0"/>
            </w:tcBorders>
          </w:tcPr>
          <w:p w14:paraId="32501047">
            <w:r>
              <w:rPr>
                <w:rFonts w:hint="eastAsia" w:ascii="&quot;Times New Roman&quot;" w:hAnsi="&quot;Times New Roman&quot;" w:eastAsia="&quot;Times New Roman&quot;"/>
              </w:rPr>
              <w:t>编制：</w:t>
            </w:r>
          </w:p>
        </w:tc>
        <w:tc>
          <w:tcPr>
            <w:tcBorders>
              <w:top w:val="single" w:color="auto" w:sz="6" w:space="0"/>
              <w:left w:val="single" w:color="auto" w:sz="6" w:space="0"/>
              <w:bottom w:val="single" w:color="auto" w:sz="6" w:space="0"/>
              <w:right w:val="single" w:color="auto" w:sz="6" w:space="0"/>
            </w:tcBorders>
          </w:tcPr>
          <w:p w14:paraId="4812F63C"/>
        </w:tc>
        <w:tc>
          <w:tcPr>
            <w:tcBorders>
              <w:top w:val="single" w:color="auto" w:sz="6" w:space="0"/>
              <w:left w:val="single" w:color="auto" w:sz="6" w:space="0"/>
              <w:bottom w:val="single" w:color="auto" w:sz="6" w:space="0"/>
              <w:right w:val="single" w:color="auto" w:sz="6" w:space="0"/>
            </w:tcBorders>
          </w:tcPr>
          <w:p w14:paraId="7E9F5A76"/>
        </w:tc>
        <w:tc>
          <w:tcPr>
            <w:tcBorders>
              <w:top w:val="single" w:color="auto" w:sz="6" w:space="0"/>
              <w:left w:val="single" w:color="auto" w:sz="6" w:space="0"/>
              <w:bottom w:val="single" w:color="auto" w:sz="6" w:space="0"/>
              <w:right w:val="single" w:color="auto" w:sz="6" w:space="0"/>
            </w:tcBorders>
          </w:tcPr>
          <w:p w14:paraId="5C56636E">
            <w:r>
              <w:rPr>
                <w:rFonts w:hint="eastAsia" w:ascii="&quot;Times New Roman&quot;" w:hAnsi="&quot;Times New Roman&quot;" w:eastAsia="&quot;Times New Roman&quot;"/>
              </w:rPr>
              <w:t>职务：</w:t>
            </w:r>
          </w:p>
        </w:tc>
        <w:tc>
          <w:tcPr>
            <w:tcBorders>
              <w:top w:val="single" w:color="auto" w:sz="6" w:space="0"/>
              <w:left w:val="single" w:color="auto" w:sz="6" w:space="0"/>
              <w:bottom w:val="single" w:color="auto" w:sz="6" w:space="0"/>
              <w:right w:val="single" w:color="auto" w:sz="6" w:space="0"/>
            </w:tcBorders>
          </w:tcPr>
          <w:p w14:paraId="7CF8A236">
            <w:r>
              <w:rPr>
                <w:rFonts w:hint="eastAsia" w:ascii="&quot;Times New Roman&quot;" w:hAnsi="&quot;Times New Roman&quot;" w:eastAsia="&quot;Times New Roman&quot;"/>
              </w:rPr>
              <w:t>研发部负责人</w:t>
            </w:r>
          </w:p>
        </w:tc>
      </w:tr>
      <w:tr w14:paraId="53771457">
        <w:tblPrEx>
          <w:tblCellMar>
            <w:top w:w="0" w:type="dxa"/>
            <w:left w:w="108" w:type="dxa"/>
            <w:bottom w:w="0" w:type="dxa"/>
            <w:right w:w="108" w:type="dxa"/>
          </w:tblCellMar>
        </w:tblPrEx>
        <w:tc>
          <w:tcPr>
            <w:tcBorders>
              <w:top w:val="single" w:color="auto" w:sz="6" w:space="0"/>
              <w:left w:val="single" w:color="auto" w:sz="6" w:space="0"/>
              <w:bottom w:val="single" w:color="auto" w:sz="6" w:space="0"/>
              <w:right w:val="single" w:color="auto" w:sz="6" w:space="0"/>
            </w:tcBorders>
          </w:tcPr>
          <w:p w14:paraId="3B222347">
            <w:r>
              <w:rPr>
                <w:rFonts w:hint="eastAsia" w:ascii="&quot;Times New Roman&quot;" w:hAnsi="&quot;Times New Roman&quot;" w:eastAsia="&quot;Times New Roman&quot;"/>
              </w:rPr>
              <w:t>审核：</w:t>
            </w:r>
          </w:p>
        </w:tc>
        <w:tc>
          <w:tcPr>
            <w:tcBorders>
              <w:top w:val="single" w:color="auto" w:sz="6" w:space="0"/>
              <w:left w:val="single" w:color="auto" w:sz="6" w:space="0"/>
              <w:bottom w:val="single" w:color="auto" w:sz="6" w:space="0"/>
              <w:right w:val="single" w:color="auto" w:sz="6" w:space="0"/>
            </w:tcBorders>
          </w:tcPr>
          <w:p w14:paraId="262A10E0"/>
        </w:tc>
        <w:tc>
          <w:tcPr>
            <w:tcBorders>
              <w:top w:val="single" w:color="auto" w:sz="6" w:space="0"/>
              <w:left w:val="single" w:color="auto" w:sz="6" w:space="0"/>
              <w:bottom w:val="single" w:color="auto" w:sz="6" w:space="0"/>
              <w:right w:val="single" w:color="auto" w:sz="6" w:space="0"/>
            </w:tcBorders>
          </w:tcPr>
          <w:p w14:paraId="0B43E093"/>
        </w:tc>
        <w:tc>
          <w:tcPr>
            <w:tcBorders>
              <w:top w:val="single" w:color="auto" w:sz="6" w:space="0"/>
              <w:left w:val="single" w:color="auto" w:sz="6" w:space="0"/>
              <w:bottom w:val="single" w:color="auto" w:sz="6" w:space="0"/>
              <w:right w:val="single" w:color="auto" w:sz="6" w:space="0"/>
            </w:tcBorders>
          </w:tcPr>
          <w:p w14:paraId="40CFFD0A">
            <w:r>
              <w:rPr>
                <w:rFonts w:hint="eastAsia" w:ascii="&quot;Times New Roman&quot;" w:hAnsi="&quot;Times New Roman&quot;" w:eastAsia="&quot;Times New Roman&quot;"/>
              </w:rPr>
              <w:t>职务：</w:t>
            </w:r>
          </w:p>
        </w:tc>
        <w:tc>
          <w:tcPr>
            <w:tcBorders>
              <w:top w:val="single" w:color="auto" w:sz="6" w:space="0"/>
              <w:left w:val="single" w:color="auto" w:sz="6" w:space="0"/>
              <w:bottom w:val="single" w:color="auto" w:sz="6" w:space="0"/>
              <w:right w:val="single" w:color="auto" w:sz="6" w:space="0"/>
            </w:tcBorders>
          </w:tcPr>
          <w:p w14:paraId="75377013">
            <w:r>
              <w:rPr>
                <w:rFonts w:hint="eastAsia" w:ascii="&quot;Times New Roman&quot;" w:hAnsi="&quot;Times New Roman&quot;" w:eastAsia="&quot;Times New Roman&quot;"/>
              </w:rPr>
              <w:t>管理者代表</w:t>
            </w:r>
          </w:p>
        </w:tc>
      </w:tr>
      <w:tr w14:paraId="0989BD38">
        <w:tblPrEx>
          <w:tblCellMar>
            <w:top w:w="0" w:type="dxa"/>
            <w:left w:w="108" w:type="dxa"/>
            <w:bottom w:w="0" w:type="dxa"/>
            <w:right w:w="108" w:type="dxa"/>
          </w:tblCellMar>
        </w:tblPrEx>
        <w:tc>
          <w:tcPr>
            <w:tcBorders>
              <w:top w:val="single" w:color="auto" w:sz="6" w:space="0"/>
              <w:left w:val="single" w:color="auto" w:sz="6" w:space="0"/>
              <w:bottom w:val="single" w:color="auto" w:sz="6" w:space="0"/>
              <w:right w:val="single" w:color="auto" w:sz="6" w:space="0"/>
            </w:tcBorders>
          </w:tcPr>
          <w:p w14:paraId="131DF0F2">
            <w:r>
              <w:rPr>
                <w:rFonts w:hint="eastAsia" w:ascii="&quot;Times New Roman&quot;" w:hAnsi="&quot;Times New Roman&quot;" w:eastAsia="&quot;Times New Roman&quot;"/>
              </w:rPr>
              <w:t>批准：</w:t>
            </w:r>
          </w:p>
        </w:tc>
        <w:tc>
          <w:tcPr>
            <w:tcBorders>
              <w:top w:val="single" w:color="auto" w:sz="6" w:space="0"/>
              <w:left w:val="single" w:color="auto" w:sz="6" w:space="0"/>
              <w:bottom w:val="single" w:color="auto" w:sz="6" w:space="0"/>
              <w:right w:val="single" w:color="auto" w:sz="6" w:space="0"/>
            </w:tcBorders>
          </w:tcPr>
          <w:p w14:paraId="767CB7B7"/>
        </w:tc>
        <w:tc>
          <w:tcPr>
            <w:tcBorders>
              <w:top w:val="single" w:color="auto" w:sz="6" w:space="0"/>
              <w:left w:val="single" w:color="auto" w:sz="6" w:space="0"/>
              <w:bottom w:val="single" w:color="auto" w:sz="6" w:space="0"/>
              <w:right w:val="single" w:color="auto" w:sz="6" w:space="0"/>
            </w:tcBorders>
          </w:tcPr>
          <w:p w14:paraId="55D2F8EB"/>
        </w:tc>
        <w:tc>
          <w:tcPr>
            <w:tcBorders>
              <w:top w:val="single" w:color="auto" w:sz="6" w:space="0"/>
              <w:left w:val="single" w:color="auto" w:sz="6" w:space="0"/>
              <w:bottom w:val="single" w:color="auto" w:sz="6" w:space="0"/>
              <w:right w:val="single" w:color="auto" w:sz="6" w:space="0"/>
            </w:tcBorders>
          </w:tcPr>
          <w:p w14:paraId="468A3C9E">
            <w:r>
              <w:rPr>
                <w:rFonts w:hint="eastAsia" w:ascii="&quot;Times New Roman&quot;" w:hAnsi="&quot;Times New Roman&quot;" w:eastAsia="&quot;Times New Roman&quot;"/>
              </w:rPr>
              <w:t>职务：</w:t>
            </w:r>
          </w:p>
        </w:tc>
        <w:tc>
          <w:tcPr>
            <w:tcBorders>
              <w:top w:val="single" w:color="auto" w:sz="6" w:space="0"/>
              <w:left w:val="single" w:color="auto" w:sz="6" w:space="0"/>
              <w:bottom w:val="single" w:color="auto" w:sz="6" w:space="0"/>
              <w:right w:val="single" w:color="auto" w:sz="6" w:space="0"/>
            </w:tcBorders>
          </w:tcPr>
          <w:p w14:paraId="0B922B03">
            <w:r>
              <w:rPr>
                <w:rFonts w:hint="eastAsia" w:ascii="&quot;Times New Roman&quot;" w:hAnsi="&quot;Times New Roman&quot;" w:eastAsia="&quot;Times New Roman&quot;"/>
              </w:rPr>
              <w:t>总经理</w:t>
            </w:r>
          </w:p>
        </w:tc>
      </w:tr>
    </w:tbl>
    <w:p w14:paraId="433CE1FE"/>
    <w:p w14:paraId="5170984C">
      <w:pPr>
        <w:jc w:val="center"/>
      </w:pPr>
      <w:r>
        <w:rPr>
          <w:rFonts w:hint="eastAsia" w:ascii="&quot;Times New Roman&quot;" w:hAnsi="&quot;Times New Roman&quot;" w:eastAsia="&quot;Times New Roman&quot;"/>
          <w:b/>
        </w:rPr>
        <w:t>修 订 页</w:t>
      </w:r>
    </w:p>
    <w:tbl>
      <w:tblPr>
        <w:tblW w:w="0" w:type="auto"/>
        <w:tblInd w:w="0" w:type="dxa"/>
        <w:tblLayout w:type="fixed"/>
        <w:tblCellMar>
          <w:top w:w="0" w:type="dxa"/>
          <w:left w:w="108" w:type="dxa"/>
          <w:bottom w:w="0" w:type="dxa"/>
          <w:right w:w="108" w:type="dxa"/>
        </w:tblCellMar>
      </w:tblPr>
      <w:tblGrid>
        <w:gridCol w:w="1805"/>
        <w:gridCol w:w="1805"/>
        <w:gridCol w:w="1805"/>
        <w:gridCol w:w="1805"/>
        <w:gridCol w:w="1805"/>
      </w:tblGrid>
      <w:tr w14:paraId="65CA7C31">
        <w:tblPrEx>
          <w:tblCellMar>
            <w:top w:w="0" w:type="dxa"/>
            <w:left w:w="108" w:type="dxa"/>
            <w:bottom w:w="0" w:type="dxa"/>
            <w:right w:w="108" w:type="dxa"/>
          </w:tblCellMar>
        </w:tblPrEx>
        <w:tc>
          <w:tcPr>
            <w:tcBorders>
              <w:top w:val="single" w:color="auto" w:sz="6" w:space="0"/>
              <w:left w:val="single" w:color="auto" w:sz="6" w:space="0"/>
              <w:bottom w:val="single" w:color="auto" w:sz="6" w:space="0"/>
              <w:right w:val="single" w:color="auto" w:sz="6" w:space="0"/>
            </w:tcBorders>
          </w:tcPr>
          <w:p w14:paraId="5BCFD64B">
            <w:r>
              <w:rPr>
                <w:rFonts w:hint="eastAsia" w:ascii="&quot;Times New Roman&quot;" w:hAnsi="&quot;Times New Roman&quot;" w:eastAsia="&quot;Times New Roman&quot;"/>
                <w:sz w:val="24"/>
              </w:rPr>
              <w:t>修订次</w:t>
            </w:r>
          </w:p>
        </w:tc>
        <w:tc>
          <w:tcPr>
            <w:tcBorders>
              <w:top w:val="single" w:color="auto" w:sz="6" w:space="0"/>
              <w:left w:val="single" w:color="auto" w:sz="6" w:space="0"/>
              <w:bottom w:val="single" w:color="auto" w:sz="6" w:space="0"/>
              <w:right w:val="single" w:color="auto" w:sz="6" w:space="0"/>
            </w:tcBorders>
          </w:tcPr>
          <w:p w14:paraId="466B1CAB">
            <w:r>
              <w:rPr>
                <w:rFonts w:hint="eastAsia" w:ascii="&quot;Times New Roman&quot;" w:hAnsi="&quot;Times New Roman&quot;" w:eastAsia="&quot;Times New Roman&quot;"/>
                <w:sz w:val="24"/>
              </w:rPr>
              <w:t>条款号</w:t>
            </w:r>
          </w:p>
        </w:tc>
        <w:tc>
          <w:tcPr>
            <w:tcBorders>
              <w:top w:val="single" w:color="auto" w:sz="6" w:space="0"/>
              <w:left w:val="single" w:color="auto" w:sz="6" w:space="0"/>
              <w:bottom w:val="single" w:color="auto" w:sz="6" w:space="0"/>
              <w:right w:val="single" w:color="auto" w:sz="6" w:space="0"/>
            </w:tcBorders>
          </w:tcPr>
          <w:p w14:paraId="5DE684DB">
            <w:r>
              <w:rPr>
                <w:rFonts w:hint="eastAsia" w:ascii="&quot;Times New Roman&quot;" w:hAnsi="&quot;Times New Roman&quot;" w:eastAsia="&quot;Times New Roman&quot;"/>
                <w:sz w:val="24"/>
              </w:rPr>
              <w:t>修订内容</w:t>
            </w:r>
          </w:p>
        </w:tc>
        <w:tc>
          <w:tcPr>
            <w:tcBorders>
              <w:top w:val="single" w:color="auto" w:sz="6" w:space="0"/>
              <w:left w:val="single" w:color="auto" w:sz="6" w:space="0"/>
              <w:bottom w:val="single" w:color="auto" w:sz="6" w:space="0"/>
              <w:right w:val="single" w:color="auto" w:sz="6" w:space="0"/>
            </w:tcBorders>
          </w:tcPr>
          <w:p w14:paraId="6ECE7FB3">
            <w:r>
              <w:rPr>
                <w:rFonts w:hint="eastAsia" w:ascii="&quot;Times New Roman&quot;" w:hAnsi="&quot;Times New Roman&quot;" w:eastAsia="&quot;Times New Roman&quot;"/>
                <w:sz w:val="24"/>
              </w:rPr>
              <w:t>修订人</w:t>
            </w:r>
          </w:p>
        </w:tc>
        <w:tc>
          <w:tcPr>
            <w:tcBorders>
              <w:top w:val="single" w:color="auto" w:sz="6" w:space="0"/>
              <w:left w:val="single" w:color="auto" w:sz="6" w:space="0"/>
              <w:bottom w:val="single" w:color="auto" w:sz="6" w:space="0"/>
              <w:right w:val="single" w:color="auto" w:sz="6" w:space="0"/>
            </w:tcBorders>
          </w:tcPr>
          <w:p w14:paraId="77BF9C73">
            <w:r>
              <w:rPr>
                <w:rFonts w:hint="eastAsia" w:ascii="&quot;Times New Roman&quot;" w:hAnsi="&quot;Times New Roman&quot;" w:eastAsia="&quot;Times New Roman&quot;"/>
                <w:sz w:val="24"/>
              </w:rPr>
              <w:t>日期</w:t>
            </w:r>
          </w:p>
        </w:tc>
      </w:tr>
      <w:tr w14:paraId="0D811EE5">
        <w:tblPrEx>
          <w:tblCellMar>
            <w:top w:w="0" w:type="dxa"/>
            <w:left w:w="108" w:type="dxa"/>
            <w:bottom w:w="0" w:type="dxa"/>
            <w:right w:w="108" w:type="dxa"/>
          </w:tblCellMar>
        </w:tblPrEx>
        <w:tc>
          <w:tcPr>
            <w:tcBorders>
              <w:top w:val="single" w:color="auto" w:sz="6" w:space="0"/>
              <w:left w:val="single" w:color="auto" w:sz="6" w:space="0"/>
              <w:bottom w:val="single" w:color="auto" w:sz="6" w:space="0"/>
              <w:right w:val="single" w:color="auto" w:sz="6" w:space="0"/>
            </w:tcBorders>
          </w:tcPr>
          <w:p w14:paraId="02FEA3C1"/>
        </w:tc>
        <w:tc>
          <w:tcPr>
            <w:tcBorders>
              <w:top w:val="single" w:color="auto" w:sz="6" w:space="0"/>
              <w:left w:val="single" w:color="auto" w:sz="6" w:space="0"/>
              <w:bottom w:val="single" w:color="auto" w:sz="6" w:space="0"/>
              <w:right w:val="single" w:color="auto" w:sz="6" w:space="0"/>
            </w:tcBorders>
          </w:tcPr>
          <w:p w14:paraId="7E003A7F"/>
        </w:tc>
        <w:tc>
          <w:tcPr>
            <w:tcBorders>
              <w:top w:val="single" w:color="auto" w:sz="6" w:space="0"/>
              <w:left w:val="single" w:color="auto" w:sz="6" w:space="0"/>
              <w:bottom w:val="single" w:color="auto" w:sz="6" w:space="0"/>
              <w:right w:val="single" w:color="auto" w:sz="6" w:space="0"/>
            </w:tcBorders>
          </w:tcPr>
          <w:p w14:paraId="2B2FA619"/>
        </w:tc>
        <w:tc>
          <w:tcPr>
            <w:tcBorders>
              <w:top w:val="single" w:color="auto" w:sz="6" w:space="0"/>
              <w:left w:val="single" w:color="auto" w:sz="6" w:space="0"/>
              <w:bottom w:val="single" w:color="auto" w:sz="6" w:space="0"/>
              <w:right w:val="single" w:color="auto" w:sz="6" w:space="0"/>
            </w:tcBorders>
          </w:tcPr>
          <w:p w14:paraId="11EDF663"/>
        </w:tc>
        <w:tc>
          <w:tcPr>
            <w:tcBorders>
              <w:top w:val="single" w:color="auto" w:sz="6" w:space="0"/>
              <w:left w:val="single" w:color="auto" w:sz="6" w:space="0"/>
              <w:bottom w:val="single" w:color="auto" w:sz="6" w:space="0"/>
              <w:right w:val="single" w:color="auto" w:sz="6" w:space="0"/>
            </w:tcBorders>
          </w:tcPr>
          <w:p w14:paraId="321DE13F"/>
        </w:tc>
      </w:tr>
      <w:tr w14:paraId="0C645BD1">
        <w:tblPrEx>
          <w:tblCellMar>
            <w:top w:w="0" w:type="dxa"/>
            <w:left w:w="108" w:type="dxa"/>
            <w:bottom w:w="0" w:type="dxa"/>
            <w:right w:w="108" w:type="dxa"/>
          </w:tblCellMar>
        </w:tblPrEx>
        <w:tc>
          <w:tcPr>
            <w:tcBorders>
              <w:top w:val="single" w:color="auto" w:sz="6" w:space="0"/>
              <w:left w:val="single" w:color="auto" w:sz="6" w:space="0"/>
              <w:bottom w:val="single" w:color="auto" w:sz="6" w:space="0"/>
              <w:right w:val="single" w:color="auto" w:sz="6" w:space="0"/>
            </w:tcBorders>
          </w:tcPr>
          <w:p w14:paraId="7DA8C388"/>
        </w:tc>
        <w:tc>
          <w:tcPr>
            <w:tcBorders>
              <w:top w:val="single" w:color="auto" w:sz="6" w:space="0"/>
              <w:left w:val="single" w:color="auto" w:sz="6" w:space="0"/>
              <w:bottom w:val="single" w:color="auto" w:sz="6" w:space="0"/>
              <w:right w:val="single" w:color="auto" w:sz="6" w:space="0"/>
            </w:tcBorders>
          </w:tcPr>
          <w:p w14:paraId="05A2C6C7"/>
        </w:tc>
        <w:tc>
          <w:tcPr>
            <w:tcBorders>
              <w:top w:val="single" w:color="auto" w:sz="6" w:space="0"/>
              <w:left w:val="single" w:color="auto" w:sz="6" w:space="0"/>
              <w:bottom w:val="single" w:color="auto" w:sz="6" w:space="0"/>
              <w:right w:val="single" w:color="auto" w:sz="6" w:space="0"/>
            </w:tcBorders>
          </w:tcPr>
          <w:p w14:paraId="46CFBF5E"/>
        </w:tc>
        <w:tc>
          <w:tcPr>
            <w:tcBorders>
              <w:top w:val="single" w:color="auto" w:sz="6" w:space="0"/>
              <w:left w:val="single" w:color="auto" w:sz="6" w:space="0"/>
              <w:bottom w:val="single" w:color="auto" w:sz="6" w:space="0"/>
              <w:right w:val="single" w:color="auto" w:sz="6" w:space="0"/>
            </w:tcBorders>
          </w:tcPr>
          <w:p w14:paraId="67D5AE5F"/>
        </w:tc>
        <w:tc>
          <w:tcPr>
            <w:tcBorders>
              <w:top w:val="single" w:color="auto" w:sz="6" w:space="0"/>
              <w:left w:val="single" w:color="auto" w:sz="6" w:space="0"/>
              <w:bottom w:val="single" w:color="auto" w:sz="6" w:space="0"/>
              <w:right w:val="single" w:color="auto" w:sz="6" w:space="0"/>
            </w:tcBorders>
          </w:tcPr>
          <w:p w14:paraId="322A8DB6"/>
        </w:tc>
      </w:tr>
      <w:tr w14:paraId="43AC0A1F">
        <w:tblPrEx>
          <w:tblCellMar>
            <w:top w:w="0" w:type="dxa"/>
            <w:left w:w="108" w:type="dxa"/>
            <w:bottom w:w="0" w:type="dxa"/>
            <w:right w:w="108" w:type="dxa"/>
          </w:tblCellMar>
        </w:tblPrEx>
        <w:tc>
          <w:tcPr>
            <w:tcBorders>
              <w:top w:val="single" w:color="auto" w:sz="6" w:space="0"/>
              <w:left w:val="single" w:color="auto" w:sz="6" w:space="0"/>
              <w:bottom w:val="single" w:color="auto" w:sz="6" w:space="0"/>
              <w:right w:val="single" w:color="auto" w:sz="6" w:space="0"/>
            </w:tcBorders>
          </w:tcPr>
          <w:p w14:paraId="6FC87E73"/>
        </w:tc>
        <w:tc>
          <w:tcPr>
            <w:tcBorders>
              <w:top w:val="single" w:color="auto" w:sz="6" w:space="0"/>
              <w:left w:val="single" w:color="auto" w:sz="6" w:space="0"/>
              <w:bottom w:val="single" w:color="auto" w:sz="6" w:space="0"/>
              <w:right w:val="single" w:color="auto" w:sz="6" w:space="0"/>
            </w:tcBorders>
          </w:tcPr>
          <w:p w14:paraId="66876897"/>
        </w:tc>
        <w:tc>
          <w:tcPr>
            <w:tcBorders>
              <w:top w:val="single" w:color="auto" w:sz="6" w:space="0"/>
              <w:left w:val="single" w:color="auto" w:sz="6" w:space="0"/>
              <w:bottom w:val="single" w:color="auto" w:sz="6" w:space="0"/>
              <w:right w:val="single" w:color="auto" w:sz="6" w:space="0"/>
            </w:tcBorders>
          </w:tcPr>
          <w:p w14:paraId="4B8D2081"/>
        </w:tc>
        <w:tc>
          <w:tcPr>
            <w:tcBorders>
              <w:top w:val="single" w:color="auto" w:sz="6" w:space="0"/>
              <w:left w:val="single" w:color="auto" w:sz="6" w:space="0"/>
              <w:bottom w:val="single" w:color="auto" w:sz="6" w:space="0"/>
              <w:right w:val="single" w:color="auto" w:sz="6" w:space="0"/>
            </w:tcBorders>
          </w:tcPr>
          <w:p w14:paraId="431ABF5C"/>
        </w:tc>
        <w:tc>
          <w:tcPr>
            <w:tcBorders>
              <w:top w:val="single" w:color="auto" w:sz="6" w:space="0"/>
              <w:left w:val="single" w:color="auto" w:sz="6" w:space="0"/>
              <w:bottom w:val="single" w:color="auto" w:sz="6" w:space="0"/>
              <w:right w:val="single" w:color="auto" w:sz="6" w:space="0"/>
            </w:tcBorders>
          </w:tcPr>
          <w:p w14:paraId="13992794"/>
        </w:tc>
      </w:tr>
      <w:tr w14:paraId="49C0F800">
        <w:tblPrEx>
          <w:tblCellMar>
            <w:top w:w="0" w:type="dxa"/>
            <w:left w:w="108" w:type="dxa"/>
            <w:bottom w:w="0" w:type="dxa"/>
            <w:right w:w="108" w:type="dxa"/>
          </w:tblCellMar>
        </w:tblPrEx>
        <w:tc>
          <w:tcPr>
            <w:tcBorders>
              <w:top w:val="single" w:color="auto" w:sz="6" w:space="0"/>
              <w:left w:val="single" w:color="auto" w:sz="6" w:space="0"/>
              <w:bottom w:val="single" w:color="auto" w:sz="6" w:space="0"/>
              <w:right w:val="single" w:color="auto" w:sz="6" w:space="0"/>
            </w:tcBorders>
          </w:tcPr>
          <w:p w14:paraId="39D5B259"/>
        </w:tc>
        <w:tc>
          <w:tcPr>
            <w:tcBorders>
              <w:top w:val="single" w:color="auto" w:sz="6" w:space="0"/>
              <w:left w:val="single" w:color="auto" w:sz="6" w:space="0"/>
              <w:bottom w:val="single" w:color="auto" w:sz="6" w:space="0"/>
              <w:right w:val="single" w:color="auto" w:sz="6" w:space="0"/>
            </w:tcBorders>
          </w:tcPr>
          <w:p w14:paraId="0A69F142"/>
        </w:tc>
        <w:tc>
          <w:tcPr>
            <w:tcBorders>
              <w:top w:val="single" w:color="auto" w:sz="6" w:space="0"/>
              <w:left w:val="single" w:color="auto" w:sz="6" w:space="0"/>
              <w:bottom w:val="single" w:color="auto" w:sz="6" w:space="0"/>
              <w:right w:val="single" w:color="auto" w:sz="6" w:space="0"/>
            </w:tcBorders>
          </w:tcPr>
          <w:p w14:paraId="14482D0F"/>
        </w:tc>
        <w:tc>
          <w:tcPr>
            <w:tcBorders>
              <w:top w:val="single" w:color="auto" w:sz="6" w:space="0"/>
              <w:left w:val="single" w:color="auto" w:sz="6" w:space="0"/>
              <w:bottom w:val="single" w:color="auto" w:sz="6" w:space="0"/>
              <w:right w:val="single" w:color="auto" w:sz="6" w:space="0"/>
            </w:tcBorders>
          </w:tcPr>
          <w:p w14:paraId="62D045C8"/>
        </w:tc>
        <w:tc>
          <w:tcPr>
            <w:tcBorders>
              <w:top w:val="single" w:color="auto" w:sz="6" w:space="0"/>
              <w:left w:val="single" w:color="auto" w:sz="6" w:space="0"/>
              <w:bottom w:val="single" w:color="auto" w:sz="6" w:space="0"/>
              <w:right w:val="single" w:color="auto" w:sz="6" w:space="0"/>
            </w:tcBorders>
          </w:tcPr>
          <w:p w14:paraId="2D866672"/>
        </w:tc>
      </w:tr>
      <w:tr w14:paraId="1BB7E510">
        <w:tblPrEx>
          <w:tblCellMar>
            <w:top w:w="0" w:type="dxa"/>
            <w:left w:w="108" w:type="dxa"/>
            <w:bottom w:w="0" w:type="dxa"/>
            <w:right w:w="108" w:type="dxa"/>
          </w:tblCellMar>
        </w:tblPrEx>
        <w:tc>
          <w:tcPr>
            <w:tcBorders>
              <w:top w:val="single" w:color="auto" w:sz="6" w:space="0"/>
              <w:left w:val="single" w:color="auto" w:sz="6" w:space="0"/>
              <w:bottom w:val="single" w:color="auto" w:sz="6" w:space="0"/>
              <w:right w:val="single" w:color="auto" w:sz="6" w:space="0"/>
            </w:tcBorders>
          </w:tcPr>
          <w:p w14:paraId="41EBCD1E"/>
        </w:tc>
        <w:tc>
          <w:tcPr>
            <w:tcBorders>
              <w:top w:val="single" w:color="auto" w:sz="6" w:space="0"/>
              <w:left w:val="single" w:color="auto" w:sz="6" w:space="0"/>
              <w:bottom w:val="single" w:color="auto" w:sz="6" w:space="0"/>
              <w:right w:val="single" w:color="auto" w:sz="6" w:space="0"/>
            </w:tcBorders>
          </w:tcPr>
          <w:p w14:paraId="256333F2"/>
        </w:tc>
        <w:tc>
          <w:tcPr>
            <w:tcBorders>
              <w:top w:val="single" w:color="auto" w:sz="6" w:space="0"/>
              <w:left w:val="single" w:color="auto" w:sz="6" w:space="0"/>
              <w:bottom w:val="single" w:color="auto" w:sz="6" w:space="0"/>
              <w:right w:val="single" w:color="auto" w:sz="6" w:space="0"/>
            </w:tcBorders>
          </w:tcPr>
          <w:p w14:paraId="0875BA08"/>
        </w:tc>
        <w:tc>
          <w:tcPr>
            <w:tcBorders>
              <w:top w:val="single" w:color="auto" w:sz="6" w:space="0"/>
              <w:left w:val="single" w:color="auto" w:sz="6" w:space="0"/>
              <w:bottom w:val="single" w:color="auto" w:sz="6" w:space="0"/>
              <w:right w:val="single" w:color="auto" w:sz="6" w:space="0"/>
            </w:tcBorders>
          </w:tcPr>
          <w:p w14:paraId="443B26FF"/>
        </w:tc>
        <w:tc>
          <w:tcPr>
            <w:tcBorders>
              <w:top w:val="single" w:color="auto" w:sz="6" w:space="0"/>
              <w:left w:val="single" w:color="auto" w:sz="6" w:space="0"/>
              <w:bottom w:val="single" w:color="auto" w:sz="6" w:space="0"/>
              <w:right w:val="single" w:color="auto" w:sz="6" w:space="0"/>
            </w:tcBorders>
          </w:tcPr>
          <w:p w14:paraId="7FEBC8DB"/>
        </w:tc>
      </w:tr>
      <w:tr w14:paraId="0FDD92EB">
        <w:tblPrEx>
          <w:tblCellMar>
            <w:top w:w="0" w:type="dxa"/>
            <w:left w:w="108" w:type="dxa"/>
            <w:bottom w:w="0" w:type="dxa"/>
            <w:right w:w="108" w:type="dxa"/>
          </w:tblCellMar>
        </w:tblPrEx>
        <w:tc>
          <w:tcPr>
            <w:tcBorders>
              <w:top w:val="single" w:color="auto" w:sz="6" w:space="0"/>
              <w:left w:val="single" w:color="auto" w:sz="6" w:space="0"/>
              <w:bottom w:val="single" w:color="auto" w:sz="6" w:space="0"/>
              <w:right w:val="single" w:color="auto" w:sz="6" w:space="0"/>
            </w:tcBorders>
          </w:tcPr>
          <w:p w14:paraId="1E989699"/>
        </w:tc>
        <w:tc>
          <w:tcPr>
            <w:tcBorders>
              <w:top w:val="single" w:color="auto" w:sz="6" w:space="0"/>
              <w:left w:val="single" w:color="auto" w:sz="6" w:space="0"/>
              <w:bottom w:val="single" w:color="auto" w:sz="6" w:space="0"/>
              <w:right w:val="single" w:color="auto" w:sz="6" w:space="0"/>
            </w:tcBorders>
          </w:tcPr>
          <w:p w14:paraId="665545E4"/>
        </w:tc>
        <w:tc>
          <w:tcPr>
            <w:tcBorders>
              <w:top w:val="single" w:color="auto" w:sz="6" w:space="0"/>
              <w:left w:val="single" w:color="auto" w:sz="6" w:space="0"/>
              <w:bottom w:val="single" w:color="auto" w:sz="6" w:space="0"/>
              <w:right w:val="single" w:color="auto" w:sz="6" w:space="0"/>
            </w:tcBorders>
          </w:tcPr>
          <w:p w14:paraId="6810D01A"/>
        </w:tc>
        <w:tc>
          <w:tcPr>
            <w:tcBorders>
              <w:top w:val="single" w:color="auto" w:sz="6" w:space="0"/>
              <w:left w:val="single" w:color="auto" w:sz="6" w:space="0"/>
              <w:bottom w:val="single" w:color="auto" w:sz="6" w:space="0"/>
              <w:right w:val="single" w:color="auto" w:sz="6" w:space="0"/>
            </w:tcBorders>
          </w:tcPr>
          <w:p w14:paraId="090004A5"/>
        </w:tc>
        <w:tc>
          <w:tcPr>
            <w:tcBorders>
              <w:top w:val="single" w:color="auto" w:sz="6" w:space="0"/>
              <w:left w:val="single" w:color="auto" w:sz="6" w:space="0"/>
              <w:bottom w:val="single" w:color="auto" w:sz="6" w:space="0"/>
              <w:right w:val="single" w:color="auto" w:sz="6" w:space="0"/>
            </w:tcBorders>
          </w:tcPr>
          <w:p w14:paraId="4F5461C3"/>
        </w:tc>
      </w:tr>
      <w:tr w14:paraId="2D2B1AB0">
        <w:tblPrEx>
          <w:tblCellMar>
            <w:top w:w="0" w:type="dxa"/>
            <w:left w:w="108" w:type="dxa"/>
            <w:bottom w:w="0" w:type="dxa"/>
            <w:right w:w="108" w:type="dxa"/>
          </w:tblCellMar>
        </w:tblPrEx>
        <w:tc>
          <w:tcPr>
            <w:tcBorders>
              <w:top w:val="single" w:color="auto" w:sz="6" w:space="0"/>
              <w:left w:val="single" w:color="auto" w:sz="6" w:space="0"/>
              <w:bottom w:val="single" w:color="auto" w:sz="6" w:space="0"/>
              <w:right w:val="single" w:color="auto" w:sz="6" w:space="0"/>
            </w:tcBorders>
          </w:tcPr>
          <w:p w14:paraId="0C060542"/>
        </w:tc>
        <w:tc>
          <w:tcPr>
            <w:tcBorders>
              <w:top w:val="single" w:color="auto" w:sz="6" w:space="0"/>
              <w:left w:val="single" w:color="auto" w:sz="6" w:space="0"/>
              <w:bottom w:val="single" w:color="auto" w:sz="6" w:space="0"/>
              <w:right w:val="single" w:color="auto" w:sz="6" w:space="0"/>
            </w:tcBorders>
          </w:tcPr>
          <w:p w14:paraId="0B4F0C4D"/>
        </w:tc>
        <w:tc>
          <w:tcPr>
            <w:tcBorders>
              <w:top w:val="single" w:color="auto" w:sz="6" w:space="0"/>
              <w:left w:val="single" w:color="auto" w:sz="6" w:space="0"/>
              <w:bottom w:val="single" w:color="auto" w:sz="6" w:space="0"/>
              <w:right w:val="single" w:color="auto" w:sz="6" w:space="0"/>
            </w:tcBorders>
          </w:tcPr>
          <w:p w14:paraId="6A4346E8"/>
        </w:tc>
        <w:tc>
          <w:tcPr>
            <w:tcBorders>
              <w:top w:val="single" w:color="auto" w:sz="6" w:space="0"/>
              <w:left w:val="single" w:color="auto" w:sz="6" w:space="0"/>
              <w:bottom w:val="single" w:color="auto" w:sz="6" w:space="0"/>
              <w:right w:val="single" w:color="auto" w:sz="6" w:space="0"/>
            </w:tcBorders>
          </w:tcPr>
          <w:p w14:paraId="53F516FD"/>
        </w:tc>
        <w:tc>
          <w:tcPr>
            <w:tcBorders>
              <w:top w:val="single" w:color="auto" w:sz="6" w:space="0"/>
              <w:left w:val="single" w:color="auto" w:sz="6" w:space="0"/>
              <w:bottom w:val="single" w:color="auto" w:sz="6" w:space="0"/>
              <w:right w:val="single" w:color="auto" w:sz="6" w:space="0"/>
            </w:tcBorders>
          </w:tcPr>
          <w:p w14:paraId="18EEB386"/>
        </w:tc>
      </w:tr>
      <w:tr w14:paraId="20399BE6">
        <w:tblPrEx>
          <w:tblCellMar>
            <w:top w:w="0" w:type="dxa"/>
            <w:left w:w="108" w:type="dxa"/>
            <w:bottom w:w="0" w:type="dxa"/>
            <w:right w:w="108" w:type="dxa"/>
          </w:tblCellMar>
        </w:tblPrEx>
        <w:tc>
          <w:tcPr>
            <w:tcBorders>
              <w:top w:val="single" w:color="auto" w:sz="6" w:space="0"/>
              <w:left w:val="single" w:color="auto" w:sz="6" w:space="0"/>
              <w:bottom w:val="single" w:color="auto" w:sz="6" w:space="0"/>
              <w:right w:val="single" w:color="auto" w:sz="6" w:space="0"/>
            </w:tcBorders>
          </w:tcPr>
          <w:p w14:paraId="0204D6FB"/>
        </w:tc>
        <w:tc>
          <w:tcPr>
            <w:tcBorders>
              <w:top w:val="single" w:color="auto" w:sz="6" w:space="0"/>
              <w:left w:val="single" w:color="auto" w:sz="6" w:space="0"/>
              <w:bottom w:val="single" w:color="auto" w:sz="6" w:space="0"/>
              <w:right w:val="single" w:color="auto" w:sz="6" w:space="0"/>
            </w:tcBorders>
          </w:tcPr>
          <w:p w14:paraId="004CD176"/>
        </w:tc>
        <w:tc>
          <w:tcPr>
            <w:tcBorders>
              <w:top w:val="single" w:color="auto" w:sz="6" w:space="0"/>
              <w:left w:val="single" w:color="auto" w:sz="6" w:space="0"/>
              <w:bottom w:val="single" w:color="auto" w:sz="6" w:space="0"/>
              <w:right w:val="single" w:color="auto" w:sz="6" w:space="0"/>
            </w:tcBorders>
          </w:tcPr>
          <w:p w14:paraId="5C332B79"/>
        </w:tc>
        <w:tc>
          <w:tcPr>
            <w:tcBorders>
              <w:top w:val="single" w:color="auto" w:sz="6" w:space="0"/>
              <w:left w:val="single" w:color="auto" w:sz="6" w:space="0"/>
              <w:bottom w:val="single" w:color="auto" w:sz="6" w:space="0"/>
              <w:right w:val="single" w:color="auto" w:sz="6" w:space="0"/>
            </w:tcBorders>
          </w:tcPr>
          <w:p w14:paraId="7801EBBF"/>
        </w:tc>
        <w:tc>
          <w:tcPr>
            <w:tcBorders>
              <w:top w:val="single" w:color="auto" w:sz="6" w:space="0"/>
              <w:left w:val="single" w:color="auto" w:sz="6" w:space="0"/>
              <w:bottom w:val="single" w:color="auto" w:sz="6" w:space="0"/>
              <w:right w:val="single" w:color="auto" w:sz="6" w:space="0"/>
            </w:tcBorders>
          </w:tcPr>
          <w:p w14:paraId="2C57655D"/>
        </w:tc>
      </w:tr>
      <w:tr w14:paraId="7D635418">
        <w:tblPrEx>
          <w:tblCellMar>
            <w:top w:w="0" w:type="dxa"/>
            <w:left w:w="108" w:type="dxa"/>
            <w:bottom w:w="0" w:type="dxa"/>
            <w:right w:w="108" w:type="dxa"/>
          </w:tblCellMar>
        </w:tblPrEx>
        <w:tc>
          <w:tcPr>
            <w:tcBorders>
              <w:top w:val="single" w:color="auto" w:sz="6" w:space="0"/>
              <w:left w:val="single" w:color="auto" w:sz="6" w:space="0"/>
              <w:bottom w:val="single" w:color="auto" w:sz="6" w:space="0"/>
              <w:right w:val="single" w:color="auto" w:sz="6" w:space="0"/>
            </w:tcBorders>
          </w:tcPr>
          <w:p w14:paraId="5107D31F"/>
        </w:tc>
        <w:tc>
          <w:tcPr>
            <w:tcBorders>
              <w:top w:val="single" w:color="auto" w:sz="6" w:space="0"/>
              <w:left w:val="single" w:color="auto" w:sz="6" w:space="0"/>
              <w:bottom w:val="single" w:color="auto" w:sz="6" w:space="0"/>
              <w:right w:val="single" w:color="auto" w:sz="6" w:space="0"/>
            </w:tcBorders>
          </w:tcPr>
          <w:p w14:paraId="330ECCCB"/>
        </w:tc>
        <w:tc>
          <w:tcPr>
            <w:tcBorders>
              <w:top w:val="single" w:color="auto" w:sz="6" w:space="0"/>
              <w:left w:val="single" w:color="auto" w:sz="6" w:space="0"/>
              <w:bottom w:val="single" w:color="auto" w:sz="6" w:space="0"/>
              <w:right w:val="single" w:color="auto" w:sz="6" w:space="0"/>
            </w:tcBorders>
          </w:tcPr>
          <w:p w14:paraId="11C384C5"/>
        </w:tc>
        <w:tc>
          <w:tcPr>
            <w:tcBorders>
              <w:top w:val="single" w:color="auto" w:sz="6" w:space="0"/>
              <w:left w:val="single" w:color="auto" w:sz="6" w:space="0"/>
              <w:bottom w:val="single" w:color="auto" w:sz="6" w:space="0"/>
              <w:right w:val="single" w:color="auto" w:sz="6" w:space="0"/>
            </w:tcBorders>
          </w:tcPr>
          <w:p w14:paraId="58035364"/>
        </w:tc>
        <w:tc>
          <w:tcPr>
            <w:tcBorders>
              <w:top w:val="single" w:color="auto" w:sz="6" w:space="0"/>
              <w:left w:val="single" w:color="auto" w:sz="6" w:space="0"/>
              <w:bottom w:val="single" w:color="auto" w:sz="6" w:space="0"/>
              <w:right w:val="single" w:color="auto" w:sz="6" w:space="0"/>
            </w:tcBorders>
          </w:tcPr>
          <w:p w14:paraId="06C7F560"/>
        </w:tc>
      </w:tr>
    </w:tbl>
    <w:p w14:paraId="04F72F8E">
      <w:pPr>
        <w:pStyle w:val="2"/>
        <w:spacing w:line="480" w:lineRule="auto"/>
        <w:ind w:left="810"/>
        <w:jc w:val="both"/>
      </w:pPr>
      <w:r>
        <w:rPr>
          <w:rFonts w:hint="eastAsia"/>
          <w:b/>
        </w:rPr>
        <w:t>1.目的</w:t>
      </w:r>
    </w:p>
    <w:p w14:paraId="02DC87E9">
      <w:pPr>
        <w:spacing w:line="360" w:lineRule="auto"/>
        <w:jc w:val="both"/>
      </w:pPr>
      <w:r>
        <w:rPr>
          <w:rFonts w:hint="eastAsia" w:ascii="&quot;Times New Roman&quot;" w:hAnsi="&quot;Times New Roman&quot;" w:eastAsia="&quot;Times New Roman&quot;"/>
          <w:sz w:val="24"/>
        </w:rPr>
        <w:t>按照根据MDR附录ⅩⅣ和附录ⅩⅤ的要求，需要对带有CE标志的医疗器械的临床应用的安全和有效性进行评价，特进行产品的临床评价工作，以确保产品符合MDR附录I基本要求。</w:t>
      </w:r>
    </w:p>
    <w:p w14:paraId="07F98711">
      <w:pPr>
        <w:pStyle w:val="2"/>
        <w:spacing w:line="480" w:lineRule="auto"/>
        <w:ind w:left="810"/>
        <w:jc w:val="both"/>
      </w:pPr>
      <w:r>
        <w:rPr>
          <w:rFonts w:hint="eastAsia"/>
          <w:b/>
        </w:rPr>
        <w:t>2.范围</w:t>
      </w:r>
    </w:p>
    <w:p w14:paraId="2CE3C8F4">
      <w:pPr>
        <w:spacing w:line="360" w:lineRule="auto"/>
        <w:jc w:val="both"/>
      </w:pPr>
      <w:r>
        <w:rPr>
          <w:rFonts w:hint="eastAsia" w:ascii="SimSun, STSong" w:hAnsi="SimSun, STSong" w:eastAsia="SimSun, STSong"/>
          <w:sz w:val="21"/>
        </w:rPr>
        <w:t>适用于本公司医疗器械产品的CE临床评价报告的制定与管理。</w:t>
      </w:r>
    </w:p>
    <w:p w14:paraId="44920210">
      <w:pPr>
        <w:pStyle w:val="2"/>
        <w:spacing w:line="480" w:lineRule="auto"/>
        <w:ind w:left="810"/>
        <w:jc w:val="both"/>
      </w:pPr>
      <w:r>
        <w:rPr>
          <w:rFonts w:hint="eastAsia"/>
          <w:b/>
        </w:rPr>
        <w:t>3.职责</w:t>
      </w:r>
    </w:p>
    <w:p w14:paraId="34A9AC63">
      <w:pPr>
        <w:spacing w:line="360" w:lineRule="auto"/>
        <w:ind w:left="810"/>
        <w:jc w:val="both"/>
      </w:pPr>
      <w:r>
        <w:rPr>
          <w:rFonts w:hint="eastAsia" w:ascii="&quot;Times New Roman&quot;" w:hAnsi="&quot;Times New Roman&quot;" w:eastAsia="&quot;Times New Roman&quot;"/>
          <w:sz w:val="24"/>
        </w:rPr>
        <w:t>3.1总经理负责CE临床评价报告的批准。</w:t>
      </w:r>
    </w:p>
    <w:p w14:paraId="46C092F4">
      <w:pPr>
        <w:spacing w:line="360" w:lineRule="auto"/>
        <w:ind w:left="810"/>
        <w:jc w:val="both"/>
      </w:pPr>
      <w:r>
        <w:rPr>
          <w:rFonts w:hint="eastAsia" w:ascii="&quot;Times New Roman&quot;" w:hAnsi="&quot;Times New Roman&quot;" w:eastAsia="&quot;Times New Roman&quot;"/>
          <w:sz w:val="24"/>
        </w:rPr>
        <w:t>3.2管理者代表负责CE临床评价报告的审核。</w:t>
      </w:r>
    </w:p>
    <w:p w14:paraId="25CA2EC8">
      <w:pPr>
        <w:spacing w:line="360" w:lineRule="auto"/>
        <w:ind w:left="810"/>
        <w:jc w:val="both"/>
      </w:pPr>
      <w:r>
        <w:rPr>
          <w:rFonts w:hint="eastAsia" w:ascii="&quot;Times New Roman&quot;" w:hAnsi="&quot;Times New Roman&quot;" w:eastAsia="&quot;Times New Roman&quot;"/>
          <w:sz w:val="24"/>
        </w:rPr>
        <w:t>3.3</w:t>
      </w:r>
      <w:r>
        <w:rPr>
          <w:rFonts w:hint="eastAsia" w:ascii="SimSun, STSong" w:hAnsi="SimSun, STSong" w:eastAsia="SimSun, STSong"/>
          <w:sz w:val="21"/>
        </w:rPr>
        <w:t>研发部及临床专家负责CE临床评价报告的编制。</w:t>
      </w:r>
    </w:p>
    <w:p w14:paraId="2B064955">
      <w:pPr>
        <w:spacing w:line="360" w:lineRule="auto"/>
        <w:ind w:left="810"/>
        <w:jc w:val="both"/>
      </w:pPr>
      <w:r>
        <w:rPr>
          <w:rFonts w:hint="eastAsia" w:ascii="&quot;Times New Roman&quot;" w:hAnsi="&quot;Times New Roman&quot;" w:eastAsia="&quot;Times New Roman&quot;"/>
          <w:sz w:val="24"/>
        </w:rPr>
        <w:t>3.4</w:t>
      </w:r>
      <w:r>
        <w:rPr>
          <w:rFonts w:hint="eastAsia" w:ascii="SimSun, STSong" w:hAnsi="SimSun, STSong" w:eastAsia="SimSun, STSong"/>
          <w:sz w:val="21"/>
        </w:rPr>
        <w:t>质管部负责CE产品技术文件（包括临床评价报告）的归档管理和有关法规的更新。</w:t>
      </w:r>
    </w:p>
    <w:p w14:paraId="35BDBF77">
      <w:pPr>
        <w:spacing w:line="360" w:lineRule="auto"/>
        <w:ind w:left="810"/>
        <w:jc w:val="both"/>
      </w:pPr>
      <w:r>
        <w:rPr>
          <w:rFonts w:hint="eastAsia" w:ascii="&quot;Times New Roman&quot;" w:hAnsi="&quot;Times New Roman&quot;" w:eastAsia="&quot;Times New Roman&quot;"/>
          <w:sz w:val="24"/>
        </w:rPr>
        <w:t>3.5</w:t>
      </w:r>
      <w:r>
        <w:rPr>
          <w:rFonts w:hint="eastAsia" w:ascii="SimSun, STSong" w:hAnsi="SimSun, STSong" w:eastAsia="SimSun, STSong"/>
          <w:sz w:val="21"/>
        </w:rPr>
        <w:t>各相关部门按分配执行。</w:t>
      </w:r>
    </w:p>
    <w:p w14:paraId="7398F2FD">
      <w:pPr>
        <w:pStyle w:val="2"/>
        <w:spacing w:line="480" w:lineRule="auto"/>
        <w:ind w:left="810"/>
        <w:jc w:val="both"/>
      </w:pPr>
      <w:r>
        <w:rPr>
          <w:rFonts w:hint="eastAsia"/>
          <w:b/>
        </w:rPr>
        <w:t>4.程序</w:t>
      </w:r>
    </w:p>
    <w:p w14:paraId="52AFEFBD">
      <w:pPr>
        <w:spacing w:line="360" w:lineRule="auto"/>
        <w:jc w:val="both"/>
      </w:pPr>
      <w:r>
        <w:rPr>
          <w:rFonts w:hint="eastAsia" w:ascii="&quot;Times New Roman&quot;" w:hAnsi="&quot;Times New Roman&quot;" w:eastAsia="&quot;Times New Roman&quot;"/>
          <w:sz w:val="24"/>
        </w:rPr>
        <w:t>4.1临床评价的基本原则</w:t>
      </w:r>
    </w:p>
    <w:p w14:paraId="3504B0D9">
      <w:pPr>
        <w:spacing w:line="360" w:lineRule="auto"/>
        <w:jc w:val="both"/>
      </w:pPr>
      <w:r>
        <w:rPr>
          <w:rFonts w:hint="eastAsia" w:ascii="&quot;Times New Roman&quot;" w:hAnsi="&quot;Times New Roman&quot;" w:eastAsia="&quot;Times New Roman&quot;"/>
          <w:sz w:val="24"/>
        </w:rPr>
        <w:t>根据MEDDEV 2.7.1第4版的要求，CE所有类别的医疗器械均要编制临床评价报告(Clinical Evaluation Report，简写为CER)。进行临床评价是制造商的责任，临床评价报告是医疗器械CE技术文件的一部分。仅提供临床数据来说明符合MDR的基本要求是不合适的，需要在临床评价报告中给予充分的理由来说明。</w:t>
      </w:r>
    </w:p>
    <w:p w14:paraId="54DE068F">
      <w:pPr>
        <w:spacing w:line="360" w:lineRule="auto"/>
        <w:ind w:left="810"/>
        <w:jc w:val="both"/>
      </w:pPr>
      <w:r>
        <w:rPr>
          <w:rFonts w:hint="eastAsia" w:ascii="&quot;Times New Roman&quot;" w:hAnsi="&quot;Times New Roman&quot;" w:eastAsia="&quot;Times New Roman&quot;"/>
          <w:sz w:val="24"/>
        </w:rPr>
        <w:t>4.2CE临床评价的时机和重要性</w:t>
      </w:r>
    </w:p>
    <w:p w14:paraId="436553C2">
      <w:pPr>
        <w:spacing w:line="360" w:lineRule="auto"/>
        <w:ind w:left="810"/>
        <w:jc w:val="both"/>
      </w:pPr>
      <w:r>
        <w:rPr>
          <w:rFonts w:hint="eastAsia" w:ascii="&quot;Times New Roman&quot;" w:hAnsi="&quot;Times New Roman&quot;" w:eastAsia="&quot;Times New Roman&quot;"/>
          <w:sz w:val="24"/>
        </w:rPr>
        <w:t>4.2.1进行CE临床评价是在贯穿医疗器械整个生命周期内持续进行的过程。</w:t>
      </w:r>
    </w:p>
    <w:p w14:paraId="3CC729F3">
      <w:pPr>
        <w:spacing w:line="360" w:lineRule="auto"/>
        <w:ind w:left="810"/>
        <w:jc w:val="both"/>
      </w:pPr>
      <w:r>
        <w:rPr>
          <w:rFonts w:hint="eastAsia" w:ascii="&quot;Times New Roman&quot;" w:hAnsi="&quot;Times New Roman&quot;" w:eastAsia="&quot;Times New Roman&quot;"/>
          <w:sz w:val="24"/>
        </w:rPr>
        <w:t>4.2.2通常在设计开发阶段就已经开始实施临床评价的过程，在上市前，研发应进行临床评价，</w:t>
      </w:r>
    </w:p>
    <w:p w14:paraId="042DDC29">
      <w:pPr>
        <w:spacing w:line="360" w:lineRule="auto"/>
        <w:jc w:val="both"/>
      </w:pPr>
      <w:r>
        <w:rPr>
          <w:rFonts w:hint="eastAsia" w:ascii="&quot;Times New Roman&quot;" w:hAnsi="&quot;Times New Roman&quot;" w:eastAsia="&quot;Times New Roman&quot;"/>
          <w:sz w:val="24"/>
        </w:rPr>
        <w:t>a）确定所需要的临床性能和安全要求；</w:t>
      </w:r>
    </w:p>
    <w:p w14:paraId="442C8E55">
      <w:pPr>
        <w:spacing w:line="360" w:lineRule="auto"/>
        <w:jc w:val="both"/>
      </w:pPr>
      <w:r>
        <w:rPr>
          <w:rFonts w:hint="eastAsia" w:ascii="&quot;Times New Roman&quot;" w:hAnsi="&quot;Times New Roman&quot;" w:eastAsia="&quot;Times New Roman&quot;"/>
          <w:sz w:val="24"/>
        </w:rPr>
        <w:t>b）对比等同的器械和获得的临床数据，确定等同性（等同性器械应考虑临床、技术和生物学三方面的比对，详见附录A1. Demonstration of equivalence）；</w:t>
      </w:r>
    </w:p>
    <w:p w14:paraId="7B74B671">
      <w:pPr>
        <w:spacing w:line="360" w:lineRule="auto"/>
        <w:jc w:val="both"/>
      </w:pPr>
      <w:r>
        <w:rPr>
          <w:rFonts w:hint="eastAsia" w:ascii="&quot;Times New Roman&quot;" w:hAnsi="&quot;Times New Roman&quot;" w:eastAsia="&quot;Times New Roman&quot;"/>
          <w:sz w:val="24"/>
        </w:rPr>
        <w:t>c）进行差异分析，确定临床调查的必要性。</w:t>
      </w:r>
    </w:p>
    <w:p w14:paraId="00A855F2">
      <w:pPr>
        <w:spacing w:line="360" w:lineRule="auto"/>
        <w:jc w:val="both"/>
      </w:pPr>
      <w:r>
        <w:rPr>
          <w:rFonts w:hint="eastAsia" w:ascii="&quot;Times New Roman&quot;" w:hAnsi="&quot;Times New Roman&quot;" w:eastAsia="&quot;Times New Roman&quot;"/>
          <w:sz w:val="24"/>
        </w:rPr>
        <w:t>4.2.3在首次CE认证时，临床评价是强制要求的，制造商应提供给公告机构和主管当局充分的临床评价来确保产品安全有效性，符合基本要求。满足上市后监管的要求，通常进行剩余风险的识别和未知的问题解决机制。</w:t>
      </w:r>
    </w:p>
    <w:p w14:paraId="453BD08A">
      <w:pPr>
        <w:spacing w:line="360" w:lineRule="auto"/>
        <w:ind w:left="810"/>
        <w:jc w:val="both"/>
      </w:pPr>
      <w:r>
        <w:rPr>
          <w:rFonts w:hint="eastAsia" w:ascii="&quot;Times New Roman&quot;" w:hAnsi="&quot;Times New Roman&quot;" w:eastAsia="&quot;Times New Roman&quot;"/>
          <w:sz w:val="24"/>
        </w:rPr>
        <w:t>4.2.4要求阶段性更新进行临床评价</w:t>
      </w:r>
    </w:p>
    <w:p w14:paraId="54C23F35">
      <w:pPr>
        <w:spacing w:line="360" w:lineRule="auto"/>
        <w:jc w:val="both"/>
      </w:pPr>
      <w:r>
        <w:rPr>
          <w:rFonts w:hint="eastAsia" w:ascii="&quot;Times New Roman&quot;" w:hAnsi="&quot;Times New Roman&quot;" w:eastAsia="&quot;Times New Roman&quot;"/>
          <w:sz w:val="24"/>
        </w:rPr>
        <w:t>a）当上市后监管系统接收临床信息，可能改变临床评价的相关数据，应对当前的评价进行修订；</w:t>
      </w:r>
    </w:p>
    <w:p w14:paraId="35F1C6D4">
      <w:pPr>
        <w:spacing w:line="360" w:lineRule="auto"/>
        <w:jc w:val="both"/>
      </w:pPr>
      <w:r>
        <w:rPr>
          <w:rFonts w:hint="eastAsia" w:ascii="&quot;Times New Roman&quot;" w:hAnsi="&quot;Times New Roman&quot;" w:eastAsia="&quot;Times New Roman&quot;"/>
          <w:sz w:val="24"/>
        </w:rPr>
        <w:t>b）高风险产品，应每年进行重复评价；</w:t>
      </w:r>
    </w:p>
    <w:p w14:paraId="5DB3D4A2">
      <w:pPr>
        <w:spacing w:line="360" w:lineRule="auto"/>
        <w:jc w:val="both"/>
      </w:pPr>
      <w:r>
        <w:rPr>
          <w:rFonts w:hint="eastAsia" w:ascii="&quot;Times New Roman&quot;" w:hAnsi="&quot;Times New Roman&quot;" w:eastAsia="&quot;Times New Roman&quot;"/>
          <w:sz w:val="24"/>
        </w:rPr>
        <w:t>c）非高风险产品，每2-5年进行重复评价。</w:t>
      </w:r>
    </w:p>
    <w:p w14:paraId="1D8D1B4E">
      <w:pPr>
        <w:spacing w:line="360" w:lineRule="auto"/>
        <w:jc w:val="both"/>
      </w:pPr>
      <w:r>
        <w:rPr>
          <w:rFonts w:hint="eastAsia" w:ascii="&quot;Times New Roman&quot;" w:hAnsi="&quot;Times New Roman&quot;" w:eastAsia="&quot;Times New Roman&quot;"/>
          <w:sz w:val="24"/>
        </w:rPr>
        <w:t>4.2.5重复临床评价产生的新数据应反过来导入给《上市后监管（Post Market Surveillance,</w:t>
      </w:r>
    </w:p>
    <w:p w14:paraId="32002886">
      <w:pPr>
        <w:spacing w:line="360" w:lineRule="auto"/>
        <w:jc w:val="both"/>
      </w:pPr>
      <w:r>
        <w:rPr>
          <w:rFonts w:hint="eastAsia" w:ascii="&quot;Times New Roman&quot;" w:hAnsi="&quot;Times New Roman&quot;" w:eastAsia="&quot;Times New Roman&quot;"/>
          <w:sz w:val="24"/>
        </w:rPr>
        <w:t>简写为 PMS）控制程序》和《风险管理（Risk Management）控制程序》，修改风险管理文档、使用说明书等内容。</w:t>
      </w:r>
    </w:p>
    <w:p w14:paraId="0FC5F9AD">
      <w:pPr>
        <w:spacing w:line="360" w:lineRule="auto"/>
        <w:ind w:left="810"/>
        <w:jc w:val="both"/>
      </w:pPr>
      <w:r>
        <w:rPr>
          <w:rFonts w:hint="eastAsia" w:ascii="&quot;Times New Roman&quot;" w:hAnsi="&quot;Times New Roman&quot;" w:eastAsia="&quot;Times New Roman&quot;"/>
          <w:sz w:val="24"/>
        </w:rPr>
        <w:t>4.2.6如果制造商没有进行充分的临床评价，不能够符合MDR基本要求时，应停止产品</w:t>
      </w:r>
    </w:p>
    <w:p w14:paraId="6D5F3FB5">
      <w:pPr>
        <w:spacing w:line="360" w:lineRule="auto"/>
        <w:jc w:val="both"/>
      </w:pPr>
      <w:r>
        <w:rPr>
          <w:rFonts w:hint="eastAsia" w:ascii="&quot;Times New Roman&quot;" w:hAnsi="&quot;Times New Roman&quot;" w:eastAsia="&quot;Times New Roman&quot;"/>
          <w:sz w:val="24"/>
        </w:rPr>
        <w:t>上市销售，直至符合基本要求，并采取适当的纠正预防措施。</w:t>
      </w:r>
    </w:p>
    <w:p w14:paraId="2EDB75FD">
      <w:pPr>
        <w:spacing w:line="360" w:lineRule="auto"/>
        <w:jc w:val="both"/>
      </w:pPr>
      <w:r>
        <w:rPr>
          <w:rFonts w:hint="eastAsia" w:ascii="&quot;Times New Roman&quot;" w:hAnsi="&quot;Times New Roman&quot;" w:eastAsia="&quot;Times New Roman&quot;"/>
          <w:sz w:val="24"/>
        </w:rPr>
        <w:t>4.3进行临床评价人员或团队的要求</w:t>
      </w:r>
    </w:p>
    <w:p w14:paraId="73A2CC0E">
      <w:pPr>
        <w:spacing w:line="360" w:lineRule="auto"/>
        <w:jc w:val="both"/>
      </w:pPr>
      <w:r>
        <w:rPr>
          <w:rFonts w:hint="eastAsia" w:ascii="&quot;Times New Roman&quot;" w:hAnsi="&quot;Times New Roman&quot;" w:eastAsia="&quot;Times New Roman&quot;"/>
          <w:sz w:val="24"/>
        </w:rPr>
        <w:t>4.3.1根据MEDDEV 2.7.1第4版的要求，临床评价者应具符合以下要求：</w:t>
      </w:r>
    </w:p>
    <w:p w14:paraId="3CC5EC63">
      <w:pPr>
        <w:spacing w:line="360" w:lineRule="auto"/>
        <w:jc w:val="both"/>
      </w:pPr>
      <w:r>
        <w:rPr>
          <w:rFonts w:hint="eastAsia" w:ascii="&quot;Times New Roman&quot;" w:hAnsi="&quot;Times New Roman&quot;" w:eastAsia="&quot;Times New Roman&quot;"/>
          <w:sz w:val="24"/>
        </w:rPr>
        <w:t>a)相关专业高等学历和5年的专业经验；若高等学历非指定工作的先决条件，需具备10年相关专业经验；</w:t>
      </w:r>
    </w:p>
    <w:p w14:paraId="25CF2D86">
      <w:pPr>
        <w:spacing w:line="360" w:lineRule="auto"/>
        <w:jc w:val="both"/>
      </w:pPr>
      <w:r>
        <w:rPr>
          <w:rFonts w:hint="eastAsia" w:ascii="&quot;Times New Roman&quot;" w:hAnsi="&quot;Times New Roman&quot;" w:eastAsia="&quot;Times New Roman&quot;"/>
          <w:sz w:val="24"/>
        </w:rPr>
        <w:t>b)临床评价者应了解产品特性和其临床的性能和风险，</w:t>
      </w:r>
    </w:p>
    <w:p w14:paraId="0B9AAF16">
      <w:pPr>
        <w:spacing w:line="360" w:lineRule="auto"/>
        <w:jc w:val="both"/>
      </w:pPr>
      <w:r>
        <w:rPr>
          <w:rFonts w:hint="eastAsia" w:ascii="&quot;Times New Roman&quot;" w:hAnsi="&quot;Times New Roman&quot;" w:eastAsia="&quot;Times New Roman&quot;"/>
          <w:sz w:val="24"/>
        </w:rPr>
        <w:t>c)熟悉临床调查的方法和统计学知识，熟悉法规和标准要求，能够进行信息处理，医学文件的编制。</w:t>
      </w:r>
    </w:p>
    <w:p w14:paraId="7D2B4702">
      <w:pPr>
        <w:spacing w:line="360" w:lineRule="auto"/>
        <w:jc w:val="both"/>
      </w:pPr>
      <w:r>
        <w:rPr>
          <w:rFonts w:hint="eastAsia" w:ascii="&quot;Times New Roman&quot;" w:hAnsi="&quot;Times New Roman&quot;" w:eastAsia="&quot;Times New Roman&quot;"/>
          <w:sz w:val="24"/>
        </w:rPr>
        <w:t>4.3.2临床评价者应提供其个人简历、与制造商之间利益关系的声明，该声明可参考附录</w:t>
      </w:r>
    </w:p>
    <w:p w14:paraId="6DB1D230">
      <w:pPr>
        <w:spacing w:line="360" w:lineRule="auto"/>
        <w:jc w:val="both"/>
      </w:pPr>
      <w:r>
        <w:rPr>
          <w:rFonts w:hint="eastAsia" w:ascii="&quot;Times New Roman&quot;" w:hAnsi="&quot;Times New Roman&quot;" w:eastAsia="&quot;Times New Roman&quot;"/>
          <w:sz w:val="24"/>
        </w:rPr>
        <w:t>A11。</w:t>
      </w:r>
    </w:p>
    <w:p w14:paraId="22C0E18F">
      <w:pPr>
        <w:spacing w:line="360" w:lineRule="auto"/>
        <w:jc w:val="both"/>
      </w:pPr>
      <w:r>
        <w:rPr>
          <w:rFonts w:hint="eastAsia" w:ascii="&quot;Times New Roman&quot;" w:hAnsi="&quot;Times New Roman&quot;" w:eastAsia="&quot;Times New Roman&quot;"/>
          <w:sz w:val="24"/>
        </w:rPr>
        <w:t>4.4临床评价的过程</w:t>
      </w:r>
    </w:p>
    <w:p w14:paraId="0F648A23">
      <w:pPr>
        <w:spacing w:line="360" w:lineRule="auto"/>
        <w:jc w:val="both"/>
      </w:pPr>
      <w:r>
        <w:rPr>
          <w:rFonts w:hint="eastAsia" w:ascii="SimSun, STSong" w:hAnsi="SimSun, STSong" w:eastAsia="SimSun, STSong"/>
          <w:sz w:val="21"/>
        </w:rPr>
        <w:t>根据MEDDEV2.7.1第4版的要求，临床评价可以分为以下5个过程：</w:t>
      </w:r>
    </w:p>
    <w:p w14:paraId="37FB914B">
      <w:pPr>
        <w:spacing w:line="360" w:lineRule="auto"/>
        <w:jc w:val="center"/>
      </w:pPr>
      <w:r>
        <w:drawing>
          <wp:inline distT="0" distB="0" distL="0" distR="0">
            <wp:extent cx="5048250" cy="48482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048250" cy="4848225"/>
                    </a:xfrm>
                    <a:prstGeom prst="rect">
                      <a:avLst/>
                    </a:prstGeom>
                  </pic:spPr>
                </pic:pic>
              </a:graphicData>
            </a:graphic>
          </wp:inline>
        </w:drawing>
      </w:r>
    </w:p>
    <w:p w14:paraId="5FDBC22C">
      <w:pPr>
        <w:spacing w:line="360" w:lineRule="auto"/>
        <w:jc w:val="both"/>
      </w:pPr>
      <w:r>
        <w:rPr>
          <w:rFonts w:hint="eastAsia" w:ascii="&quot;Times New Roman&quot;" w:hAnsi="&quot;Times New Roman&quot;" w:eastAsia="&quot;Times New Roman&quot;"/>
          <w:sz w:val="24"/>
        </w:rPr>
        <w:t>4.4.1Stage 0 阶段：确定范围、制定计划（Definition of the scope of the clinical evaluation）</w:t>
      </w:r>
    </w:p>
    <w:p w14:paraId="4989D0BC">
      <w:pPr>
        <w:spacing w:line="360" w:lineRule="auto"/>
        <w:jc w:val="both"/>
      </w:pPr>
      <w:r>
        <w:rPr>
          <w:rFonts w:hint="eastAsia" w:ascii="&quot;Times New Roman&quot;" w:hAnsi="&quot;Times New Roman&quot;" w:eastAsia="&quot;Times New Roman&quot;"/>
          <w:sz w:val="24"/>
        </w:rPr>
        <w:t>临床评价前，确定评价的范围，评价的任务，并分为CE认证前和CE认证后，可参考MEDDEV2.7.1第4版中第7章的表格。例如,待评价产品的描述；当声明产品等同，应评价等同资料；应获得当前医疗领域的认知和最新技术，例如适用的标准和指南等。</w:t>
      </w:r>
    </w:p>
    <w:p w14:paraId="21E0B48B">
      <w:pPr>
        <w:spacing w:line="360" w:lineRule="auto"/>
        <w:jc w:val="both"/>
      </w:pPr>
      <w:r>
        <w:rPr>
          <w:rFonts w:hint="eastAsia" w:ascii="&quot;Times New Roman&quot;" w:hAnsi="&quot;Times New Roman&quot;" w:eastAsia="&quot;Times New Roman&quot;"/>
          <w:sz w:val="24"/>
        </w:rPr>
        <w:t>4.4.2Stage 1 阶段：相关数据的识别(Identification of pertinent data)</w:t>
      </w:r>
    </w:p>
    <w:p w14:paraId="1287D87A">
      <w:pPr>
        <w:spacing w:line="360" w:lineRule="auto"/>
        <w:jc w:val="both"/>
      </w:pPr>
      <w:r>
        <w:rPr>
          <w:rFonts w:hint="eastAsia" w:ascii="&quot;Times New Roman&quot;" w:hAnsi="&quot;Times New Roman&quot;" w:eastAsia="&quot;Times New Roman&quot;"/>
          <w:sz w:val="24"/>
        </w:rPr>
        <w:t>评价者应识别制造商处已生成或持有的数据，所有数据应向评价者公开，包括但不限于：</w:t>
      </w:r>
    </w:p>
    <w:p w14:paraId="325CED33">
      <w:pPr>
        <w:spacing w:line="360" w:lineRule="auto"/>
        <w:jc w:val="both"/>
      </w:pPr>
      <w:r>
        <w:rPr>
          <w:rFonts w:hint="eastAsia" w:ascii="&quot;Times New Roman&quot;" w:hAnsi="&quot;Times New Roman&quot;" w:eastAsia="&quot;Times New Roman&quot;"/>
          <w:sz w:val="24"/>
        </w:rPr>
        <w:t>a）产品验证或确认的数据；</w:t>
      </w:r>
    </w:p>
    <w:p w14:paraId="1EB0961B">
      <w:pPr>
        <w:spacing w:line="360" w:lineRule="auto"/>
        <w:jc w:val="both"/>
      </w:pPr>
      <w:r>
        <w:rPr>
          <w:rFonts w:hint="eastAsia" w:ascii="&quot;Times New Roman&quot;" w:hAnsi="&quot;Times New Roman&quot;" w:eastAsia="&quot;Times New Roman&quot;"/>
          <w:sz w:val="24"/>
        </w:rPr>
        <w:t>b）上市前临床调查的数据；</w:t>
      </w:r>
    </w:p>
    <w:p w14:paraId="2A1C1DA9">
      <w:pPr>
        <w:spacing w:line="360" w:lineRule="auto"/>
        <w:jc w:val="both"/>
      </w:pPr>
      <w:r>
        <w:rPr>
          <w:rFonts w:hint="eastAsia" w:ascii="&quot;Times New Roman&quot;" w:hAnsi="&quot;Times New Roman&quot;" w:eastAsia="&quot;Times New Roman&quot;"/>
          <w:sz w:val="24"/>
        </w:rPr>
        <w:t>c）风险管理产生的数据；</w:t>
      </w:r>
    </w:p>
    <w:p w14:paraId="59B0F1EA">
      <w:pPr>
        <w:spacing w:line="360" w:lineRule="auto"/>
        <w:jc w:val="both"/>
      </w:pPr>
      <w:r>
        <w:rPr>
          <w:rFonts w:hint="eastAsia" w:ascii="&quot;Times New Roman&quot;" w:hAnsi="&quot;Times New Roman&quot;" w:eastAsia="&quot;Times New Roman&quot;"/>
          <w:sz w:val="24"/>
        </w:rPr>
        <w:t>d）PMS研究的数据；</w:t>
      </w:r>
    </w:p>
    <w:p w14:paraId="19E137E5">
      <w:pPr>
        <w:spacing w:line="360" w:lineRule="auto"/>
        <w:jc w:val="both"/>
      </w:pPr>
      <w:r>
        <w:rPr>
          <w:rFonts w:hint="eastAsia" w:ascii="&quot;Times New Roman&quot;" w:hAnsi="&quot;Times New Roman&quot;" w:eastAsia="&quot;Times New Roman&quot;"/>
          <w:sz w:val="24"/>
        </w:rPr>
        <w:t>e）文献检索和报告；</w:t>
      </w:r>
    </w:p>
    <w:p w14:paraId="06950316">
      <w:pPr>
        <w:spacing w:line="360" w:lineRule="auto"/>
        <w:jc w:val="both"/>
      </w:pPr>
      <w:r>
        <w:rPr>
          <w:rFonts w:hint="eastAsia" w:ascii="&quot;Times New Roman&quot;" w:hAnsi="&quot;Times New Roman&quot;" w:eastAsia="&quot;Times New Roman&quot;"/>
          <w:sz w:val="24"/>
        </w:rPr>
        <w:t>f）事故报告；</w:t>
      </w:r>
    </w:p>
    <w:p w14:paraId="2A0CA32D">
      <w:pPr>
        <w:spacing w:line="360" w:lineRule="auto"/>
        <w:jc w:val="both"/>
      </w:pPr>
      <w:r>
        <w:rPr>
          <w:rFonts w:hint="eastAsia" w:ascii="&quot;Times New Roman&quot;" w:hAnsi="&quot;Times New Roman&quot;" w:eastAsia="&quot;Times New Roman&quot;"/>
          <w:sz w:val="24"/>
        </w:rPr>
        <w:t>g）对产品安全和性能的投诉，及制造商自己的评估和处理报告；</w:t>
      </w:r>
    </w:p>
    <w:p w14:paraId="6FEC6C12">
      <w:pPr>
        <w:spacing w:line="360" w:lineRule="auto"/>
        <w:jc w:val="both"/>
      </w:pPr>
      <w:r>
        <w:rPr>
          <w:rFonts w:hint="eastAsia" w:ascii="&quot;Times New Roman&quot;" w:hAnsi="&quot;Times New Roman&quot;" w:eastAsia="&quot;Times New Roman&quot;"/>
          <w:sz w:val="24"/>
        </w:rPr>
        <w:t>h）现场纠正措施；</w:t>
      </w:r>
    </w:p>
    <w:p w14:paraId="218A7C3A">
      <w:pPr>
        <w:spacing w:line="360" w:lineRule="auto"/>
        <w:jc w:val="both"/>
      </w:pPr>
      <w:r>
        <w:rPr>
          <w:rFonts w:hint="eastAsia" w:ascii="&quot;Times New Roman&quot;" w:hAnsi="&quot;Times New Roman&quot;" w:eastAsia="&quot;Times New Roman&quot;"/>
          <w:sz w:val="24"/>
        </w:rPr>
        <w:t>i）定制产品、慈善和人道豁免使用的数据等。</w:t>
      </w:r>
    </w:p>
    <w:p w14:paraId="58A662E8">
      <w:pPr>
        <w:spacing w:line="360" w:lineRule="auto"/>
        <w:jc w:val="both"/>
      </w:pPr>
      <w:r>
        <w:rPr>
          <w:rFonts w:hint="eastAsia" w:ascii="&quot;Times New Roman&quot;" w:hAnsi="&quot;Times New Roman&quot;" w:eastAsia="&quot;Times New Roman&quot;"/>
          <w:sz w:val="24"/>
        </w:rPr>
        <w:t>其中，文献检索的规则详见附录A5.Literature search and literature review protocol, key elements，简要说明为：</w:t>
      </w:r>
    </w:p>
    <w:p w14:paraId="4166C610">
      <w:pPr>
        <w:spacing w:line="360" w:lineRule="auto"/>
        <w:jc w:val="both"/>
      </w:pPr>
      <w:r>
        <w:rPr>
          <w:rFonts w:hint="eastAsia" w:ascii="&quot;Times New Roman&quot;" w:hAnsi="&quot;Times New Roman&quot;" w:eastAsia="&quot;Times New Roman&quot;"/>
          <w:sz w:val="24"/>
        </w:rPr>
        <w:t>1）检索数据应完整和客观，包括有利和不利的数据；</w:t>
      </w:r>
    </w:p>
    <w:p w14:paraId="3916B6B8">
      <w:pPr>
        <w:spacing w:line="360" w:lineRule="auto"/>
        <w:jc w:val="both"/>
      </w:pPr>
      <w:r>
        <w:rPr>
          <w:rFonts w:hint="eastAsia" w:ascii="&quot;Times New Roman&quot;" w:hAnsi="&quot;Times New Roman&quot;" w:eastAsia="&quot;Times New Roman&quot;"/>
          <w:sz w:val="24"/>
        </w:rPr>
        <w:t>2）建立搜索方法protocol，列举搜索源网址和关键字等，例如MEDLINE、PUBMED、</w:t>
      </w:r>
    </w:p>
    <w:p w14:paraId="17ADC31C">
      <w:pPr>
        <w:spacing w:line="360" w:lineRule="auto"/>
        <w:jc w:val="both"/>
      </w:pPr>
      <w:r>
        <w:rPr>
          <w:rFonts w:hint="eastAsia" w:ascii="&quot;Times New Roman&quot;" w:hAnsi="&quot;Times New Roman&quot;" w:eastAsia="&quot;Times New Roman&quot;"/>
          <w:sz w:val="24"/>
        </w:rPr>
        <w:t>FDA不良事件、CFDA质量公告、召回等。</w:t>
      </w:r>
    </w:p>
    <w:p w14:paraId="688EAB0A">
      <w:pPr>
        <w:spacing w:line="360" w:lineRule="auto"/>
        <w:jc w:val="both"/>
      </w:pPr>
      <w:r>
        <w:rPr>
          <w:rFonts w:hint="eastAsia" w:ascii="&quot;Times New Roman&quot;" w:hAnsi="&quot;Times New Roman&quot;" w:eastAsia="&quot;Times New Roman&quot;"/>
          <w:sz w:val="24"/>
        </w:rPr>
        <w:t>4.4.3</w:t>
      </w:r>
      <w:r>
        <w:rPr>
          <w:rFonts w:hint="eastAsia" w:ascii="SimSun, STSong" w:hAnsi="SimSun, STSong" w:eastAsia="SimSun, STSong"/>
          <w:sz w:val="21"/>
        </w:rPr>
        <w:t>Stage 2 阶段：相关数据的判定（Appraisal of pertinent data)</w:t>
      </w:r>
    </w:p>
    <w:p w14:paraId="71BAD5E4">
      <w:pPr>
        <w:spacing w:line="360" w:lineRule="auto"/>
        <w:jc w:val="both"/>
      </w:pPr>
      <w:r>
        <w:rPr>
          <w:rFonts w:hint="eastAsia" w:ascii="&quot;Times New Roman&quot;" w:hAnsi="&quot;Times New Roman&quot;" w:eastAsia="&quot;Times New Roman&quot;"/>
          <w:sz w:val="24"/>
        </w:rPr>
        <w:t>评价者需要科学地评价相关数据的有效性、相关性和权重。评价者应制定一个评估计划，</w:t>
      </w:r>
    </w:p>
    <w:p w14:paraId="24830541">
      <w:pPr>
        <w:spacing w:line="360" w:lineRule="auto"/>
        <w:jc w:val="both"/>
      </w:pPr>
      <w:r>
        <w:rPr>
          <w:rFonts w:hint="eastAsia" w:ascii="&quot;Times New Roman&quot;" w:hAnsi="&quot;Times New Roman&quot;" w:eastAsia="&quot;Times New Roman&quot;"/>
          <w:sz w:val="24"/>
        </w:rPr>
        <w:t>以便于进行系统的无偏见的数据评估，该计划描述评价的流程和判定准则，通常包括：</w:t>
      </w:r>
    </w:p>
    <w:p w14:paraId="0641048C">
      <w:pPr>
        <w:spacing w:line="360" w:lineRule="auto"/>
        <w:jc w:val="both"/>
      </w:pPr>
      <w:r>
        <w:rPr>
          <w:rFonts w:hint="eastAsia" w:ascii="&quot;Times New Roman&quot;" w:hAnsi="&quot;Times New Roman&quot;" w:eastAsia="&quot;Times New Roman&quot;"/>
          <w:sz w:val="24"/>
        </w:rPr>
        <w:t>a）确定数据组采用的方法学质量和科学有效性；</w:t>
      </w:r>
    </w:p>
    <w:p w14:paraId="0F4300A5">
      <w:pPr>
        <w:spacing w:line="360" w:lineRule="auto"/>
        <w:jc w:val="both"/>
      </w:pPr>
      <w:r>
        <w:rPr>
          <w:rFonts w:hint="eastAsia" w:ascii="&quot;Times New Roman&quot;" w:hAnsi="&quot;Times New Roman&quot;" w:eastAsia="&quot;Times New Roman&quot;"/>
          <w:sz w:val="24"/>
        </w:rPr>
        <w:t>b）与临床评价不同方面的关系；</w:t>
      </w:r>
    </w:p>
    <w:p w14:paraId="0CA0327F">
      <w:pPr>
        <w:spacing w:line="360" w:lineRule="auto"/>
        <w:jc w:val="both"/>
      </w:pPr>
      <w:r>
        <w:rPr>
          <w:rFonts w:hint="eastAsia" w:ascii="&quot;Times New Roman&quot;" w:hAnsi="&quot;Times New Roman&quot;" w:eastAsia="&quot;Times New Roman&quot;"/>
          <w:sz w:val="24"/>
        </w:rPr>
        <w:t>c）确定每组数据对总体评价的加权。</w:t>
      </w:r>
    </w:p>
    <w:p w14:paraId="3E19D0CD">
      <w:pPr>
        <w:spacing w:line="360" w:lineRule="auto"/>
        <w:jc w:val="both"/>
      </w:pPr>
      <w:r>
        <w:rPr>
          <w:rFonts w:hint="eastAsia" w:ascii="&quot;Times New Roman&quot;" w:hAnsi="&quot;Times New Roman&quot;" w:eastAsia="&quot;Times New Roman&quot;"/>
          <w:sz w:val="24"/>
        </w:rPr>
        <w:t>全面和客观的评价，包括每个有利和无利的数据。对一些低风险的医疗器械，定</w:t>
      </w:r>
    </w:p>
    <w:p w14:paraId="2094C033">
      <w:pPr>
        <w:spacing w:line="360" w:lineRule="auto"/>
        <w:jc w:val="both"/>
      </w:pPr>
      <w:r>
        <w:rPr>
          <w:rFonts w:hint="eastAsia" w:ascii="&quot;Times New Roman&quot;" w:hAnsi="&quot;Times New Roman&quot;" w:eastAsia="&quot;Times New Roman&quot;"/>
          <w:sz w:val="24"/>
        </w:rPr>
        <w:t>性的数据分析也可以认为在满足MDR法规方面是充分的。</w:t>
      </w:r>
    </w:p>
    <w:p w14:paraId="3AE1520E">
      <w:pPr>
        <w:spacing w:line="360" w:lineRule="auto"/>
        <w:jc w:val="both"/>
      </w:pPr>
      <w:r>
        <w:rPr>
          <w:rFonts w:hint="eastAsia" w:ascii="&quot;Times New Roman&quot;" w:hAnsi="&quot;Times New Roman&quot;" w:eastAsia="&quot;Times New Roman&quot;"/>
          <w:sz w:val="24"/>
        </w:rPr>
        <w:t>4.4.4</w:t>
      </w:r>
      <w:r>
        <w:rPr>
          <w:rFonts w:hint="eastAsia" w:ascii="SimSun, STSong" w:hAnsi="SimSun, STSong" w:eastAsia="SimSun, STSong"/>
          <w:sz w:val="21"/>
        </w:rPr>
        <w:t>Stage 3 阶段：临床数据的分析（Analysis of the clinical data）</w:t>
      </w:r>
    </w:p>
    <w:p w14:paraId="48B80721">
      <w:pPr>
        <w:spacing w:line="360" w:lineRule="auto"/>
        <w:jc w:val="both"/>
      </w:pPr>
      <w:r>
        <w:rPr>
          <w:rFonts w:hint="eastAsia" w:ascii="&quot;Times New Roman&quot;" w:hAnsi="&quot;Times New Roman&quot;" w:eastAsia="&quot;Times New Roman&quot;"/>
          <w:sz w:val="24"/>
        </w:rPr>
        <w:t>实施临床数据分析目的是通过综合数据分析, 据此可以达成如下结论:</w:t>
      </w:r>
    </w:p>
    <w:p w14:paraId="1F24F1DD">
      <w:pPr>
        <w:spacing w:line="360" w:lineRule="auto"/>
        <w:jc w:val="both"/>
      </w:pPr>
      <w:r>
        <w:rPr>
          <w:rFonts w:hint="eastAsia" w:ascii="&quot;Times New Roman&quot;" w:hAnsi="&quot;Times New Roman&quot;" w:eastAsia="&quot;Times New Roman&quot;"/>
          <w:sz w:val="24"/>
        </w:rPr>
        <w:t>- 说明临床评价覆盖的产品、型号、尺寸、设置等各方面都有充足的数据；</w:t>
      </w:r>
    </w:p>
    <w:p w14:paraId="34D578E4">
      <w:pPr>
        <w:spacing w:line="360" w:lineRule="auto"/>
        <w:jc w:val="both"/>
      </w:pPr>
      <w:r>
        <w:rPr>
          <w:rFonts w:hint="eastAsia" w:ascii="&quot;Times New Roman&quot;" w:hAnsi="&quot;Times New Roman&quot;" w:eastAsia="&quot;Times New Roman&quot;"/>
          <w:sz w:val="24"/>
        </w:rPr>
        <w:t>- 符合器械的性能和安全的基本要求, 包括其收益/风险比；</w:t>
      </w:r>
    </w:p>
    <w:p w14:paraId="49E5A3C4">
      <w:pPr>
        <w:spacing w:line="360" w:lineRule="auto"/>
        <w:jc w:val="both"/>
      </w:pPr>
      <w:r>
        <w:rPr>
          <w:rFonts w:hint="eastAsia" w:ascii="&quot;Times New Roman&quot;" w:hAnsi="&quot;Times New Roman&quot;" w:eastAsia="&quot;Times New Roman&quot;"/>
          <w:sz w:val="24"/>
        </w:rPr>
        <w:t>- 制造商提供的信息内容 (包括标签, IFU,宣传材料, 制造商预测到的随机文件，风险管理文档的一致性)；</w:t>
      </w:r>
    </w:p>
    <w:p w14:paraId="32FB4213">
      <w:pPr>
        <w:spacing w:line="360" w:lineRule="auto"/>
        <w:jc w:val="both"/>
      </w:pPr>
      <w:r>
        <w:rPr>
          <w:rFonts w:hint="eastAsia" w:ascii="&quot;Times New Roman&quot;" w:hAnsi="&quot;Times New Roman&quot;" w:eastAsia="&quot;Times New Roman&quot;"/>
          <w:sz w:val="24"/>
        </w:rPr>
        <w:t>- 剩余风险和不确定或未回答的问题 (包括罕见的并发症、长期性能、 广泛使用时的安全性等), 这些是否在申请CE认证时可以接受, 以及是否需要在PMS中进行中长期评价，包含PMCF研究。</w:t>
      </w:r>
    </w:p>
    <w:p w14:paraId="42B86FBB">
      <w:pPr>
        <w:spacing w:line="360" w:lineRule="auto"/>
        <w:jc w:val="both"/>
      </w:pPr>
      <w:r>
        <w:rPr>
          <w:rFonts w:hint="eastAsia" w:ascii="&quot;Times New Roman&quot;" w:hAnsi="&quot;Times New Roman&quot;" w:eastAsia="&quot;Times New Roman&quot;"/>
          <w:sz w:val="24"/>
        </w:rPr>
        <w:t>4.4.5</w:t>
      </w:r>
      <w:r>
        <w:rPr>
          <w:rFonts w:hint="eastAsia" w:ascii="SimSun, STSong" w:hAnsi="SimSun, STSong" w:eastAsia="SimSun, STSong"/>
          <w:sz w:val="21"/>
        </w:rPr>
        <w:t>Stage 4 阶段：临床评价报告（The clinical evaluation report）</w:t>
      </w:r>
    </w:p>
    <w:p w14:paraId="41F1B1BB">
      <w:pPr>
        <w:spacing w:line="360" w:lineRule="auto"/>
        <w:jc w:val="both"/>
      </w:pPr>
      <w:r>
        <w:rPr>
          <w:rFonts w:hint="eastAsia" w:ascii="&quot;Times New Roman&quot;" w:hAnsi="&quot;Times New Roman&quot;" w:eastAsia="&quot;Times New Roman&quot;"/>
          <w:sz w:val="24"/>
        </w:rPr>
        <w:t>临床评价报告应是临床评价的完整输出，作为技术文件一部分，应建立临床证据文件引用的索引。临床评价报告可参考MEDDEV2.7.1第4版临床评价指南附录A9临床评估报告的推荐内容格式（A9.Clinical evaluation report-proposed table of contents, examples of contents）。在临床评价报告的审核、批准过程中可参考附录A10临床评估报告内容检查表(A10.Proposed checklist for the release of the clinical evaluation report)。</w:t>
      </w:r>
    </w:p>
    <w:p w14:paraId="69896719">
      <w:pPr>
        <w:pStyle w:val="2"/>
        <w:spacing w:line="480" w:lineRule="auto"/>
        <w:ind w:left="810"/>
        <w:jc w:val="both"/>
      </w:pPr>
      <w:r>
        <w:rPr>
          <w:rFonts w:hint="eastAsia"/>
          <w:b/>
        </w:rPr>
        <w:t>5.</w:t>
      </w:r>
      <w:r>
        <w:rPr>
          <w:rFonts w:hint="eastAsia" w:ascii="SimSun, STSong" w:hAnsi="SimSun, STSong" w:eastAsia="SimSun, STSong"/>
          <w:b/>
          <w:sz w:val="21"/>
        </w:rPr>
        <w:t>术语及定义 （来源于MEDDEV 2.7.1第4版）</w:t>
      </w:r>
    </w:p>
    <w:p w14:paraId="249FBAEB">
      <w:pPr>
        <w:spacing w:line="360" w:lineRule="auto"/>
        <w:jc w:val="both"/>
      </w:pPr>
      <w:r>
        <w:rPr>
          <w:rFonts w:hint="eastAsia" w:ascii="&quot;Times New Roman&quot;" w:hAnsi="&quot;Times New Roman&quot;" w:eastAsia="&quot;Times New Roman&quot;"/>
          <w:sz w:val="24"/>
        </w:rPr>
        <w:t>5.1临床评价（Clinical evaluation）: 临床评价是通过持续收集、评价并分析与医疗器械有关的临床数据，评价是否有足够的临床数据来确认在根据制造商的说明书使用医疗器械时，符合相关的安全和性能方面的基本要求。</w:t>
      </w:r>
    </w:p>
    <w:p w14:paraId="73A0F9E0">
      <w:pPr>
        <w:spacing w:line="360" w:lineRule="auto"/>
        <w:jc w:val="both"/>
      </w:pPr>
      <w:r>
        <w:rPr>
          <w:rFonts w:hint="eastAsia" w:ascii="&quot;Times New Roman&quot;" w:hAnsi="&quot;Times New Roman&quot;" w:eastAsia="&quot;Times New Roman&quot;"/>
          <w:sz w:val="24"/>
        </w:rPr>
        <w:t>5.2临床数据（Clinical data）：由医疗器械的临床使用生成的安全和/或性能信息，临床数据包括：</w:t>
      </w:r>
    </w:p>
    <w:p w14:paraId="2AE428B3">
      <w:pPr>
        <w:spacing w:line="360" w:lineRule="auto"/>
        <w:jc w:val="both"/>
      </w:pPr>
      <w:r>
        <w:rPr>
          <w:rFonts w:hint="eastAsia" w:ascii="&quot;Times New Roman&quot;" w:hAnsi="&quot;Times New Roman&quot;" w:eastAsia="&quot;Times New Roman&quot;"/>
          <w:sz w:val="24"/>
        </w:rPr>
        <w:t>-设备有关的临床调查；</w:t>
      </w:r>
    </w:p>
    <w:p w14:paraId="37EFD9D0">
      <w:pPr>
        <w:spacing w:line="360" w:lineRule="auto"/>
        <w:jc w:val="both"/>
      </w:pPr>
      <w:r>
        <w:rPr>
          <w:rFonts w:hint="eastAsia" w:ascii="&quot;Times New Roman&quot;" w:hAnsi="&quot;Times New Roman&quot;" w:eastAsia="&quot;Times New Roman&quot;"/>
          <w:sz w:val="24"/>
        </w:rPr>
        <w:t>-临床调查或科学文献的研究报告，或者类似设备的等价性问题可以被证明；</w:t>
      </w:r>
    </w:p>
    <w:p w14:paraId="51A92507">
      <w:pPr>
        <w:spacing w:line="360" w:lineRule="auto"/>
        <w:jc w:val="both"/>
      </w:pPr>
      <w:r>
        <w:rPr>
          <w:rFonts w:hint="eastAsia" w:ascii="&quot;Times New Roman&quot;" w:hAnsi="&quot;Times New Roman&quot;" w:eastAsia="&quot;Times New Roman&quot;"/>
          <w:sz w:val="24"/>
        </w:rPr>
        <w:t>-公开发表或未公开发表的相同设备或者等价性问题可以被证明相似设备的临床经验报告。</w:t>
      </w:r>
    </w:p>
    <w:p w14:paraId="0D8FEF30">
      <w:pPr>
        <w:spacing w:line="360" w:lineRule="auto"/>
        <w:jc w:val="both"/>
      </w:pPr>
      <w:r>
        <w:rPr>
          <w:rFonts w:hint="eastAsia" w:ascii="&quot;Times New Roman&quot;" w:hAnsi="&quot;Times New Roman&quot;" w:eastAsia="&quot;Times New Roman&quot;"/>
          <w:sz w:val="24"/>
        </w:rPr>
        <w:t>5.3上市后临床跟踪研究（Post Market Clinical Follow-Up Study）:在医疗器械获得CE标记后进行的研究，旨在回答与根据其批准的标签适用时，器械的临床安全性或性能（即残余风险）相关的具体问题。</w:t>
      </w:r>
    </w:p>
    <w:p w14:paraId="17AF0345">
      <w:pPr>
        <w:pStyle w:val="2"/>
        <w:spacing w:line="480" w:lineRule="auto"/>
        <w:ind w:left="810"/>
        <w:jc w:val="both"/>
      </w:pPr>
      <w:r>
        <w:rPr>
          <w:rFonts w:hint="eastAsia"/>
          <w:b/>
        </w:rPr>
        <w:t>6.相关文件</w:t>
      </w:r>
    </w:p>
    <w:p w14:paraId="750478EA">
      <w:pPr>
        <w:spacing w:line="360" w:lineRule="auto"/>
        <w:jc w:val="both"/>
      </w:pPr>
      <w:r>
        <w:rPr>
          <w:rFonts w:hint="eastAsia" w:ascii="&quot;Times New Roman&quot;" w:hAnsi="&quot;Times New Roman&quot;" w:eastAsia="&quot;Times New Roman&quot;"/>
          <w:sz w:val="24"/>
        </w:rPr>
        <w:t>《CE上市后监督控制程序》</w:t>
      </w:r>
    </w:p>
    <w:p w14:paraId="0A5B6E35">
      <w:pPr>
        <w:spacing w:line="360" w:lineRule="auto"/>
        <w:jc w:val="both"/>
      </w:pPr>
      <w:r>
        <w:rPr>
          <w:rFonts w:hint="eastAsia" w:ascii="SimSun, STSong" w:hAnsi="SimSun, STSong" w:eastAsia="SimSun, STSong"/>
          <w:sz w:val="21"/>
        </w:rPr>
        <w:t>《风险管理控制程序》</w:t>
      </w:r>
    </w:p>
    <w:p w14:paraId="003BF5BB">
      <w:pPr>
        <w:spacing w:line="360" w:lineRule="auto"/>
        <w:jc w:val="both"/>
      </w:pPr>
      <w:r>
        <w:rPr>
          <w:rFonts w:hint="eastAsia" w:ascii="SimSun, STSong" w:hAnsi="SimSun, STSong" w:eastAsia="SimSun, STSong"/>
          <w:sz w:val="21"/>
        </w:rPr>
        <w:t>MEDDEV 2.7.1第4版</w:t>
      </w:r>
    </w:p>
    <w:p w14:paraId="3DE87FFD">
      <w:pPr>
        <w:pStyle w:val="2"/>
        <w:spacing w:line="480" w:lineRule="auto"/>
        <w:ind w:left="810"/>
        <w:jc w:val="both"/>
      </w:pPr>
      <w:r>
        <w:rPr>
          <w:rFonts w:hint="eastAsia"/>
          <w:b/>
        </w:rPr>
        <w:t>7.相关记录</w:t>
      </w:r>
    </w:p>
    <w:p w14:paraId="5BC72EE1">
      <w:pPr>
        <w:spacing w:line="360" w:lineRule="auto"/>
        <w:jc w:val="both"/>
      </w:pPr>
      <w:r>
        <w:rPr>
          <w:rFonts w:hint="eastAsia" w:ascii="SimSun, STSong" w:hAnsi="SimSun, STSong" w:eastAsia="SimSun, STSong"/>
          <w:sz w:val="21"/>
        </w:rPr>
        <w:t>临床评价计划和报告</w:t>
      </w:r>
    </w:p>
    <w:p w14:paraId="0B0D6591">
      <w:pPr>
        <w:jc w:val="center"/>
        <w:rPr>
          <w:rFonts w:hint="eastAsia" w:eastAsia="宋体"/>
          <w:lang w:eastAsia="zh-CN"/>
        </w:rPr>
      </w:pPr>
    </w:p>
    <w:p w14:paraId="6658D4B8">
      <w:pPr>
        <w:jc w:val="center"/>
        <w:rPr>
          <w:rFonts w:hint="eastAsia" w:eastAsia="宋体"/>
          <w:lang w:eastAsia="zh-CN"/>
        </w:rPr>
      </w:pPr>
    </w:p>
    <w:p w14:paraId="5968304E">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7"/>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21">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quot;Times New Roman&quot;">
    <w:altName w:val="Segoe Print"/>
    <w:panose1 w:val="00000000000000000000"/>
    <w:charset w:val="00"/>
    <w:family w:val="auto"/>
    <w:pitch w:val="default"/>
    <w:sig w:usb0="00000000" w:usb1="00000000" w:usb2="00000000" w:usb3="00000000" w:csb0="00000000" w:csb1="00000000"/>
  </w:font>
  <w:font w:name="SimSun, STSong">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cumentProtection w:enforcement="0"/>
  <w:footnotePr>
    <w:footnote w:id="0"/>
    <w:footnote w:id="1"/>
  </w:footnotePr>
  <w:endnotePr>
    <w:endnote w:id="0"/>
    <w:endnote w:id="1"/>
  </w:endnotePr>
  <w:compat>
    <w:doNotExpandShiftReturn/>
    <w:useFELayout/>
    <w:compatSetting w:name="compatibilityMode" w:uri="http://schemas.microsoft.com/office/word" w:val="16"/>
    <w:compatSetting w:name="overrideTableStyleFontSizeAndJustification" w:uri="http://schemas.microsoft.com/office/word" w:val="1"/>
  </w:compat>
  <w:rsids>
    <w:rsidRoot w:val="00000000"/>
    <w:rsid w:val="1E0651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beforeLines="0" w:after="0" w:afterLines="0" w:line="240" w:lineRule="auto"/>
      <w:jc w:val="both"/>
    </w:pPr>
    <w:rPr>
      <w:rFonts w:ascii="Calibri" w:hAnsi="Calibri" w:eastAsia="等线" w:cs="21"/>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000000"/>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000000"/>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000000"/>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00000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left="720"/>
    </w:pPr>
  </w:style>
  <w:style w:type="paragraph" w:styleId="7">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8">
    <w:name w:val="header"/>
    <w:basedOn w:val="1"/>
    <w:link w:val="16"/>
    <w:unhideWhenUsed/>
    <w:qFormat/>
    <w:uiPriority w:val="99"/>
    <w:pPr>
      <w:tabs>
        <w:tab w:val="center" w:pos="4680"/>
        <w:tab w:val="right" w:pos="9360"/>
      </w:tabs>
    </w:pPr>
  </w:style>
  <w:style w:type="paragraph" w:styleId="9">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0">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table" w:styleId="12">
    <w:name w:val="Table Grid"/>
    <w:basedOn w:val="11"/>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Emphasis"/>
    <w:basedOn w:val="13"/>
    <w:qFormat/>
    <w:uiPriority w:val="20"/>
    <w:rPr>
      <w:i/>
      <w:iCs/>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link w:val="8"/>
    <w:qFormat/>
    <w:uiPriority w:val="99"/>
  </w:style>
  <w:style w:type="character" w:customStyle="1" w:styleId="17">
    <w:name w:val="Heading 1 Char"/>
    <w:basedOn w:val="13"/>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18">
    <w:name w:val="Heading 2 Char"/>
    <w:basedOn w:val="13"/>
    <w:link w:val="3"/>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9">
    <w:name w:val="Heading 3 Char"/>
    <w:basedOn w:val="13"/>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0">
    <w:name w:val="Heading 4 Char"/>
    <w:basedOn w:val="13"/>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1">
    <w:name w:val="Subtitle Char"/>
    <w:basedOn w:val="13"/>
    <w:link w:val="9"/>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2">
    <w:name w:val="Title Char"/>
    <w:basedOn w:val="13"/>
    <w:link w:val="10"/>
    <w:qFormat/>
    <w:uiPriority w:val="10"/>
    <w:rPr>
      <w:rFonts w:asciiTheme="majorHAnsi" w:hAnsiTheme="majorHAnsi" w:eastAsiaTheme="majorEastAsia" w:cstheme="majorBidi"/>
      <w:color w:val="17375E" w:themeColor="text2" w:themeShade="BF"/>
      <w:spacing w:val="5"/>
      <w:kern w:val="28"/>
      <w:sz w:val="52"/>
      <w:szCs w:val="5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2387</Words>
  <Characters>3023</Characters>
  <TotalTime>0</TotalTime>
  <ScaleCrop>false</ScaleCrop>
  <LinksUpToDate>false</LinksUpToDate>
  <CharactersWithSpaces>3120</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2025-08-14T06:15:54Z</dcterms:created>
  <dc:creator>太极箫客</dc:creator>
  <cp:lastModifiedBy>太极箫客</cp:lastModifiedBy>
  <dcterms:modified xsi:type="dcterms:W3CDTF">2025-08-14T06:15:54Z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9843C1B9E8804CD6AA69FB855F474C3A_12</vt:lpwstr>
  </property>
</Properties>
</file>