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798" w:rsidRDefault="00542164" w:rsidP="00E12BF0">
      <w:pPr>
        <w:pStyle w:val="a0"/>
        <w:spacing w:line="520" w:lineRule="exact"/>
        <w:ind w:firstLineChars="200" w:firstLine="880"/>
        <w:jc w:val="center"/>
        <w:rPr>
          <w:rFonts w:ascii="方正小标宋简体" w:eastAsia="方正小标宋简体"/>
          <w:sz w:val="44"/>
          <w:szCs w:val="44"/>
        </w:rPr>
      </w:pPr>
      <w:bookmarkStart w:id="0" w:name="OLE_LINK3"/>
      <w:bookmarkStart w:id="1" w:name="OLE_LINK1"/>
      <w:bookmarkStart w:id="2" w:name="OLE_LINK7"/>
      <w:bookmarkStart w:id="3" w:name="OLE_LINK11"/>
      <w:r>
        <w:rPr>
          <w:rFonts w:ascii="方正小标宋简体" w:eastAsia="方正小标宋简体" w:hint="eastAsia"/>
          <w:sz w:val="44"/>
          <w:szCs w:val="44"/>
        </w:rPr>
        <w:t>HLA</w:t>
      </w:r>
      <w:r w:rsidR="004A1007">
        <w:rPr>
          <w:rFonts w:eastAsia="仿宋_GB2312" w:hint="eastAsia"/>
          <w:sz w:val="44"/>
          <w:szCs w:val="44"/>
        </w:rPr>
        <w:t>-</w:t>
      </w:r>
      <w:r w:rsidR="004A1007">
        <w:rPr>
          <w:rFonts w:ascii="方正小标宋简体" w:eastAsia="方正小标宋简体" w:hint="eastAsia"/>
          <w:sz w:val="44"/>
          <w:szCs w:val="44"/>
        </w:rPr>
        <w:t>B*</w:t>
      </w:r>
      <w:bookmarkEnd w:id="0"/>
      <w:r w:rsidR="004A1007">
        <w:rPr>
          <w:rFonts w:ascii="方正小标宋简体" w:eastAsia="方正小标宋简体" w:hint="eastAsia"/>
          <w:sz w:val="44"/>
          <w:szCs w:val="44"/>
        </w:rPr>
        <w:t>58:01基因检测试剂注册审查指导原则</w:t>
      </w:r>
      <w:bookmarkEnd w:id="1"/>
      <w:r w:rsidR="00B715BE">
        <w:rPr>
          <w:rFonts w:ascii="方正小标宋简体" w:eastAsia="方正小标宋简体" w:hint="eastAsia"/>
          <w:sz w:val="44"/>
          <w:szCs w:val="44"/>
        </w:rPr>
        <w:t>（征求意见稿）</w:t>
      </w:r>
    </w:p>
    <w:bookmarkEnd w:id="2"/>
    <w:bookmarkEnd w:id="3"/>
    <w:p w:rsidR="00E05C9D" w:rsidRPr="00B715BE" w:rsidRDefault="00E05C9D" w:rsidP="00E12BF0">
      <w:pPr>
        <w:pStyle w:val="a0"/>
        <w:spacing w:line="520" w:lineRule="exact"/>
        <w:ind w:firstLineChars="200" w:firstLine="420"/>
        <w:jc w:val="center"/>
      </w:pPr>
    </w:p>
    <w:p w:rsidR="00554798" w:rsidRDefault="004A1007" w:rsidP="00E12BF0">
      <w:pPr>
        <w:spacing w:line="520" w:lineRule="exact"/>
        <w:ind w:firstLineChars="200" w:firstLine="640"/>
        <w:rPr>
          <w:rFonts w:eastAsia="仿宋_GB2312"/>
          <w:sz w:val="32"/>
          <w:szCs w:val="32"/>
        </w:rPr>
      </w:pPr>
      <w:r>
        <w:rPr>
          <w:rFonts w:eastAsia="仿宋_GB2312"/>
          <w:sz w:val="32"/>
          <w:szCs w:val="32"/>
        </w:rPr>
        <w:t>本指导原则旨在指导注册申请人对</w:t>
      </w:r>
      <w:bookmarkStart w:id="4" w:name="OLE_LINK2"/>
      <w:r w:rsidR="00542164">
        <w:rPr>
          <w:rFonts w:eastAsia="仿宋_GB2312" w:hint="eastAsia"/>
          <w:sz w:val="32"/>
          <w:szCs w:val="32"/>
        </w:rPr>
        <w:t>HLA</w:t>
      </w:r>
      <w:r>
        <w:rPr>
          <w:rFonts w:eastAsia="仿宋_GB2312" w:hint="eastAsia"/>
          <w:sz w:val="32"/>
          <w:szCs w:val="32"/>
        </w:rPr>
        <w:t>-B*58:01</w:t>
      </w:r>
      <w:r>
        <w:rPr>
          <w:rFonts w:eastAsia="仿宋_GB2312" w:hint="eastAsia"/>
          <w:sz w:val="32"/>
          <w:szCs w:val="32"/>
        </w:rPr>
        <w:t>基因</w:t>
      </w:r>
      <w:r>
        <w:rPr>
          <w:rFonts w:eastAsia="仿宋_GB2312"/>
          <w:sz w:val="32"/>
          <w:szCs w:val="32"/>
        </w:rPr>
        <w:t>检测试剂</w:t>
      </w:r>
      <w:bookmarkEnd w:id="4"/>
      <w:r>
        <w:rPr>
          <w:rFonts w:eastAsia="仿宋_GB2312"/>
          <w:sz w:val="32"/>
          <w:szCs w:val="32"/>
        </w:rPr>
        <w:t>注册申报资料的准备及撰写，同时也为技术审评部门提供参考。</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本指导原则是对</w:t>
      </w:r>
      <w:bookmarkStart w:id="5" w:name="OLE_LINK9"/>
      <w:bookmarkStart w:id="6" w:name="OLE_LINK10"/>
      <w:bookmarkStart w:id="7" w:name="OLE_LINK4"/>
      <w:bookmarkStart w:id="8" w:name="OLE_LINK5"/>
      <w:r>
        <w:rPr>
          <w:rFonts w:eastAsia="仿宋_GB2312" w:hint="eastAsia"/>
          <w:sz w:val="32"/>
          <w:szCs w:val="32"/>
        </w:rPr>
        <w:t>HLA-</w:t>
      </w:r>
      <w:r>
        <w:rPr>
          <w:rFonts w:eastAsia="仿宋_GB2312"/>
          <w:sz w:val="32"/>
          <w:szCs w:val="32"/>
        </w:rPr>
        <w:t>B*</w:t>
      </w:r>
      <w:bookmarkEnd w:id="5"/>
      <w:bookmarkEnd w:id="6"/>
      <w:r>
        <w:rPr>
          <w:rFonts w:eastAsia="仿宋_GB2312" w:hint="eastAsia"/>
          <w:sz w:val="32"/>
          <w:szCs w:val="32"/>
        </w:rPr>
        <w:t>58:01</w:t>
      </w:r>
      <w:r>
        <w:rPr>
          <w:rFonts w:eastAsia="仿宋_GB2312" w:hint="eastAsia"/>
          <w:sz w:val="32"/>
          <w:szCs w:val="32"/>
        </w:rPr>
        <w:t>基因</w:t>
      </w:r>
      <w:r>
        <w:rPr>
          <w:rFonts w:eastAsia="仿宋_GB2312"/>
          <w:sz w:val="32"/>
          <w:szCs w:val="32"/>
        </w:rPr>
        <w:t>检测试剂</w:t>
      </w:r>
      <w:bookmarkEnd w:id="7"/>
      <w:bookmarkEnd w:id="8"/>
      <w:r>
        <w:rPr>
          <w:rFonts w:eastAsia="仿宋_GB2312"/>
          <w:sz w:val="32"/>
          <w:szCs w:val="32"/>
        </w:rPr>
        <w:t>的一般要求，申请人应依据产品的具体特性确定其中内容是否适用。若不适用，需具体阐述理由及相应的科学依据，并依据产品的具体特性对注册申报资料的内容进行充实和细化。</w:t>
      </w:r>
      <w:r>
        <w:rPr>
          <w:rFonts w:eastAsia="仿宋_GB2312" w:hint="eastAsia"/>
          <w:sz w:val="32"/>
          <w:szCs w:val="32"/>
        </w:rPr>
        <w:t>同时本指导原则仅针对</w:t>
      </w:r>
      <w:r>
        <w:rPr>
          <w:rFonts w:eastAsia="仿宋_GB2312" w:hint="eastAsia"/>
          <w:sz w:val="32"/>
          <w:szCs w:val="32"/>
        </w:rPr>
        <w:t>HLA-B*58:01</w:t>
      </w:r>
      <w:r>
        <w:rPr>
          <w:rFonts w:eastAsia="仿宋_GB2312" w:hint="eastAsia"/>
          <w:sz w:val="32"/>
          <w:szCs w:val="32"/>
        </w:rPr>
        <w:t>基因检测试剂注册申报资料中的个性化要求进行撰写，其他通用要求和未尽事宜应当符合相关法规和指导原则要求。</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本指导原则</w:t>
      </w:r>
      <w:r>
        <w:rPr>
          <w:rFonts w:eastAsia="仿宋_GB2312" w:hint="eastAsia"/>
          <w:sz w:val="32"/>
          <w:szCs w:val="32"/>
        </w:rPr>
        <w:t>为</w:t>
      </w:r>
      <w:r>
        <w:rPr>
          <w:rFonts w:eastAsia="仿宋_GB2312"/>
          <w:sz w:val="32"/>
          <w:szCs w:val="32"/>
        </w:rPr>
        <w:t>注册申请人和技术审评人员使用的指导性文件，但不包括</w:t>
      </w:r>
      <w:proofErr w:type="gramStart"/>
      <w:r>
        <w:rPr>
          <w:rFonts w:eastAsia="仿宋_GB2312"/>
          <w:sz w:val="32"/>
          <w:szCs w:val="32"/>
        </w:rPr>
        <w:t>审评审批</w:t>
      </w:r>
      <w:proofErr w:type="gramEnd"/>
      <w:r>
        <w:rPr>
          <w:rFonts w:eastAsia="仿宋_GB2312"/>
          <w:sz w:val="32"/>
          <w:szCs w:val="32"/>
        </w:rPr>
        <w:t>所涉及的行政事项，亦不作为法规强制执行，应在遵循相关法规的前提下使用本指导原则。如果有能够满足相关法规要求的其他方法，也可以采用，但是需要提供详细的研究资料和验证资料。</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本指导原则是在现行法规和标准体系以及当前认知水平下制定，随着法规和标准的不断完善，以及科学技术的不断发展，相关内容也将适时进行调整。</w:t>
      </w:r>
    </w:p>
    <w:p w:rsidR="00554798" w:rsidRDefault="004A1007" w:rsidP="00E12BF0">
      <w:pPr>
        <w:spacing w:line="520" w:lineRule="exact"/>
        <w:ind w:firstLineChars="200" w:firstLine="640"/>
        <w:rPr>
          <w:rFonts w:eastAsia="仿宋_GB2312"/>
          <w:sz w:val="32"/>
          <w:szCs w:val="32"/>
          <w:lang w:val="zh-TW"/>
        </w:rPr>
      </w:pPr>
      <w:bookmarkStart w:id="9" w:name="OLE_LINK30"/>
      <w:bookmarkStart w:id="10" w:name="OLE_LINK31"/>
      <w:bookmarkStart w:id="11" w:name="OLE_LINK29"/>
      <w:r>
        <w:rPr>
          <w:rFonts w:eastAsia="仿宋_GB2312"/>
          <w:sz w:val="32"/>
          <w:szCs w:val="32"/>
        </w:rPr>
        <w:t>本指导原则针对相关产品注册申报资料中的部分内容进行撰写，其他未尽事宜应当符合相关法规要求。</w:t>
      </w:r>
    </w:p>
    <w:bookmarkEnd w:id="9"/>
    <w:bookmarkEnd w:id="10"/>
    <w:bookmarkEnd w:id="11"/>
    <w:p w:rsidR="00554798" w:rsidRDefault="004A1007" w:rsidP="00E12BF0">
      <w:pPr>
        <w:spacing w:line="520" w:lineRule="exact"/>
        <w:ind w:firstLineChars="200" w:firstLine="640"/>
        <w:rPr>
          <w:sz w:val="32"/>
          <w:szCs w:val="32"/>
          <w:lang w:val="zh-TW" w:eastAsia="zh-TW"/>
        </w:rPr>
      </w:pPr>
      <w:r>
        <w:rPr>
          <w:rFonts w:ascii="黑体" w:eastAsia="黑体" w:hAnsi="黑体" w:cs="黑体"/>
          <w:sz w:val="32"/>
          <w:szCs w:val="32"/>
          <w:lang w:val="zh-TW" w:eastAsia="zh-TW"/>
        </w:rPr>
        <w:t>一、适用范围</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本指导原则适用于基于荧光</w:t>
      </w:r>
      <w:r>
        <w:rPr>
          <w:rFonts w:eastAsia="仿宋_GB2312" w:hint="eastAsia"/>
          <w:sz w:val="32"/>
          <w:szCs w:val="32"/>
        </w:rPr>
        <w:t>PCR</w:t>
      </w:r>
      <w:r>
        <w:rPr>
          <w:rFonts w:eastAsia="仿宋_GB2312" w:hint="eastAsia"/>
          <w:sz w:val="32"/>
          <w:szCs w:val="32"/>
        </w:rPr>
        <w:t>法，定性检测人静脉全血样本中的</w:t>
      </w:r>
      <w:r>
        <w:rPr>
          <w:rFonts w:eastAsia="仿宋_GB2312" w:hint="eastAsia"/>
          <w:sz w:val="32"/>
          <w:szCs w:val="32"/>
        </w:rPr>
        <w:t xml:space="preserve"> HLA-B*58:01</w:t>
      </w:r>
      <w:r>
        <w:rPr>
          <w:rFonts w:eastAsia="仿宋_GB2312" w:hint="eastAsia"/>
          <w:sz w:val="32"/>
          <w:szCs w:val="32"/>
        </w:rPr>
        <w:t>基因，用于计划服用别嘌呤醇</w:t>
      </w:r>
      <w:r>
        <w:rPr>
          <w:rFonts w:eastAsia="仿宋_GB2312" w:hint="eastAsia"/>
          <w:sz w:val="32"/>
          <w:szCs w:val="32"/>
        </w:rPr>
        <w:lastRenderedPageBreak/>
        <w:t>治疗痛风、高尿酸血症等疾病患者的用药指导，</w:t>
      </w:r>
      <w:r>
        <w:rPr>
          <w:rFonts w:eastAsia="仿宋_GB2312" w:hint="eastAsia"/>
          <w:sz w:val="32"/>
          <w:szCs w:val="32"/>
        </w:rPr>
        <w:t xml:space="preserve"> </w:t>
      </w:r>
      <w:r>
        <w:rPr>
          <w:rFonts w:eastAsia="仿宋_GB2312" w:hint="eastAsia"/>
          <w:sz w:val="32"/>
          <w:szCs w:val="32"/>
        </w:rPr>
        <w:t>以避免严重皮肤不良反应的试剂。</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对于采用其他分子生物学检测方法（如基因测序法）或其他样本类型的检测试剂，可能部分要求不完全适用或本文所述内容不够全面；申请人可参考本指导原则，同时依据产品特性对适用部分进行评价，对不适用部分阐述不适用的理由，并验证替代方法的科学合理性。</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HLA-B*58:01</w:t>
      </w:r>
      <w:r>
        <w:rPr>
          <w:rFonts w:eastAsia="仿宋_GB2312" w:hint="eastAsia"/>
          <w:sz w:val="32"/>
          <w:szCs w:val="32"/>
        </w:rPr>
        <w:t>等位基因与治疗高尿酸血症和痛风的常用药别嘌呤醇引发的</w:t>
      </w:r>
      <w:proofErr w:type="gramStart"/>
      <w:r>
        <w:rPr>
          <w:rFonts w:eastAsia="仿宋_GB2312" w:hint="eastAsia"/>
          <w:sz w:val="32"/>
          <w:szCs w:val="32"/>
        </w:rPr>
        <w:t>药物超</w:t>
      </w:r>
      <w:proofErr w:type="gramEnd"/>
      <w:r>
        <w:rPr>
          <w:rFonts w:eastAsia="仿宋_GB2312" w:hint="eastAsia"/>
          <w:sz w:val="32"/>
          <w:szCs w:val="32"/>
        </w:rPr>
        <w:t>敏反应相关，通过检测</w:t>
      </w:r>
      <w:r>
        <w:rPr>
          <w:rFonts w:eastAsia="仿宋_GB2312" w:hint="eastAsia"/>
          <w:sz w:val="32"/>
          <w:szCs w:val="32"/>
        </w:rPr>
        <w:t>HLA-B*58:01</w:t>
      </w:r>
      <w:r>
        <w:rPr>
          <w:rFonts w:eastAsia="仿宋_GB2312" w:hint="eastAsia"/>
          <w:sz w:val="32"/>
          <w:szCs w:val="32"/>
        </w:rPr>
        <w:t>等位基因可以辅助判断患者服用别嘌呤醇发生过敏反应的风险</w:t>
      </w:r>
      <w:r>
        <w:rPr>
          <w:rFonts w:eastAsia="仿宋_GB2312" w:hint="eastAsia"/>
          <w:sz w:val="32"/>
          <w:szCs w:val="32"/>
        </w:rPr>
        <w:t xml:space="preserve"> </w:t>
      </w:r>
      <w:r>
        <w:rPr>
          <w:rFonts w:eastAsia="仿宋_GB2312" w:hint="eastAsia"/>
          <w:sz w:val="32"/>
          <w:szCs w:val="32"/>
        </w:rPr>
        <w:t>。高尿酸血症和痛风是慢性肾病、高血压、心脑血管疾病及糖尿病等疾病的独立危险因素，是过早死亡的独立预测因子。别嘌呤醇是降尿酸的一线药物之一，但该药可引起史蒂文斯</w:t>
      </w:r>
      <w:r>
        <w:rPr>
          <w:rFonts w:eastAsia="仿宋_GB2312" w:hint="eastAsia"/>
          <w:sz w:val="32"/>
          <w:szCs w:val="32"/>
        </w:rPr>
        <w:t>-</w:t>
      </w:r>
      <w:r>
        <w:rPr>
          <w:rFonts w:eastAsia="仿宋_GB2312" w:hint="eastAsia"/>
          <w:sz w:val="32"/>
          <w:szCs w:val="32"/>
        </w:rPr>
        <w:t>约翰逊综合征及中毒性表皮坏死症等严重皮肤不良反应。因此，</w:t>
      </w:r>
      <w:r>
        <w:rPr>
          <w:rFonts w:eastAsia="仿宋_GB2312" w:hint="eastAsia"/>
          <w:sz w:val="32"/>
          <w:szCs w:val="32"/>
        </w:rPr>
        <w:t xml:space="preserve"> HLA-B*58:01</w:t>
      </w:r>
      <w:r>
        <w:rPr>
          <w:rFonts w:eastAsia="仿宋_GB2312" w:hint="eastAsia"/>
          <w:sz w:val="32"/>
          <w:szCs w:val="32"/>
        </w:rPr>
        <w:t>基因检测具有重要的临床意义。</w:t>
      </w:r>
    </w:p>
    <w:p w:rsidR="00554798" w:rsidRDefault="004A1007" w:rsidP="00E12BF0">
      <w:pPr>
        <w:spacing w:line="520" w:lineRule="exact"/>
        <w:ind w:firstLineChars="200" w:firstLine="640"/>
        <w:rPr>
          <w:sz w:val="32"/>
          <w:szCs w:val="32"/>
          <w:lang w:val="zh-TW"/>
        </w:rPr>
      </w:pPr>
      <w:r>
        <w:rPr>
          <w:rFonts w:ascii="黑体" w:eastAsia="黑体" w:hAnsi="黑体" w:cs="黑体"/>
          <w:sz w:val="32"/>
          <w:szCs w:val="32"/>
          <w:lang w:val="zh-TW" w:eastAsia="zh-TW"/>
        </w:rPr>
        <w:t>二、注册审查要点</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一</w:t>
      </w:r>
      <w:r>
        <w:rPr>
          <w:rFonts w:eastAsia="仿宋_GB2312"/>
          <w:sz w:val="32"/>
          <w:szCs w:val="32"/>
        </w:rPr>
        <w:t>）</w:t>
      </w:r>
      <w:r>
        <w:rPr>
          <w:rFonts w:eastAsia="仿宋_GB2312" w:hint="eastAsia"/>
          <w:sz w:val="32"/>
          <w:szCs w:val="32"/>
        </w:rPr>
        <w:t>综述资料</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综述资料主要包括产品概述、产品综述、预期用途、申报产品上市历史及其他需说明的内容，具体可参考</w:t>
      </w:r>
      <w:r w:rsidRPr="00144B17">
        <w:rPr>
          <w:rFonts w:eastAsia="仿宋_GB2312" w:hint="eastAsia"/>
          <w:sz w:val="32"/>
          <w:szCs w:val="32"/>
        </w:rPr>
        <w:t>《</w:t>
      </w:r>
      <w:r w:rsidR="004F28CD" w:rsidRPr="00144B17">
        <w:rPr>
          <w:rFonts w:eastAsia="仿宋_GB2312" w:hint="eastAsia"/>
          <w:sz w:val="32"/>
          <w:szCs w:val="32"/>
        </w:rPr>
        <w:t>关于公布体外诊断试剂注册申报资料要求和批准证明文件格式的公告</w:t>
      </w:r>
      <w:r w:rsidRPr="00144B17">
        <w:rPr>
          <w:rFonts w:eastAsia="仿宋_GB2312" w:hint="eastAsia"/>
          <w:sz w:val="32"/>
          <w:szCs w:val="32"/>
        </w:rPr>
        <w:t>》（国家药品监督管理局公告</w:t>
      </w:r>
      <w:r w:rsidRPr="00144B17">
        <w:rPr>
          <w:rFonts w:eastAsia="仿宋_GB2312"/>
          <w:sz w:val="32"/>
          <w:szCs w:val="32"/>
        </w:rPr>
        <w:t>2021</w:t>
      </w:r>
      <w:r w:rsidRPr="00144B17">
        <w:rPr>
          <w:rFonts w:eastAsia="仿宋_GB2312" w:hint="eastAsia"/>
          <w:sz w:val="32"/>
          <w:szCs w:val="32"/>
        </w:rPr>
        <w:t>年第</w:t>
      </w:r>
      <w:r w:rsidRPr="00144B17">
        <w:rPr>
          <w:rFonts w:eastAsia="仿宋_GB2312"/>
          <w:sz w:val="32"/>
          <w:szCs w:val="32"/>
        </w:rPr>
        <w:t>122</w:t>
      </w:r>
      <w:r w:rsidRPr="00144B17">
        <w:rPr>
          <w:rFonts w:eastAsia="仿宋_GB2312" w:hint="eastAsia"/>
          <w:sz w:val="32"/>
          <w:szCs w:val="32"/>
        </w:rPr>
        <w:t>号）</w:t>
      </w:r>
      <w:r w:rsidR="004F28CD" w:rsidRPr="00144B17">
        <w:rPr>
          <w:rFonts w:eastAsia="仿宋_GB2312" w:hint="eastAsia"/>
          <w:sz w:val="32"/>
          <w:szCs w:val="32"/>
        </w:rPr>
        <w:t>附件</w:t>
      </w:r>
      <w:r w:rsidR="004F28CD" w:rsidRPr="00144B17">
        <w:rPr>
          <w:rFonts w:eastAsia="仿宋_GB2312" w:hint="eastAsia"/>
          <w:sz w:val="32"/>
          <w:szCs w:val="32"/>
        </w:rPr>
        <w:t>4</w:t>
      </w:r>
      <w:r w:rsidRPr="00144B17">
        <w:rPr>
          <w:rFonts w:eastAsia="仿宋_GB2312" w:hint="eastAsia"/>
          <w:sz w:val="32"/>
          <w:szCs w:val="32"/>
        </w:rPr>
        <w:t>。</w:t>
      </w:r>
      <w:r>
        <w:rPr>
          <w:rFonts w:eastAsia="仿宋_GB2312" w:hint="eastAsia"/>
          <w:sz w:val="32"/>
          <w:szCs w:val="32"/>
        </w:rPr>
        <w:t>建议申请人额外注意以下内容：</w:t>
      </w:r>
    </w:p>
    <w:p w:rsidR="00554798" w:rsidRDefault="004A1007" w:rsidP="00E12BF0">
      <w:pPr>
        <w:spacing w:line="520" w:lineRule="exact"/>
        <w:ind w:firstLineChars="200" w:firstLine="640"/>
        <w:jc w:val="left"/>
        <w:rPr>
          <w:rFonts w:ascii="仿宋_GB2312" w:eastAsia="仿宋_GB2312" w:cs="Times New Roman"/>
          <w:sz w:val="32"/>
          <w:szCs w:val="32"/>
        </w:rPr>
      </w:pPr>
      <w:r>
        <w:rPr>
          <w:rFonts w:ascii="仿宋_GB2312" w:eastAsia="仿宋_GB2312" w:cs="Times New Roman" w:hint="eastAsia"/>
          <w:sz w:val="32"/>
          <w:szCs w:val="32"/>
        </w:rPr>
        <w:t>检验原理以图示结合文字的形式描述申报产品的目标靶区域、检测原理、检测过程和结果判读。</w:t>
      </w:r>
    </w:p>
    <w:p w:rsidR="00554798" w:rsidRDefault="004A1007" w:rsidP="00E12BF0">
      <w:pPr>
        <w:spacing w:line="520" w:lineRule="exact"/>
        <w:ind w:firstLineChars="200" w:firstLine="640"/>
        <w:jc w:val="left"/>
        <w:rPr>
          <w:rFonts w:ascii="仿宋_GB2312" w:eastAsia="仿宋_GB2312" w:cs="Times New Roman"/>
          <w:sz w:val="32"/>
          <w:szCs w:val="32"/>
        </w:rPr>
      </w:pPr>
      <w:r>
        <w:rPr>
          <w:rFonts w:ascii="仿宋_GB2312" w:eastAsia="仿宋_GB2312" w:cs="Times New Roman" w:hint="eastAsia"/>
          <w:sz w:val="32"/>
          <w:szCs w:val="32"/>
        </w:rPr>
        <w:t>明确申报产品检测单个样本所需时间，每个检测周期</w:t>
      </w:r>
      <w:r>
        <w:rPr>
          <w:rFonts w:ascii="仿宋_GB2312" w:eastAsia="仿宋_GB2312" w:cs="Times New Roman" w:hint="eastAsia"/>
          <w:sz w:val="32"/>
          <w:szCs w:val="32"/>
        </w:rPr>
        <w:lastRenderedPageBreak/>
        <w:t>最多可检测样本数量及检测所需时间（从全血样本处理开始</w:t>
      </w:r>
      <w:proofErr w:type="gramStart"/>
      <w:r>
        <w:rPr>
          <w:rFonts w:ascii="仿宋_GB2312" w:eastAsia="仿宋_GB2312" w:cs="Times New Roman" w:hint="eastAsia"/>
          <w:sz w:val="32"/>
          <w:szCs w:val="32"/>
        </w:rPr>
        <w:t>至结果</w:t>
      </w:r>
      <w:proofErr w:type="gramEnd"/>
      <w:r>
        <w:rPr>
          <w:rFonts w:ascii="仿宋_GB2312" w:eastAsia="仿宋_GB2312" w:cs="Times New Roman" w:hint="eastAsia"/>
          <w:sz w:val="32"/>
          <w:szCs w:val="32"/>
        </w:rPr>
        <w:t>分析结束）。</w:t>
      </w:r>
    </w:p>
    <w:p w:rsidR="00554798" w:rsidRDefault="004A1007" w:rsidP="00E12BF0">
      <w:pPr>
        <w:spacing w:line="520" w:lineRule="exact"/>
        <w:ind w:firstLineChars="200" w:firstLine="640"/>
        <w:jc w:val="left"/>
        <w:rPr>
          <w:rFonts w:ascii="仿宋_GB2312" w:eastAsia="仿宋_GB2312" w:cs="Times New Roman"/>
          <w:sz w:val="32"/>
          <w:szCs w:val="32"/>
        </w:rPr>
      </w:pPr>
      <w:r>
        <w:rPr>
          <w:rFonts w:ascii="仿宋_GB2312" w:eastAsia="仿宋_GB2312" w:cs="Times New Roman" w:hint="eastAsia"/>
          <w:sz w:val="32"/>
          <w:szCs w:val="32"/>
        </w:rPr>
        <w:t>产品包装描述部分，为便于理解申报产品设计、检测原理和结果判读方法，充分评估申报产品的使用风险，建议在产品描述部分提交申报产品外包装及试剂盒中各组分的实物图片。</w:t>
      </w:r>
    </w:p>
    <w:p w:rsidR="00554798" w:rsidRDefault="004A1007" w:rsidP="00E12BF0">
      <w:pPr>
        <w:spacing w:line="520" w:lineRule="exact"/>
        <w:ind w:firstLineChars="200" w:firstLine="640"/>
        <w:jc w:val="left"/>
        <w:rPr>
          <w:rFonts w:ascii="仿宋_GB2312" w:eastAsia="仿宋_GB2312" w:cs="Times New Roman"/>
          <w:sz w:val="32"/>
          <w:szCs w:val="32"/>
        </w:rPr>
      </w:pPr>
      <w:r>
        <w:rPr>
          <w:rFonts w:ascii="仿宋_GB2312" w:eastAsia="仿宋_GB2312" w:cs="Times New Roman" w:hint="eastAsia"/>
          <w:sz w:val="32"/>
          <w:szCs w:val="32"/>
        </w:rPr>
        <w:t>其他需说明的内容部分，概括描述整个检测系统的组成，提供配套申报产品使用的仪器、试剂和软件的注册信息，提供核酸提取试剂及其他如需提供的说明书。</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（二）非临床资料</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产品技术要求及检验报告</w:t>
      </w:r>
    </w:p>
    <w:p w:rsidR="006410D2" w:rsidRDefault="004A1007" w:rsidP="00E12BF0">
      <w:pPr>
        <w:spacing w:line="520" w:lineRule="exact"/>
        <w:ind w:firstLineChars="200" w:firstLine="640"/>
        <w:rPr>
          <w:rFonts w:eastAsia="仿宋_GB2312"/>
          <w:sz w:val="32"/>
          <w:szCs w:val="32"/>
        </w:rPr>
      </w:pPr>
      <w:r>
        <w:rPr>
          <w:rFonts w:eastAsia="仿宋_GB2312" w:hint="eastAsia"/>
          <w:sz w:val="32"/>
          <w:szCs w:val="32"/>
        </w:rPr>
        <w:t>注册申请人应当在原材料质量和生产工艺稳定的前提下，根据产品研制、前期评价等结果，依据相关文件资料，结合产品特性按照《医疗器械产品技术要求编写指导原则》的要求编写。性能指标建议参考</w:t>
      </w:r>
      <w:proofErr w:type="gramStart"/>
      <w:r>
        <w:rPr>
          <w:rFonts w:eastAsia="仿宋_GB2312" w:hint="eastAsia"/>
          <w:sz w:val="32"/>
          <w:szCs w:val="32"/>
        </w:rPr>
        <w:t>相关行标如</w:t>
      </w:r>
      <w:proofErr w:type="gramEnd"/>
      <w:r>
        <w:rPr>
          <w:rFonts w:eastAsia="仿宋_GB2312" w:hint="eastAsia"/>
          <w:sz w:val="32"/>
          <w:szCs w:val="32"/>
        </w:rPr>
        <w:t>《人类白细胞抗原（</w:t>
      </w:r>
      <w:r>
        <w:rPr>
          <w:rFonts w:eastAsia="仿宋_GB2312" w:hint="eastAsia"/>
          <w:sz w:val="32"/>
          <w:szCs w:val="32"/>
        </w:rPr>
        <w:t>HLA</w:t>
      </w:r>
      <w:r>
        <w:rPr>
          <w:rFonts w:eastAsia="仿宋_GB2312" w:hint="eastAsia"/>
          <w:sz w:val="32"/>
          <w:szCs w:val="32"/>
        </w:rPr>
        <w:t>）基因分型检测试剂盒》的要求，设定阳性符合率、阴性符合率、重复性和检测限（</w:t>
      </w:r>
      <w:proofErr w:type="gramStart"/>
      <w:r>
        <w:rPr>
          <w:rFonts w:eastAsia="仿宋_GB2312" w:hint="eastAsia"/>
          <w:sz w:val="32"/>
          <w:szCs w:val="32"/>
        </w:rPr>
        <w:t>上样</w:t>
      </w:r>
      <w:proofErr w:type="gramEnd"/>
      <w:r>
        <w:rPr>
          <w:rFonts w:eastAsia="仿宋_GB2312" w:hint="eastAsia"/>
          <w:sz w:val="32"/>
          <w:szCs w:val="32"/>
        </w:rPr>
        <w:t>D</w:t>
      </w:r>
      <w:r>
        <w:rPr>
          <w:rFonts w:eastAsia="仿宋_GB2312"/>
          <w:sz w:val="32"/>
          <w:szCs w:val="32"/>
        </w:rPr>
        <w:t>NA</w:t>
      </w:r>
      <w:r>
        <w:rPr>
          <w:rFonts w:eastAsia="仿宋_GB2312" w:hint="eastAsia"/>
          <w:sz w:val="32"/>
          <w:szCs w:val="32"/>
        </w:rPr>
        <w:t>浓度下限）。</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该类产品作为第三类体外诊断试剂，应当以附录形式明确主要原材料以及生产工艺要求。</w:t>
      </w:r>
      <w:r w:rsidR="006410D2">
        <w:rPr>
          <w:rFonts w:eastAsia="仿宋_GB2312" w:hint="eastAsia"/>
          <w:sz w:val="32"/>
          <w:szCs w:val="32"/>
        </w:rPr>
        <w:t>同时，建议在技术要求附录中详细描述企业参考品的设置和制备过程，明确各企业参考品的样本类型、等位基因和</w:t>
      </w:r>
      <w:r w:rsidR="006410D2">
        <w:rPr>
          <w:rFonts w:eastAsia="仿宋_GB2312" w:hint="eastAsia"/>
          <w:sz w:val="32"/>
          <w:szCs w:val="32"/>
        </w:rPr>
        <w:t>D</w:t>
      </w:r>
      <w:r w:rsidR="006410D2">
        <w:rPr>
          <w:rFonts w:eastAsia="仿宋_GB2312"/>
          <w:sz w:val="32"/>
          <w:szCs w:val="32"/>
        </w:rPr>
        <w:t>NA</w:t>
      </w:r>
      <w:r w:rsidR="006410D2">
        <w:rPr>
          <w:rFonts w:eastAsia="仿宋_GB2312" w:hint="eastAsia"/>
          <w:sz w:val="32"/>
          <w:szCs w:val="32"/>
        </w:rPr>
        <w:t>浓度。</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第三类体外诊断试剂应当提供三个不同生产批次产品的检验报告。目前已有适用的国家标准品发布，技术要求中应体现国家标准品的相关要求。</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分析性能研究</w:t>
      </w:r>
    </w:p>
    <w:p w:rsidR="00554798" w:rsidRDefault="004A1007" w:rsidP="00E12BF0">
      <w:pPr>
        <w:spacing w:line="520" w:lineRule="exact"/>
        <w:ind w:firstLineChars="200" w:firstLine="640"/>
        <w:rPr>
          <w:color w:val="FF0000"/>
          <w:sz w:val="32"/>
          <w:szCs w:val="32"/>
          <w:u w:color="FF0000"/>
          <w:lang w:val="zh-TW" w:eastAsia="zh-TW"/>
        </w:rPr>
      </w:pPr>
      <w:r>
        <w:rPr>
          <w:rFonts w:eastAsia="仿宋_GB2312"/>
          <w:sz w:val="32"/>
          <w:szCs w:val="32"/>
        </w:rPr>
        <w:lastRenderedPageBreak/>
        <w:t>注册申请人应提交在符合质量管理体系的环境下生产的试剂盒进行的所有分析性能评估资料，包括具体试验方案、试验数据、统计分析结果及结论等详细资料。有关试验的背景信息也应在申报资料中进行描述，</w:t>
      </w:r>
      <w:r>
        <w:rPr>
          <w:rFonts w:ascii="仿宋_GB2312" w:eastAsia="仿宋_GB2312" w:hAnsi="仿宋_GB2312" w:cs="仿宋_GB2312"/>
          <w:sz w:val="32"/>
          <w:szCs w:val="32"/>
          <w:lang w:val="zh-TW" w:eastAsia="zh-TW"/>
        </w:rPr>
        <w:t>包括试验地点，采用的试剂名称、规格和批号，仪器名称和型号，样本的背景信息（来源、样本编号、样本类型、采集及处理方式、基因型和浓度确认方法及结果）等。分析性能评估用样本应为真实样本，如声称多种适用样本类型，注册申请人应针对不同样本类型分别完成性能评估研究。</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分析性能评估的试验方法可以参考国际或国内有关体外诊断试剂性能评估的指导原则进行，对于本类产品建议着重对以下分析性能进行研究。</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2.1</w:t>
      </w:r>
      <w:r>
        <w:rPr>
          <w:rFonts w:eastAsia="仿宋_GB2312"/>
          <w:sz w:val="32"/>
          <w:szCs w:val="32"/>
        </w:rPr>
        <w:t>适用的样本类型</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选择不影响核酸分子检测的抗凝剂，如</w:t>
      </w:r>
      <w:r>
        <w:rPr>
          <w:rFonts w:eastAsia="仿宋_GB2312" w:hint="eastAsia"/>
          <w:sz w:val="32"/>
          <w:szCs w:val="32"/>
        </w:rPr>
        <w:t>EDTA</w:t>
      </w:r>
      <w:r>
        <w:rPr>
          <w:rFonts w:eastAsia="仿宋_GB2312" w:hint="eastAsia"/>
          <w:sz w:val="32"/>
          <w:szCs w:val="32"/>
        </w:rPr>
        <w:t>和枸橼酸</w:t>
      </w:r>
      <w:proofErr w:type="gramStart"/>
      <w:r>
        <w:rPr>
          <w:rFonts w:eastAsia="仿宋_GB2312" w:hint="eastAsia"/>
          <w:sz w:val="32"/>
          <w:szCs w:val="32"/>
        </w:rPr>
        <w:t>盐进行</w:t>
      </w:r>
      <w:proofErr w:type="gramEnd"/>
      <w:r>
        <w:rPr>
          <w:rFonts w:eastAsia="仿宋_GB2312" w:hint="eastAsia"/>
          <w:sz w:val="32"/>
          <w:szCs w:val="32"/>
        </w:rPr>
        <w:t>人静脉全血样本采集。鉴于肝素影响核酸扩增过程，不建议使用肝素抗凝。若适用多种抗凝剂，建议通过同源比对研究一定数量的临床样本验证各种抗凝剂的适用性。</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2</w:t>
      </w:r>
      <w:r>
        <w:rPr>
          <w:rFonts w:eastAsia="仿宋_GB2312"/>
          <w:sz w:val="32"/>
          <w:szCs w:val="32"/>
        </w:rPr>
        <w:t>准确度</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可通过</w:t>
      </w:r>
      <w:r>
        <w:rPr>
          <w:rFonts w:eastAsia="仿宋_GB2312" w:hint="eastAsia"/>
          <w:sz w:val="32"/>
          <w:szCs w:val="32"/>
        </w:rPr>
        <w:t>申报产品与已上市同类产品或测序结果进行方法学比对</w:t>
      </w:r>
      <w:r>
        <w:rPr>
          <w:rFonts w:eastAsia="仿宋_GB2312"/>
          <w:sz w:val="32"/>
          <w:szCs w:val="32"/>
        </w:rPr>
        <w:t>研究，评价申报产品的准确度。</w:t>
      </w:r>
      <w:r>
        <w:rPr>
          <w:rFonts w:eastAsia="仿宋_GB2312" w:hint="eastAsia"/>
          <w:sz w:val="32"/>
          <w:szCs w:val="32"/>
        </w:rPr>
        <w:t>评价准确度的样本应为不同浓度水平的静脉全血样本或其</w:t>
      </w:r>
      <w:r>
        <w:rPr>
          <w:rFonts w:eastAsia="仿宋_GB2312" w:hint="eastAsia"/>
          <w:sz w:val="32"/>
          <w:szCs w:val="32"/>
        </w:rPr>
        <w:t>DNA</w:t>
      </w:r>
      <w:r>
        <w:rPr>
          <w:rFonts w:eastAsia="仿宋_GB2312" w:hint="eastAsia"/>
          <w:sz w:val="32"/>
          <w:szCs w:val="32"/>
        </w:rPr>
        <w:t>提取液。</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3</w:t>
      </w:r>
      <w:r>
        <w:rPr>
          <w:rFonts w:eastAsia="仿宋_GB2312"/>
          <w:sz w:val="32"/>
          <w:szCs w:val="32"/>
        </w:rPr>
        <w:t>精密度</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包括重复性、中间精密度和再现性。</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精密度评价应采用</w:t>
      </w:r>
      <w:bookmarkStart w:id="12" w:name="OLE_LINK23"/>
      <w:bookmarkStart w:id="13" w:name="OLE_LINK22"/>
      <w:r>
        <w:rPr>
          <w:rFonts w:eastAsia="仿宋_GB2312" w:hint="eastAsia"/>
          <w:sz w:val="32"/>
          <w:szCs w:val="32"/>
        </w:rPr>
        <w:t>静脉全血样本或其</w:t>
      </w:r>
      <w:r>
        <w:rPr>
          <w:rFonts w:eastAsia="仿宋_GB2312" w:hint="eastAsia"/>
          <w:sz w:val="32"/>
          <w:szCs w:val="32"/>
        </w:rPr>
        <w:t>DNA</w:t>
      </w:r>
      <w:r>
        <w:rPr>
          <w:rFonts w:eastAsia="仿宋_GB2312" w:hint="eastAsia"/>
          <w:sz w:val="32"/>
          <w:szCs w:val="32"/>
        </w:rPr>
        <w:t>提取液</w:t>
      </w:r>
      <w:bookmarkEnd w:id="12"/>
      <w:bookmarkEnd w:id="13"/>
      <w:r>
        <w:rPr>
          <w:rFonts w:eastAsia="仿宋_GB2312"/>
          <w:sz w:val="32"/>
          <w:szCs w:val="32"/>
        </w:rPr>
        <w:t>进行研究，</w:t>
      </w:r>
      <w:r>
        <w:rPr>
          <w:rFonts w:eastAsia="仿宋_GB2312" w:hint="eastAsia"/>
          <w:sz w:val="32"/>
          <w:szCs w:val="32"/>
        </w:rPr>
        <w:t>纳入阴性样本和阳性样本。浓度水平至少包括</w:t>
      </w:r>
      <w:bookmarkStart w:id="14" w:name="OLE_LINK26"/>
      <w:bookmarkStart w:id="15" w:name="OLE_LINK27"/>
      <w:proofErr w:type="gramStart"/>
      <w:r>
        <w:rPr>
          <w:rFonts w:eastAsia="仿宋_GB2312" w:hint="eastAsia"/>
          <w:sz w:val="32"/>
          <w:szCs w:val="32"/>
        </w:rPr>
        <w:t>上样</w:t>
      </w:r>
      <w:r>
        <w:rPr>
          <w:rFonts w:eastAsia="仿宋_GB2312" w:hint="eastAsia"/>
          <w:sz w:val="32"/>
          <w:szCs w:val="32"/>
        </w:rPr>
        <w:lastRenderedPageBreak/>
        <w:t>要求</w:t>
      </w:r>
      <w:proofErr w:type="gramEnd"/>
      <w:r>
        <w:rPr>
          <w:rFonts w:eastAsia="仿宋_GB2312" w:hint="eastAsia"/>
          <w:sz w:val="32"/>
          <w:szCs w:val="32"/>
        </w:rPr>
        <w:t>的最低</w:t>
      </w:r>
      <w:r>
        <w:rPr>
          <w:rFonts w:eastAsia="仿宋_GB2312" w:hint="eastAsia"/>
          <w:sz w:val="32"/>
          <w:szCs w:val="32"/>
        </w:rPr>
        <w:t>DNA</w:t>
      </w:r>
      <w:r>
        <w:rPr>
          <w:rFonts w:eastAsia="仿宋_GB2312" w:hint="eastAsia"/>
          <w:sz w:val="32"/>
          <w:szCs w:val="32"/>
        </w:rPr>
        <w:t>浓度</w:t>
      </w:r>
      <w:bookmarkEnd w:id="14"/>
      <w:bookmarkEnd w:id="15"/>
      <w:r>
        <w:rPr>
          <w:rFonts w:eastAsia="仿宋_GB2312" w:hint="eastAsia"/>
          <w:sz w:val="32"/>
          <w:szCs w:val="32"/>
        </w:rPr>
        <w:t>和中高浓度（正常白细胞浓度水平样本）。</w:t>
      </w:r>
      <w:r>
        <w:rPr>
          <w:rFonts w:eastAsia="仿宋_GB2312"/>
          <w:sz w:val="32"/>
          <w:szCs w:val="32"/>
        </w:rPr>
        <w:t>试验操作应按照说明书执行，需包含核酸提取</w:t>
      </w:r>
      <w:r>
        <w:rPr>
          <w:rFonts w:eastAsia="仿宋_GB2312"/>
          <w:sz w:val="32"/>
          <w:szCs w:val="32"/>
        </w:rPr>
        <w:t>/</w:t>
      </w:r>
      <w:r>
        <w:rPr>
          <w:rFonts w:eastAsia="仿宋_GB2312"/>
          <w:sz w:val="32"/>
          <w:szCs w:val="32"/>
        </w:rPr>
        <w:t>纯化等样本处理步骤。</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精密度评价需满足如下要求：</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3</w:t>
      </w:r>
      <w:r>
        <w:rPr>
          <w:rFonts w:eastAsia="仿宋_GB2312"/>
          <w:sz w:val="32"/>
          <w:szCs w:val="32"/>
        </w:rPr>
        <w:t>.1</w:t>
      </w:r>
      <w:r>
        <w:rPr>
          <w:rFonts w:eastAsia="仿宋_GB2312"/>
          <w:sz w:val="32"/>
          <w:szCs w:val="32"/>
        </w:rPr>
        <w:t>对可能影响检测精密度的主要因素进行验证，除检测试剂（包括核酸提取</w:t>
      </w:r>
      <w:r>
        <w:rPr>
          <w:rFonts w:eastAsia="仿宋_GB2312"/>
          <w:sz w:val="32"/>
          <w:szCs w:val="32"/>
        </w:rPr>
        <w:t>/</w:t>
      </w:r>
      <w:r>
        <w:rPr>
          <w:rFonts w:eastAsia="仿宋_GB2312"/>
          <w:sz w:val="32"/>
          <w:szCs w:val="32"/>
        </w:rPr>
        <w:t>纯化组分）本身外，还包括仪器、操作者、地点、时间、检测轮次、试剂批次等。</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3</w:t>
      </w:r>
      <w:r>
        <w:rPr>
          <w:rFonts w:eastAsia="仿宋_GB2312"/>
          <w:sz w:val="32"/>
          <w:szCs w:val="32"/>
        </w:rPr>
        <w:t>.2</w:t>
      </w:r>
      <w:r>
        <w:rPr>
          <w:rFonts w:eastAsia="仿宋_GB2312"/>
          <w:sz w:val="32"/>
          <w:szCs w:val="32"/>
        </w:rPr>
        <w:t>设定合理的精密度评价周期，并</w:t>
      </w:r>
      <w:proofErr w:type="gramStart"/>
      <w:r>
        <w:rPr>
          <w:rFonts w:eastAsia="仿宋_GB2312"/>
          <w:sz w:val="32"/>
          <w:szCs w:val="32"/>
        </w:rPr>
        <w:t>对批内</w:t>
      </w:r>
      <w:proofErr w:type="gramEnd"/>
      <w:r>
        <w:rPr>
          <w:rFonts w:eastAsia="仿宋_GB2312"/>
          <w:sz w:val="32"/>
          <w:szCs w:val="32"/>
        </w:rPr>
        <w:t>/</w:t>
      </w:r>
      <w:r>
        <w:rPr>
          <w:rFonts w:eastAsia="仿宋_GB2312"/>
          <w:sz w:val="32"/>
          <w:szCs w:val="32"/>
        </w:rPr>
        <w:t>批间、日内</w:t>
      </w:r>
      <w:r>
        <w:rPr>
          <w:rFonts w:eastAsia="仿宋_GB2312"/>
          <w:sz w:val="32"/>
          <w:szCs w:val="32"/>
        </w:rPr>
        <w:t>/</w:t>
      </w:r>
      <w:r>
        <w:rPr>
          <w:rFonts w:eastAsia="仿宋_GB2312"/>
          <w:sz w:val="32"/>
          <w:szCs w:val="32"/>
        </w:rPr>
        <w:t>日间、不同操作者间和不同实验室间的精密度进行综合评价。</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3</w:t>
      </w:r>
      <w:r>
        <w:rPr>
          <w:rFonts w:eastAsia="仿宋_GB2312"/>
          <w:sz w:val="32"/>
          <w:szCs w:val="32"/>
        </w:rPr>
        <w:t>.3</w:t>
      </w:r>
      <w:r>
        <w:rPr>
          <w:rFonts w:eastAsia="仿宋_GB2312"/>
          <w:sz w:val="32"/>
          <w:szCs w:val="32"/>
        </w:rPr>
        <w:t>可结合产品的特点，对精密度指标评价标准做出合理要求，如</w:t>
      </w:r>
      <w:r>
        <w:rPr>
          <w:rFonts w:eastAsia="仿宋_GB2312"/>
          <w:sz w:val="32"/>
          <w:szCs w:val="32"/>
        </w:rPr>
        <w:t>CV</w:t>
      </w:r>
      <w:r>
        <w:rPr>
          <w:rFonts w:eastAsia="仿宋_GB2312"/>
          <w:sz w:val="32"/>
          <w:szCs w:val="32"/>
        </w:rPr>
        <w:t>值。</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4</w:t>
      </w:r>
      <w:r>
        <w:rPr>
          <w:rFonts w:eastAsia="仿宋_GB2312"/>
          <w:sz w:val="32"/>
          <w:szCs w:val="32"/>
        </w:rPr>
        <w:t xml:space="preserve"> </w:t>
      </w:r>
      <w:r>
        <w:rPr>
          <w:rFonts w:eastAsia="仿宋_GB2312"/>
          <w:sz w:val="32"/>
          <w:szCs w:val="32"/>
        </w:rPr>
        <w:t>分析特异性</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4</w:t>
      </w:r>
      <w:r>
        <w:rPr>
          <w:rFonts w:eastAsia="仿宋_GB2312"/>
          <w:sz w:val="32"/>
          <w:szCs w:val="32"/>
        </w:rPr>
        <w:t>.1</w:t>
      </w:r>
      <w:r>
        <w:rPr>
          <w:rFonts w:eastAsia="仿宋_GB2312"/>
          <w:sz w:val="32"/>
          <w:szCs w:val="32"/>
        </w:rPr>
        <w:t>干扰</w:t>
      </w:r>
      <w:r>
        <w:rPr>
          <w:rFonts w:eastAsia="仿宋_GB2312" w:hint="eastAsia"/>
          <w:sz w:val="32"/>
          <w:szCs w:val="32"/>
        </w:rPr>
        <w:t>试验</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可通过在</w:t>
      </w:r>
      <w:r>
        <w:rPr>
          <w:rFonts w:eastAsia="仿宋_GB2312" w:hint="eastAsia"/>
          <w:sz w:val="32"/>
          <w:szCs w:val="32"/>
        </w:rPr>
        <w:t>静脉全血</w:t>
      </w:r>
      <w:r>
        <w:rPr>
          <w:rFonts w:eastAsia="仿宋_GB2312"/>
          <w:sz w:val="32"/>
          <w:szCs w:val="32"/>
        </w:rPr>
        <w:t>样本中添加干扰物质的方式，评价添加前后干扰物质对靶基因检测的影响</w:t>
      </w:r>
      <w:r>
        <w:rPr>
          <w:rFonts w:eastAsia="仿宋_GB2312" w:hint="eastAsia"/>
          <w:sz w:val="32"/>
          <w:szCs w:val="32"/>
        </w:rPr>
        <w:t>。研究用样本应包含阴性样本、</w:t>
      </w:r>
      <w:bookmarkStart w:id="16" w:name="OLE_LINK68"/>
      <w:bookmarkStart w:id="17" w:name="OLE_LINK67"/>
      <w:bookmarkStart w:id="18" w:name="OLE_LINK84"/>
      <w:bookmarkStart w:id="19" w:name="OLE_LINK85"/>
      <w:proofErr w:type="gramStart"/>
      <w:r>
        <w:rPr>
          <w:rFonts w:eastAsia="仿宋_GB2312" w:hint="eastAsia"/>
          <w:sz w:val="32"/>
          <w:szCs w:val="32"/>
        </w:rPr>
        <w:t>上样要求</w:t>
      </w:r>
      <w:proofErr w:type="gramEnd"/>
      <w:r>
        <w:rPr>
          <w:rFonts w:eastAsia="仿宋_GB2312" w:hint="eastAsia"/>
          <w:sz w:val="32"/>
          <w:szCs w:val="32"/>
        </w:rPr>
        <w:t>的最低</w:t>
      </w:r>
      <w:r>
        <w:rPr>
          <w:rFonts w:eastAsia="仿宋_GB2312" w:hint="eastAsia"/>
          <w:sz w:val="32"/>
          <w:szCs w:val="32"/>
        </w:rPr>
        <w:t>DNA</w:t>
      </w:r>
      <w:r>
        <w:rPr>
          <w:rFonts w:eastAsia="仿宋_GB2312" w:hint="eastAsia"/>
          <w:sz w:val="32"/>
          <w:szCs w:val="32"/>
        </w:rPr>
        <w:t>浓度</w:t>
      </w:r>
      <w:bookmarkEnd w:id="16"/>
      <w:bookmarkEnd w:id="17"/>
      <w:r>
        <w:rPr>
          <w:rFonts w:eastAsia="仿宋_GB2312" w:hint="eastAsia"/>
          <w:sz w:val="32"/>
          <w:szCs w:val="32"/>
        </w:rPr>
        <w:t>和中阳性样本（</w:t>
      </w:r>
      <w:bookmarkStart w:id="20" w:name="OLE_LINK24"/>
      <w:bookmarkStart w:id="21" w:name="OLE_LINK25"/>
      <w:r>
        <w:rPr>
          <w:rFonts w:eastAsia="仿宋_GB2312" w:hint="eastAsia"/>
          <w:sz w:val="32"/>
          <w:szCs w:val="32"/>
        </w:rPr>
        <w:t>正常白细胞浓度水平样本）</w:t>
      </w:r>
      <w:bookmarkEnd w:id="18"/>
      <w:bookmarkEnd w:id="19"/>
      <w:bookmarkEnd w:id="20"/>
      <w:bookmarkEnd w:id="21"/>
      <w:r>
        <w:rPr>
          <w:rFonts w:eastAsia="仿宋_GB2312" w:hint="eastAsia"/>
          <w:sz w:val="32"/>
          <w:szCs w:val="32"/>
        </w:rPr>
        <w:t>。</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建议注册申请人在每种干扰物质的潜在最大浓度（</w:t>
      </w:r>
      <w:r>
        <w:rPr>
          <w:rFonts w:eastAsia="仿宋_GB2312"/>
          <w:sz w:val="32"/>
          <w:szCs w:val="32"/>
        </w:rPr>
        <w:t>“</w:t>
      </w:r>
      <w:r>
        <w:rPr>
          <w:rFonts w:eastAsia="仿宋_GB2312"/>
          <w:sz w:val="32"/>
          <w:szCs w:val="32"/>
        </w:rPr>
        <w:t>最差条件</w:t>
      </w:r>
      <w:r>
        <w:rPr>
          <w:rFonts w:eastAsia="仿宋_GB2312"/>
          <w:sz w:val="32"/>
          <w:szCs w:val="32"/>
        </w:rPr>
        <w:t>”</w:t>
      </w:r>
      <w:r>
        <w:rPr>
          <w:rFonts w:eastAsia="仿宋_GB2312"/>
          <w:sz w:val="32"/>
          <w:szCs w:val="32"/>
        </w:rPr>
        <w:t>）条件下进行评价，如有干扰，应确定不产生干扰的最高浓度。</w:t>
      </w:r>
    </w:p>
    <w:p w:rsidR="00554798" w:rsidRDefault="004A1007" w:rsidP="00E12BF0">
      <w:pPr>
        <w:spacing w:line="520" w:lineRule="exact"/>
        <w:ind w:firstLineChars="200" w:firstLine="640"/>
        <w:rPr>
          <w:rFonts w:eastAsia="仿宋_GB2312"/>
          <w:strike/>
          <w:sz w:val="32"/>
          <w:szCs w:val="32"/>
        </w:rPr>
      </w:pPr>
      <w:bookmarkStart w:id="22" w:name="OLE_LINK20"/>
      <w:bookmarkStart w:id="23" w:name="OLE_LINK28"/>
      <w:bookmarkStart w:id="24" w:name="OLE_LINK21"/>
      <w:r>
        <w:rPr>
          <w:rFonts w:eastAsia="仿宋_GB2312"/>
          <w:sz w:val="32"/>
          <w:szCs w:val="32"/>
        </w:rPr>
        <w:t>应针对可能的内源和外源性干扰物进行干扰试验研究。对于全血样本</w:t>
      </w:r>
      <w:r>
        <w:rPr>
          <w:rFonts w:eastAsia="仿宋_GB2312" w:hint="eastAsia"/>
          <w:sz w:val="32"/>
          <w:szCs w:val="32"/>
        </w:rPr>
        <w:t>，</w:t>
      </w:r>
      <w:r>
        <w:rPr>
          <w:rFonts w:eastAsia="仿宋_GB2312"/>
          <w:sz w:val="32"/>
          <w:szCs w:val="32"/>
        </w:rPr>
        <w:t>内源性干扰物质应包括血红蛋白、甘油三酯、胆红素、白蛋白</w:t>
      </w:r>
      <w:r>
        <w:rPr>
          <w:rFonts w:eastAsia="仿宋_GB2312" w:hint="eastAsia"/>
          <w:sz w:val="32"/>
          <w:szCs w:val="32"/>
        </w:rPr>
        <w:t>；</w:t>
      </w:r>
      <w:bookmarkStart w:id="25" w:name="OLE_LINK18"/>
      <w:bookmarkStart w:id="26" w:name="OLE_LINK19"/>
      <w:r>
        <w:rPr>
          <w:rFonts w:eastAsia="仿宋_GB2312" w:hint="eastAsia"/>
          <w:sz w:val="32"/>
          <w:szCs w:val="32"/>
        </w:rPr>
        <w:t>外源性干扰物质应包括别</w:t>
      </w:r>
      <w:proofErr w:type="gramStart"/>
      <w:r>
        <w:rPr>
          <w:rFonts w:eastAsia="仿宋_GB2312" w:hint="eastAsia"/>
          <w:sz w:val="32"/>
          <w:szCs w:val="32"/>
        </w:rPr>
        <w:t>嘌</w:t>
      </w:r>
      <w:proofErr w:type="gramEnd"/>
      <w:r>
        <w:rPr>
          <w:rFonts w:eastAsia="仿宋_GB2312" w:hint="eastAsia"/>
          <w:sz w:val="32"/>
          <w:szCs w:val="32"/>
        </w:rPr>
        <w:t>醇、</w:t>
      </w:r>
      <w:proofErr w:type="gramStart"/>
      <w:r>
        <w:rPr>
          <w:rFonts w:eastAsia="仿宋_GB2312" w:hint="eastAsia"/>
          <w:sz w:val="32"/>
          <w:szCs w:val="32"/>
        </w:rPr>
        <w:t>苯溴马隆</w:t>
      </w:r>
      <w:proofErr w:type="gramEnd"/>
      <w:r>
        <w:rPr>
          <w:rFonts w:eastAsia="仿宋_GB2312" w:hint="eastAsia"/>
          <w:sz w:val="32"/>
          <w:szCs w:val="32"/>
        </w:rPr>
        <w:t>、秋水仙碱、碳酸氢钠、丙</w:t>
      </w:r>
      <w:proofErr w:type="gramStart"/>
      <w:r>
        <w:rPr>
          <w:rFonts w:eastAsia="仿宋_GB2312" w:hint="eastAsia"/>
          <w:sz w:val="32"/>
          <w:szCs w:val="32"/>
        </w:rPr>
        <w:t>磺</w:t>
      </w:r>
      <w:proofErr w:type="gramEnd"/>
      <w:r>
        <w:rPr>
          <w:rFonts w:eastAsia="仿宋_GB2312" w:hint="eastAsia"/>
          <w:sz w:val="32"/>
          <w:szCs w:val="32"/>
        </w:rPr>
        <w:t>舒、</w:t>
      </w:r>
      <w:proofErr w:type="gramStart"/>
      <w:r>
        <w:rPr>
          <w:rFonts w:eastAsia="仿宋_GB2312" w:hint="eastAsia"/>
          <w:sz w:val="32"/>
          <w:szCs w:val="32"/>
        </w:rPr>
        <w:t>非布司他</w:t>
      </w:r>
      <w:proofErr w:type="gramEnd"/>
      <w:r>
        <w:rPr>
          <w:rFonts w:eastAsia="仿宋_GB2312" w:hint="eastAsia"/>
          <w:sz w:val="32"/>
          <w:szCs w:val="32"/>
        </w:rPr>
        <w:t>等。</w:t>
      </w:r>
    </w:p>
    <w:bookmarkEnd w:id="22"/>
    <w:bookmarkEnd w:id="23"/>
    <w:bookmarkEnd w:id="24"/>
    <w:bookmarkEnd w:id="25"/>
    <w:bookmarkEnd w:id="26"/>
    <w:p w:rsidR="00554798" w:rsidRDefault="004A1007" w:rsidP="00E12BF0">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4</w:t>
      </w:r>
      <w:r>
        <w:rPr>
          <w:rFonts w:eastAsia="仿宋_GB2312"/>
          <w:sz w:val="32"/>
          <w:szCs w:val="32"/>
        </w:rPr>
        <w:t>.2</w:t>
      </w:r>
      <w:r>
        <w:rPr>
          <w:rFonts w:eastAsia="仿宋_GB2312"/>
          <w:sz w:val="32"/>
          <w:szCs w:val="32"/>
        </w:rPr>
        <w:t>交叉反应</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lastRenderedPageBreak/>
        <w:t>分</w:t>
      </w:r>
      <w:proofErr w:type="gramStart"/>
      <w:r>
        <w:rPr>
          <w:rFonts w:eastAsia="仿宋_GB2312" w:hint="eastAsia"/>
          <w:sz w:val="32"/>
          <w:szCs w:val="32"/>
        </w:rPr>
        <w:t>为生信分析</w:t>
      </w:r>
      <w:proofErr w:type="gramEnd"/>
      <w:r>
        <w:rPr>
          <w:rFonts w:eastAsia="仿宋_GB2312" w:hint="eastAsia"/>
          <w:sz w:val="32"/>
          <w:szCs w:val="32"/>
        </w:rPr>
        <w:t>和湿试验两部分。</w:t>
      </w:r>
    </w:p>
    <w:p w:rsidR="00554798" w:rsidRDefault="004A1007" w:rsidP="00E12BF0">
      <w:pPr>
        <w:spacing w:line="520" w:lineRule="exact"/>
        <w:ind w:firstLineChars="200" w:firstLine="640"/>
        <w:rPr>
          <w:rFonts w:eastAsia="仿宋_GB2312"/>
          <w:sz w:val="32"/>
          <w:szCs w:val="32"/>
        </w:rPr>
      </w:pPr>
      <w:bookmarkStart w:id="27" w:name="OLE_LINK61"/>
      <w:bookmarkStart w:id="28" w:name="OLE_LINK62"/>
      <w:r>
        <w:rPr>
          <w:rFonts w:eastAsia="仿宋_GB2312" w:hint="eastAsia"/>
          <w:sz w:val="32"/>
          <w:szCs w:val="32"/>
        </w:rPr>
        <w:t>将所选扩增靶区域、引物和探针序列与</w:t>
      </w:r>
      <w:bookmarkStart w:id="29" w:name="OLE_LINK64"/>
      <w:bookmarkStart w:id="30" w:name="OLE_LINK63"/>
      <w:bookmarkEnd w:id="27"/>
      <w:bookmarkEnd w:id="28"/>
      <w:r>
        <w:rPr>
          <w:rFonts w:eastAsia="仿宋_GB2312" w:hint="eastAsia"/>
          <w:sz w:val="32"/>
          <w:szCs w:val="32"/>
        </w:rPr>
        <w:t>IPD-IMGT/HLA</w:t>
      </w:r>
      <w:r>
        <w:rPr>
          <w:rFonts w:eastAsia="仿宋_GB2312" w:hint="eastAsia"/>
          <w:sz w:val="32"/>
          <w:szCs w:val="32"/>
        </w:rPr>
        <w:t>数据库</w:t>
      </w:r>
      <w:bookmarkEnd w:id="29"/>
      <w:bookmarkEnd w:id="30"/>
      <w:r>
        <w:rPr>
          <w:rFonts w:eastAsia="仿宋_GB2312" w:hint="eastAsia"/>
          <w:sz w:val="32"/>
          <w:szCs w:val="32"/>
        </w:rPr>
        <w:t>HLA-B</w:t>
      </w:r>
      <w:r>
        <w:rPr>
          <w:rFonts w:eastAsia="仿宋_GB2312" w:hint="eastAsia"/>
          <w:sz w:val="32"/>
          <w:szCs w:val="32"/>
        </w:rPr>
        <w:t>基因座中除</w:t>
      </w:r>
      <w:bookmarkStart w:id="31" w:name="OLE_LINK59"/>
      <w:bookmarkStart w:id="32" w:name="OLE_LINK60"/>
      <w:bookmarkStart w:id="33" w:name="OLE_LINK58"/>
      <w:r>
        <w:rPr>
          <w:rFonts w:eastAsia="仿宋_GB2312" w:hint="eastAsia"/>
          <w:sz w:val="32"/>
          <w:szCs w:val="32"/>
        </w:rPr>
        <w:t>HLA-B*58:01</w:t>
      </w:r>
      <w:bookmarkEnd w:id="31"/>
      <w:bookmarkEnd w:id="32"/>
      <w:bookmarkEnd w:id="33"/>
      <w:r>
        <w:rPr>
          <w:rFonts w:eastAsia="仿宋_GB2312" w:hint="eastAsia"/>
          <w:sz w:val="32"/>
          <w:szCs w:val="32"/>
        </w:rPr>
        <w:t>外的其他所有等位基因进行序列比对。</w:t>
      </w:r>
      <w:r>
        <w:rPr>
          <w:rFonts w:eastAsia="仿宋_GB2312"/>
          <w:sz w:val="32"/>
          <w:szCs w:val="32"/>
        </w:rPr>
        <w:t>对与靶基因序列相近或易引起交叉反应</w:t>
      </w:r>
      <w:r w:rsidR="00D6438F">
        <w:rPr>
          <w:rFonts w:eastAsia="仿宋_GB2312" w:hint="eastAsia"/>
          <w:sz w:val="32"/>
          <w:szCs w:val="32"/>
        </w:rPr>
        <w:t>（如引物</w:t>
      </w:r>
      <w:r w:rsidR="00D6438F">
        <w:rPr>
          <w:rFonts w:eastAsia="仿宋_GB2312" w:hint="eastAsia"/>
          <w:sz w:val="32"/>
          <w:szCs w:val="32"/>
        </w:rPr>
        <w:t>/</w:t>
      </w:r>
      <w:r w:rsidR="00D6438F">
        <w:rPr>
          <w:rFonts w:eastAsia="仿宋_GB2312" w:hint="eastAsia"/>
          <w:sz w:val="32"/>
          <w:szCs w:val="32"/>
        </w:rPr>
        <w:t>探针结合</w:t>
      </w:r>
      <w:r w:rsidR="00A5010A">
        <w:rPr>
          <w:rFonts w:eastAsia="仿宋_GB2312" w:hint="eastAsia"/>
          <w:sz w:val="32"/>
          <w:szCs w:val="32"/>
        </w:rPr>
        <w:t>的</w:t>
      </w:r>
      <w:r w:rsidR="00D6438F">
        <w:rPr>
          <w:rFonts w:eastAsia="仿宋_GB2312" w:hint="eastAsia"/>
          <w:sz w:val="32"/>
          <w:szCs w:val="32"/>
        </w:rPr>
        <w:t>序列相同或仅存在极个别碱基差异</w:t>
      </w:r>
      <w:r w:rsidR="00A5010A">
        <w:rPr>
          <w:rFonts w:eastAsia="仿宋_GB2312" w:hint="eastAsia"/>
          <w:sz w:val="32"/>
          <w:szCs w:val="32"/>
        </w:rPr>
        <w:t>不影响引物探针结合</w:t>
      </w:r>
      <w:r w:rsidR="00D6438F">
        <w:rPr>
          <w:rFonts w:eastAsia="仿宋_GB2312" w:hint="eastAsia"/>
          <w:sz w:val="32"/>
          <w:szCs w:val="32"/>
        </w:rPr>
        <w:t>）</w:t>
      </w:r>
      <w:r>
        <w:rPr>
          <w:rFonts w:eastAsia="仿宋_GB2312"/>
          <w:sz w:val="32"/>
          <w:szCs w:val="32"/>
        </w:rPr>
        <w:t>的</w:t>
      </w:r>
      <w:r>
        <w:rPr>
          <w:rFonts w:eastAsia="仿宋_GB2312" w:hint="eastAsia"/>
          <w:sz w:val="32"/>
          <w:szCs w:val="32"/>
        </w:rPr>
        <w:t>HLA-B*58</w:t>
      </w:r>
      <w:r>
        <w:rPr>
          <w:rFonts w:eastAsia="仿宋_GB2312" w:hint="eastAsia"/>
          <w:sz w:val="32"/>
          <w:szCs w:val="32"/>
        </w:rPr>
        <w:t>血清型中其他等位基因如</w:t>
      </w:r>
      <w:r>
        <w:rPr>
          <w:rFonts w:eastAsia="仿宋_GB2312"/>
          <w:sz w:val="32"/>
          <w:szCs w:val="32"/>
        </w:rPr>
        <w:t>HLA</w:t>
      </w:r>
      <w:r>
        <w:rPr>
          <w:rFonts w:eastAsia="仿宋_GB2312" w:hint="eastAsia"/>
          <w:sz w:val="32"/>
          <w:szCs w:val="32"/>
        </w:rPr>
        <w:t>-</w:t>
      </w:r>
      <w:r>
        <w:rPr>
          <w:rFonts w:eastAsia="仿宋_GB2312"/>
          <w:sz w:val="32"/>
          <w:szCs w:val="32"/>
        </w:rPr>
        <w:t>B</w:t>
      </w:r>
      <w:r>
        <w:rPr>
          <w:rFonts w:eastAsia="仿宋_GB2312" w:hint="eastAsia"/>
          <w:sz w:val="32"/>
          <w:szCs w:val="32"/>
        </w:rPr>
        <w:t>*</w:t>
      </w:r>
      <w:r>
        <w:rPr>
          <w:rFonts w:eastAsia="仿宋_GB2312"/>
          <w:sz w:val="32"/>
          <w:szCs w:val="32"/>
        </w:rPr>
        <w:t>58:</w:t>
      </w:r>
      <w:r>
        <w:rPr>
          <w:rFonts w:eastAsia="仿宋_GB2312" w:hint="eastAsia"/>
          <w:sz w:val="32"/>
          <w:szCs w:val="32"/>
        </w:rPr>
        <w:t>12</w:t>
      </w:r>
      <w:r>
        <w:rPr>
          <w:rFonts w:eastAsia="仿宋_GB2312" w:hint="eastAsia"/>
          <w:sz w:val="32"/>
          <w:szCs w:val="32"/>
        </w:rPr>
        <w:t>，</w:t>
      </w:r>
      <w:r>
        <w:rPr>
          <w:rFonts w:eastAsia="仿宋_GB2312" w:hint="eastAsia"/>
          <w:sz w:val="32"/>
          <w:szCs w:val="32"/>
        </w:rPr>
        <w:t>HLA-B</w:t>
      </w:r>
      <w:r>
        <w:rPr>
          <w:rFonts w:eastAsia="仿宋_GB2312" w:hint="eastAsia"/>
          <w:sz w:val="32"/>
          <w:szCs w:val="32"/>
        </w:rPr>
        <w:t>基因座中其他血清型</w:t>
      </w:r>
      <w:r>
        <w:rPr>
          <w:rFonts w:eastAsia="仿宋_GB2312"/>
          <w:sz w:val="32"/>
          <w:szCs w:val="32"/>
        </w:rPr>
        <w:t>进行交叉反应研究。</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交叉反应研究建议采用静脉全血样本或其</w:t>
      </w:r>
      <w:r>
        <w:rPr>
          <w:rFonts w:eastAsia="仿宋_GB2312" w:hint="eastAsia"/>
          <w:sz w:val="32"/>
          <w:szCs w:val="32"/>
        </w:rPr>
        <w:t>DNA</w:t>
      </w:r>
      <w:r>
        <w:rPr>
          <w:rFonts w:eastAsia="仿宋_GB2312" w:hint="eastAsia"/>
          <w:sz w:val="32"/>
          <w:szCs w:val="32"/>
        </w:rPr>
        <w:t>提取液进行，罕见等位基因（</w:t>
      </w:r>
      <w:r>
        <w:rPr>
          <w:rFonts w:eastAsia="仿宋_GB2312" w:hint="eastAsia"/>
          <w:sz w:val="32"/>
          <w:szCs w:val="32"/>
        </w:rPr>
        <w:t>Rare Alleles</w:t>
      </w:r>
      <w:r>
        <w:rPr>
          <w:rFonts w:eastAsia="仿宋_GB2312" w:hint="eastAsia"/>
          <w:sz w:val="32"/>
          <w:szCs w:val="32"/>
        </w:rPr>
        <w:t>）可采用细胞系或质粒进行。</w:t>
      </w:r>
    </w:p>
    <w:p w:rsidR="00554798" w:rsidRDefault="004A1007" w:rsidP="00C73830">
      <w:pPr>
        <w:spacing w:line="520" w:lineRule="exact"/>
        <w:ind w:firstLineChars="200" w:firstLine="640"/>
        <w:rPr>
          <w:rFonts w:eastAsia="仿宋_GB2312"/>
          <w:sz w:val="32"/>
          <w:szCs w:val="32"/>
        </w:rPr>
      </w:pPr>
      <w:bookmarkStart w:id="34" w:name="OLE_LINK8"/>
      <w:r>
        <w:rPr>
          <w:rFonts w:eastAsia="仿宋_GB2312" w:hint="eastAsia"/>
          <w:sz w:val="32"/>
          <w:szCs w:val="32"/>
        </w:rPr>
        <w:t>申报产品不应与其他血清型存在交叉反应，不应与</w:t>
      </w:r>
      <w:r>
        <w:rPr>
          <w:rFonts w:eastAsia="仿宋_GB2312" w:hint="eastAsia"/>
          <w:sz w:val="32"/>
          <w:szCs w:val="32"/>
        </w:rPr>
        <w:t>HLA-B*58</w:t>
      </w:r>
      <w:r>
        <w:rPr>
          <w:rFonts w:eastAsia="仿宋_GB2312" w:hint="eastAsia"/>
          <w:sz w:val="32"/>
          <w:szCs w:val="32"/>
        </w:rPr>
        <w:t>血清型下除</w:t>
      </w:r>
      <w:r>
        <w:rPr>
          <w:rFonts w:eastAsia="仿宋_GB2312" w:hint="eastAsia"/>
          <w:sz w:val="32"/>
          <w:szCs w:val="32"/>
        </w:rPr>
        <w:t>HLA-B*58:01</w:t>
      </w:r>
      <w:r>
        <w:rPr>
          <w:rFonts w:eastAsia="仿宋_GB2312" w:hint="eastAsia"/>
          <w:sz w:val="32"/>
          <w:szCs w:val="32"/>
        </w:rPr>
        <w:t>之外的常见等位基因（</w:t>
      </w:r>
      <w:r>
        <w:rPr>
          <w:rFonts w:eastAsia="仿宋_GB2312" w:hint="eastAsia"/>
          <w:sz w:val="32"/>
          <w:szCs w:val="32"/>
        </w:rPr>
        <w:t>Common Alleles</w:t>
      </w:r>
      <w:r>
        <w:rPr>
          <w:rFonts w:eastAsia="仿宋_GB2312" w:hint="eastAsia"/>
          <w:sz w:val="32"/>
          <w:szCs w:val="32"/>
        </w:rPr>
        <w:t>）存在交叉反应。</w:t>
      </w:r>
    </w:p>
    <w:bookmarkEnd w:id="34"/>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2.5</w:t>
      </w:r>
      <w:r>
        <w:rPr>
          <w:rFonts w:eastAsia="仿宋_GB2312" w:hint="eastAsia"/>
          <w:sz w:val="32"/>
          <w:szCs w:val="32"/>
        </w:rPr>
        <w:t>包容性研究</w:t>
      </w:r>
    </w:p>
    <w:p w:rsidR="00554798" w:rsidRDefault="004A1007" w:rsidP="00E12BF0">
      <w:pPr>
        <w:spacing w:line="520" w:lineRule="exact"/>
        <w:ind w:firstLineChars="200" w:firstLine="640"/>
        <w:rPr>
          <w:rFonts w:eastAsia="仿宋_GB2312"/>
          <w:sz w:val="32"/>
          <w:szCs w:val="32"/>
        </w:rPr>
      </w:pPr>
      <w:bookmarkStart w:id="35" w:name="OLE_LINK65"/>
      <w:bookmarkStart w:id="36" w:name="OLE_LINK66"/>
      <w:r>
        <w:rPr>
          <w:rFonts w:eastAsia="仿宋_GB2312" w:hint="eastAsia"/>
          <w:sz w:val="32"/>
          <w:szCs w:val="32"/>
        </w:rPr>
        <w:t>HLA-B*58:01</w:t>
      </w:r>
      <w:bookmarkEnd w:id="35"/>
      <w:bookmarkEnd w:id="36"/>
      <w:r>
        <w:rPr>
          <w:rFonts w:eastAsia="仿宋_GB2312" w:hint="eastAsia"/>
          <w:sz w:val="32"/>
          <w:szCs w:val="32"/>
        </w:rPr>
        <w:t>具有多个等位基因，如</w:t>
      </w:r>
      <w:r>
        <w:rPr>
          <w:rFonts w:eastAsia="仿宋_GB2312"/>
          <w:sz w:val="32"/>
          <w:szCs w:val="32"/>
        </w:rPr>
        <w:t>B*58:01:01:01</w:t>
      </w:r>
      <w:r>
        <w:rPr>
          <w:rFonts w:eastAsia="仿宋_GB2312" w:hint="eastAsia"/>
          <w:sz w:val="32"/>
          <w:szCs w:val="32"/>
        </w:rPr>
        <w:t>，</w:t>
      </w:r>
      <w:r>
        <w:rPr>
          <w:rFonts w:eastAsia="仿宋_GB2312"/>
          <w:sz w:val="32"/>
          <w:szCs w:val="32"/>
        </w:rPr>
        <w:t>B*58:01:07</w:t>
      </w:r>
      <w:r>
        <w:rPr>
          <w:rFonts w:eastAsia="仿宋_GB2312" w:hint="eastAsia"/>
          <w:sz w:val="32"/>
          <w:szCs w:val="32"/>
        </w:rPr>
        <w:t>等。将所选扩增靶区域、引物和探针序列与</w:t>
      </w:r>
      <w:r>
        <w:rPr>
          <w:rFonts w:eastAsia="仿宋_GB2312" w:hint="eastAsia"/>
          <w:sz w:val="32"/>
          <w:szCs w:val="32"/>
        </w:rPr>
        <w:t>IPD-IMGT/HLA</w:t>
      </w:r>
      <w:r>
        <w:rPr>
          <w:rFonts w:eastAsia="仿宋_GB2312" w:hint="eastAsia"/>
          <w:sz w:val="32"/>
          <w:szCs w:val="32"/>
        </w:rPr>
        <w:t>数据库中</w:t>
      </w:r>
      <w:r>
        <w:rPr>
          <w:rFonts w:eastAsia="仿宋_GB2312" w:hint="eastAsia"/>
          <w:sz w:val="32"/>
          <w:szCs w:val="32"/>
        </w:rPr>
        <w:t>HLA-B*58:01</w:t>
      </w:r>
      <w:r>
        <w:rPr>
          <w:rFonts w:eastAsia="仿宋_GB2312" w:hint="eastAsia"/>
          <w:sz w:val="32"/>
          <w:szCs w:val="32"/>
        </w:rPr>
        <w:t>的所有等位基因进行序列比对。依据序列比对结果，若等位基因与扩增靶区域和引物</w:t>
      </w:r>
      <w:r>
        <w:rPr>
          <w:rFonts w:eastAsia="仿宋_GB2312" w:hint="eastAsia"/>
          <w:sz w:val="32"/>
          <w:szCs w:val="32"/>
        </w:rPr>
        <w:t>/</w:t>
      </w:r>
      <w:r>
        <w:rPr>
          <w:rFonts w:eastAsia="仿宋_GB2312" w:hint="eastAsia"/>
          <w:sz w:val="32"/>
          <w:szCs w:val="32"/>
        </w:rPr>
        <w:t>探针等序列中存在核苷酸差异，则应纳入包容性研究范围。</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包容性研究包括最低</w:t>
      </w:r>
      <w:r>
        <w:rPr>
          <w:rFonts w:eastAsia="仿宋_GB2312" w:hint="eastAsia"/>
          <w:sz w:val="32"/>
          <w:szCs w:val="32"/>
        </w:rPr>
        <w:t>DNA</w:t>
      </w:r>
      <w:r>
        <w:rPr>
          <w:rFonts w:eastAsia="仿宋_GB2312" w:hint="eastAsia"/>
          <w:sz w:val="32"/>
          <w:szCs w:val="32"/>
        </w:rPr>
        <w:t>浓度样本的重复性。考虑到样本的可获得性和多样性，建议优先采用真实样本或其</w:t>
      </w:r>
      <w:r>
        <w:rPr>
          <w:rFonts w:eastAsia="仿宋_GB2312" w:hint="eastAsia"/>
          <w:sz w:val="32"/>
          <w:szCs w:val="32"/>
        </w:rPr>
        <w:t>DNA</w:t>
      </w:r>
      <w:r>
        <w:rPr>
          <w:rFonts w:eastAsia="仿宋_GB2312" w:hint="eastAsia"/>
          <w:sz w:val="32"/>
          <w:szCs w:val="32"/>
        </w:rPr>
        <w:t>提取液进行研究，其次为细胞系样本，最后为质粒。</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6</w:t>
      </w:r>
      <w:r>
        <w:rPr>
          <w:rFonts w:eastAsia="仿宋_GB2312"/>
          <w:sz w:val="32"/>
          <w:szCs w:val="32"/>
        </w:rPr>
        <w:t>核酸提取</w:t>
      </w:r>
      <w:r>
        <w:rPr>
          <w:rFonts w:eastAsia="仿宋_GB2312"/>
          <w:sz w:val="32"/>
          <w:szCs w:val="32"/>
        </w:rPr>
        <w:t>/</w:t>
      </w:r>
      <w:r>
        <w:rPr>
          <w:rFonts w:eastAsia="仿宋_GB2312"/>
          <w:sz w:val="32"/>
          <w:szCs w:val="32"/>
        </w:rPr>
        <w:t>纯化性能</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考虑到分析性能研究时所使用的</w:t>
      </w:r>
      <w:r>
        <w:rPr>
          <w:rFonts w:eastAsia="仿宋_GB2312" w:hint="eastAsia"/>
          <w:sz w:val="32"/>
          <w:szCs w:val="32"/>
        </w:rPr>
        <w:t>DNA</w:t>
      </w:r>
      <w:r>
        <w:rPr>
          <w:rFonts w:eastAsia="仿宋_GB2312" w:hint="eastAsia"/>
          <w:sz w:val="32"/>
          <w:szCs w:val="32"/>
        </w:rPr>
        <w:t>提取液可能并非</w:t>
      </w:r>
      <w:r>
        <w:rPr>
          <w:rFonts w:eastAsia="仿宋_GB2312" w:hint="eastAsia"/>
          <w:sz w:val="32"/>
          <w:szCs w:val="32"/>
        </w:rPr>
        <w:lastRenderedPageBreak/>
        <w:t>来自于说明书中配套使用的核酸提取</w:t>
      </w:r>
      <w:r>
        <w:rPr>
          <w:rFonts w:eastAsia="仿宋_GB2312" w:hint="eastAsia"/>
          <w:sz w:val="32"/>
          <w:szCs w:val="32"/>
        </w:rPr>
        <w:t>/</w:t>
      </w:r>
      <w:r>
        <w:rPr>
          <w:rFonts w:eastAsia="仿宋_GB2312" w:hint="eastAsia"/>
          <w:sz w:val="32"/>
          <w:szCs w:val="32"/>
        </w:rPr>
        <w:t>纯化试剂，因此，核酸提取</w:t>
      </w:r>
      <w:r>
        <w:rPr>
          <w:rFonts w:eastAsia="仿宋_GB2312" w:hint="eastAsia"/>
          <w:sz w:val="32"/>
          <w:szCs w:val="32"/>
        </w:rPr>
        <w:t>/</w:t>
      </w:r>
      <w:r>
        <w:rPr>
          <w:rFonts w:eastAsia="仿宋_GB2312" w:hint="eastAsia"/>
          <w:sz w:val="32"/>
          <w:szCs w:val="32"/>
        </w:rPr>
        <w:t>纯化性能研究不仅包括对核酸提取试剂本身性能的研究，还包括其与检测试剂配套使用时的功能性验证。若申报产品适配多个核酸提取试剂，应当分别进行验证。</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采用全血真实样本进行提取核酸纯度、浓度、完整度、提取效率的研究。</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核酸提取试剂配合检测试剂的准确度、精密度和抗干扰研究。此部分功能性验证可单独进行，也可纳入各项性能研究中组合进行。</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反应体系研究</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.1</w:t>
      </w:r>
      <w:r>
        <w:rPr>
          <w:rFonts w:eastAsia="仿宋_GB2312"/>
          <w:sz w:val="32"/>
          <w:szCs w:val="32"/>
        </w:rPr>
        <w:t>样本采集和处理</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请详述样本的采集及处理方式，明确样本的保存介质。</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.2</w:t>
      </w:r>
      <w:r>
        <w:rPr>
          <w:rFonts w:eastAsia="仿宋_GB2312"/>
          <w:sz w:val="32"/>
          <w:szCs w:val="32"/>
        </w:rPr>
        <w:t>反应体系</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详细描述检验方法的设定和优化过程，包括各步骤中反应程序和反应体系的设置和优化等，明确各步骤和分析过程所用试剂、仪器和软件的名称及版本号。</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DNA</w:t>
      </w:r>
      <w:r>
        <w:rPr>
          <w:rFonts w:eastAsia="仿宋_GB2312" w:hint="eastAsia"/>
          <w:sz w:val="32"/>
          <w:szCs w:val="32"/>
        </w:rPr>
        <w:t>浓度要求。在保证检测灵敏度和准确度的前提下，考虑到靶标的特性和方法学的特点，此类产品大多要求</w:t>
      </w:r>
      <w:r>
        <w:rPr>
          <w:rFonts w:eastAsia="仿宋_GB2312"/>
          <w:sz w:val="32"/>
          <w:szCs w:val="32"/>
        </w:rPr>
        <w:t>DNA</w:t>
      </w:r>
      <w:r>
        <w:rPr>
          <w:rFonts w:eastAsia="仿宋_GB2312" w:hint="eastAsia"/>
          <w:sz w:val="32"/>
          <w:szCs w:val="32"/>
        </w:rPr>
        <w:t>浓度在一定范围内。申请人在对产品研发设计时，需考虑申报产品检测所需的</w:t>
      </w:r>
      <w:r>
        <w:rPr>
          <w:rFonts w:eastAsia="仿宋_GB2312"/>
          <w:sz w:val="32"/>
          <w:szCs w:val="32"/>
        </w:rPr>
        <w:t>DNA</w:t>
      </w:r>
      <w:r>
        <w:rPr>
          <w:rFonts w:eastAsia="仿宋_GB2312" w:hint="eastAsia"/>
          <w:sz w:val="32"/>
          <w:szCs w:val="32"/>
        </w:rPr>
        <w:t>浓度范围，并对范围的上下限进行研究。</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如有多个适用机型，需提供不同适用机型基线和阈值的确定资料。不同适用机型的反应条件如果有差异应分别详述，并提交验证资料。</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sz w:val="32"/>
          <w:szCs w:val="32"/>
        </w:rPr>
        <w:t>阳性判断值研究</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阳性判断值即为能够获得理想的检测准确性的临界值</w:t>
      </w:r>
      <w:r>
        <w:rPr>
          <w:rFonts w:eastAsia="仿宋_GB2312"/>
          <w:sz w:val="32"/>
          <w:szCs w:val="32"/>
        </w:rPr>
        <w:lastRenderedPageBreak/>
        <w:t>（</w:t>
      </w:r>
      <w:r>
        <w:rPr>
          <w:rFonts w:eastAsia="仿宋_GB2312"/>
          <w:sz w:val="32"/>
          <w:szCs w:val="32"/>
        </w:rPr>
        <w:t>Cut-off</w:t>
      </w:r>
      <w:r>
        <w:rPr>
          <w:rFonts w:eastAsia="仿宋_GB2312"/>
          <w:sz w:val="32"/>
          <w:szCs w:val="32"/>
        </w:rPr>
        <w:t>）。研究样本应为预期使用人群的真实样本</w:t>
      </w:r>
      <w:r>
        <w:rPr>
          <w:rFonts w:eastAsia="仿宋_GB2312" w:hint="eastAsia"/>
          <w:sz w:val="32"/>
          <w:szCs w:val="32"/>
        </w:rPr>
        <w:t>，样本来源应具有地域和民族多样性，考虑不同时间和生理</w:t>
      </w:r>
      <w:r>
        <w:rPr>
          <w:rFonts w:eastAsia="仿宋_GB2312"/>
          <w:sz w:val="32"/>
          <w:szCs w:val="32"/>
        </w:rPr>
        <w:t>/</w:t>
      </w:r>
      <w:r>
        <w:rPr>
          <w:rFonts w:eastAsia="仿宋_GB2312" w:hint="eastAsia"/>
          <w:sz w:val="32"/>
          <w:szCs w:val="32"/>
        </w:rPr>
        <w:t>病理状。</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采用受试者工作特征（</w:t>
      </w:r>
      <w:r>
        <w:rPr>
          <w:rFonts w:eastAsia="仿宋_GB2312"/>
          <w:sz w:val="32"/>
          <w:szCs w:val="32"/>
        </w:rPr>
        <w:t>ROC</w:t>
      </w:r>
      <w:r>
        <w:rPr>
          <w:rFonts w:eastAsia="仿宋_GB2312"/>
          <w:sz w:val="32"/>
          <w:szCs w:val="32"/>
        </w:rPr>
        <w:t>）曲线的方式进行研究，亦可采用其他科学合理的方法进行阳性判断值研究。</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申请人应</w:t>
      </w:r>
      <w:r>
        <w:rPr>
          <w:rFonts w:eastAsia="仿宋_GB2312"/>
          <w:sz w:val="32"/>
          <w:szCs w:val="32"/>
        </w:rPr>
        <w:t>详述试验方案</w:t>
      </w:r>
      <w:r>
        <w:rPr>
          <w:rFonts w:eastAsia="仿宋_GB2312" w:hint="eastAsia"/>
          <w:sz w:val="32"/>
          <w:szCs w:val="32"/>
        </w:rPr>
        <w:t>，列明所用试剂、仪器、对比方法、样本量、</w:t>
      </w:r>
      <w:r>
        <w:rPr>
          <w:rFonts w:eastAsia="仿宋_GB2312"/>
          <w:sz w:val="32"/>
          <w:szCs w:val="32"/>
        </w:rPr>
        <w:t>样本入组标准</w:t>
      </w:r>
      <w:r>
        <w:rPr>
          <w:rFonts w:eastAsia="仿宋_GB2312" w:hint="eastAsia"/>
          <w:sz w:val="32"/>
          <w:szCs w:val="32"/>
        </w:rPr>
        <w:t>；提交阳性判断值研究所用样本的</w:t>
      </w:r>
      <w:r>
        <w:rPr>
          <w:rFonts w:eastAsia="仿宋_GB2312"/>
          <w:sz w:val="32"/>
          <w:szCs w:val="32"/>
        </w:rPr>
        <w:t>背景信息</w:t>
      </w:r>
      <w:r>
        <w:rPr>
          <w:rFonts w:eastAsia="仿宋_GB2312" w:hint="eastAsia"/>
          <w:sz w:val="32"/>
          <w:szCs w:val="32"/>
        </w:rPr>
        <w:t>列表，至少包括民族、性别、年龄、</w:t>
      </w:r>
      <w:r>
        <w:rPr>
          <w:rFonts w:eastAsia="仿宋_GB2312"/>
          <w:sz w:val="32"/>
          <w:szCs w:val="32"/>
        </w:rPr>
        <w:t>来源、唯一可溯源编号、临床诊断信息等及试验结果等。</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如果试剂判读存在灰区，应解释</w:t>
      </w:r>
      <w:proofErr w:type="gramStart"/>
      <w:r>
        <w:rPr>
          <w:rFonts w:eastAsia="仿宋_GB2312"/>
          <w:sz w:val="32"/>
          <w:szCs w:val="32"/>
        </w:rPr>
        <w:t>说明灰区范围</w:t>
      </w:r>
      <w:proofErr w:type="gramEnd"/>
      <w:r>
        <w:rPr>
          <w:rFonts w:eastAsia="仿宋_GB2312"/>
          <w:sz w:val="32"/>
          <w:szCs w:val="32"/>
        </w:rPr>
        <w:t>的确定方法。</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提供内标检测结果范围的确定方法和研究资料。</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主要原材料研究资料</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该类产品的主要原材料包括引物、探针、酶、</w:t>
      </w:r>
      <w:r>
        <w:rPr>
          <w:rFonts w:eastAsia="仿宋_GB2312"/>
          <w:sz w:val="32"/>
          <w:szCs w:val="32"/>
        </w:rPr>
        <w:t>dNTP</w:t>
      </w:r>
      <w:r>
        <w:rPr>
          <w:rFonts w:eastAsia="仿宋_GB2312"/>
          <w:sz w:val="32"/>
          <w:szCs w:val="32"/>
        </w:rPr>
        <w:t>、核酸分离</w:t>
      </w:r>
      <w:r>
        <w:rPr>
          <w:rFonts w:eastAsia="仿宋_GB2312"/>
          <w:sz w:val="32"/>
          <w:szCs w:val="32"/>
        </w:rPr>
        <w:t>/</w:t>
      </w:r>
      <w:r>
        <w:rPr>
          <w:rFonts w:eastAsia="仿宋_GB2312"/>
          <w:sz w:val="32"/>
          <w:szCs w:val="32"/>
        </w:rPr>
        <w:t>纯化组分</w:t>
      </w:r>
      <w:r>
        <w:rPr>
          <w:rFonts w:eastAsia="仿宋_GB2312" w:hint="eastAsia"/>
          <w:sz w:val="32"/>
          <w:szCs w:val="32"/>
        </w:rPr>
        <w:t>、</w:t>
      </w:r>
      <w:r>
        <w:rPr>
          <w:rFonts w:eastAsia="仿宋_GB2312"/>
          <w:sz w:val="32"/>
          <w:szCs w:val="32"/>
        </w:rPr>
        <w:t>质控品</w:t>
      </w:r>
      <w:r>
        <w:rPr>
          <w:rFonts w:eastAsia="仿宋_GB2312" w:hint="eastAsia"/>
          <w:sz w:val="32"/>
          <w:szCs w:val="32"/>
        </w:rPr>
        <w:t>、参考品</w:t>
      </w:r>
      <w:r>
        <w:rPr>
          <w:rFonts w:eastAsia="仿宋_GB2312"/>
          <w:sz w:val="32"/>
          <w:szCs w:val="32"/>
        </w:rPr>
        <w:t>等。</w:t>
      </w:r>
      <w:r>
        <w:rPr>
          <w:rFonts w:eastAsia="仿宋_GB2312" w:hint="eastAsia"/>
          <w:sz w:val="32"/>
          <w:szCs w:val="32"/>
        </w:rPr>
        <w:t>申请人可参考《体外诊断试剂主要原材料研究注册审查指导原则》进行主要原材料研究和注册申报资料的准备。除前述指南的通用要求外，</w:t>
      </w:r>
      <w:bookmarkStart w:id="37" w:name="OLE_LINK109"/>
      <w:bookmarkStart w:id="38" w:name="OLE_LINK108"/>
      <w:r>
        <w:rPr>
          <w:rFonts w:eastAsia="仿宋_GB2312" w:hint="eastAsia"/>
          <w:sz w:val="32"/>
          <w:szCs w:val="32"/>
        </w:rPr>
        <w:t>建议申请人额外注意以下内容</w:t>
      </w:r>
      <w:bookmarkEnd w:id="37"/>
      <w:bookmarkEnd w:id="38"/>
      <w:r>
        <w:rPr>
          <w:rFonts w:eastAsia="仿宋_GB2312" w:hint="eastAsia"/>
          <w:sz w:val="32"/>
          <w:szCs w:val="32"/>
        </w:rPr>
        <w:t>：</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5.1</w:t>
      </w:r>
      <w:r>
        <w:rPr>
          <w:rFonts w:eastAsia="仿宋_GB2312"/>
          <w:sz w:val="32"/>
          <w:szCs w:val="32"/>
        </w:rPr>
        <w:t>引物和探针</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HLA*B</w:t>
      </w:r>
      <w:r>
        <w:rPr>
          <w:rFonts w:eastAsia="仿宋_GB2312" w:hint="eastAsia"/>
          <w:sz w:val="32"/>
          <w:szCs w:val="32"/>
        </w:rPr>
        <w:t>基因座全长约</w:t>
      </w:r>
      <w:r>
        <w:rPr>
          <w:rFonts w:eastAsia="仿宋_GB2312"/>
          <w:sz w:val="32"/>
          <w:szCs w:val="32"/>
        </w:rPr>
        <w:t>40</w:t>
      </w:r>
      <w:r>
        <w:rPr>
          <w:rFonts w:eastAsia="仿宋_GB2312" w:hint="eastAsia"/>
          <w:sz w:val="32"/>
          <w:szCs w:val="32"/>
        </w:rPr>
        <w:t>00</w:t>
      </w:r>
      <w:r>
        <w:rPr>
          <w:rFonts w:eastAsia="仿宋_GB2312"/>
          <w:sz w:val="32"/>
          <w:szCs w:val="32"/>
        </w:rPr>
        <w:t>bp</w:t>
      </w:r>
      <w:r>
        <w:rPr>
          <w:rFonts w:eastAsia="仿宋_GB2312" w:hint="eastAsia"/>
          <w:sz w:val="32"/>
          <w:szCs w:val="32"/>
        </w:rPr>
        <w:t>，包含</w:t>
      </w:r>
      <w:r>
        <w:rPr>
          <w:rFonts w:eastAsia="仿宋_GB2312" w:hint="eastAsia"/>
          <w:sz w:val="32"/>
          <w:szCs w:val="32"/>
        </w:rPr>
        <w:t>7</w:t>
      </w:r>
      <w:r>
        <w:rPr>
          <w:rFonts w:eastAsia="仿宋_GB2312" w:hint="eastAsia"/>
          <w:sz w:val="32"/>
          <w:szCs w:val="32"/>
        </w:rPr>
        <w:t>个外显子、</w:t>
      </w:r>
      <w:r>
        <w:rPr>
          <w:rFonts w:eastAsia="仿宋_GB2312" w:hint="eastAsia"/>
          <w:sz w:val="32"/>
          <w:szCs w:val="32"/>
        </w:rPr>
        <w:t>6</w:t>
      </w:r>
      <w:r>
        <w:rPr>
          <w:rFonts w:eastAsia="仿宋_GB2312" w:hint="eastAsia"/>
          <w:sz w:val="32"/>
          <w:szCs w:val="32"/>
        </w:rPr>
        <w:t>个内含子，</w:t>
      </w:r>
      <w:r>
        <w:rPr>
          <w:rFonts w:eastAsia="仿宋_GB2312" w:hint="eastAsia"/>
          <w:sz w:val="32"/>
          <w:szCs w:val="32"/>
        </w:rPr>
        <w:t>5</w:t>
      </w:r>
      <w:proofErr w:type="gramStart"/>
      <w:r>
        <w:rPr>
          <w:rFonts w:eastAsia="仿宋_GB2312"/>
          <w:sz w:val="32"/>
          <w:szCs w:val="32"/>
        </w:rPr>
        <w:t>’</w:t>
      </w:r>
      <w:proofErr w:type="gramEnd"/>
      <w:r>
        <w:rPr>
          <w:rFonts w:eastAsia="仿宋_GB2312" w:hint="eastAsia"/>
          <w:sz w:val="32"/>
          <w:szCs w:val="32"/>
        </w:rPr>
        <w:t>UTR</w:t>
      </w:r>
      <w:r>
        <w:rPr>
          <w:rFonts w:eastAsia="仿宋_GB2312" w:hint="eastAsia"/>
          <w:sz w:val="32"/>
          <w:szCs w:val="32"/>
        </w:rPr>
        <w:t>区域和</w:t>
      </w:r>
      <w:r>
        <w:rPr>
          <w:rFonts w:eastAsia="仿宋_GB2312" w:hint="eastAsia"/>
          <w:sz w:val="32"/>
          <w:szCs w:val="32"/>
        </w:rPr>
        <w:t>3</w:t>
      </w:r>
      <w:proofErr w:type="gramStart"/>
      <w:r>
        <w:rPr>
          <w:rFonts w:eastAsia="仿宋_GB2312"/>
          <w:sz w:val="32"/>
          <w:szCs w:val="32"/>
        </w:rPr>
        <w:t>’</w:t>
      </w:r>
      <w:proofErr w:type="gramEnd"/>
      <w:r>
        <w:rPr>
          <w:rFonts w:eastAsia="仿宋_GB2312" w:hint="eastAsia"/>
          <w:sz w:val="32"/>
          <w:szCs w:val="32"/>
        </w:rPr>
        <w:t>UTR</w:t>
      </w:r>
      <w:r>
        <w:rPr>
          <w:rFonts w:eastAsia="仿宋_GB2312" w:hint="eastAsia"/>
          <w:sz w:val="32"/>
          <w:szCs w:val="32"/>
        </w:rPr>
        <w:t>区域。</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详述目标检测区域的选择过程，明确其在整个</w:t>
      </w:r>
      <w:r>
        <w:rPr>
          <w:rFonts w:eastAsia="仿宋_GB2312" w:hint="eastAsia"/>
          <w:sz w:val="32"/>
          <w:szCs w:val="32"/>
        </w:rPr>
        <w:t>B</w:t>
      </w:r>
      <w:r>
        <w:rPr>
          <w:rFonts w:eastAsia="仿宋_GB2312" w:hint="eastAsia"/>
          <w:sz w:val="32"/>
          <w:szCs w:val="32"/>
        </w:rPr>
        <w:t>基因座中的序列位置信息。所选区域应具有特异性和包容性。</w:t>
      </w:r>
      <w:r>
        <w:rPr>
          <w:rFonts w:eastAsia="仿宋_GB2312"/>
          <w:sz w:val="32"/>
          <w:szCs w:val="32"/>
        </w:rPr>
        <w:t>详述引物、探针的设计原则，提供引物探针序列、靶基因序列及两者的对应情况。针对检测靶序列</w:t>
      </w:r>
      <w:r>
        <w:rPr>
          <w:rFonts w:eastAsia="仿宋_GB2312" w:hint="eastAsia"/>
          <w:sz w:val="32"/>
          <w:szCs w:val="32"/>
        </w:rPr>
        <w:t>、</w:t>
      </w:r>
      <w:r>
        <w:rPr>
          <w:rFonts w:eastAsia="仿宋_GB2312"/>
          <w:sz w:val="32"/>
          <w:szCs w:val="32"/>
        </w:rPr>
        <w:t>引物</w:t>
      </w:r>
      <w:r>
        <w:rPr>
          <w:rFonts w:eastAsia="仿宋_GB2312" w:hint="eastAsia"/>
          <w:sz w:val="32"/>
          <w:szCs w:val="32"/>
        </w:rPr>
        <w:t>和</w:t>
      </w:r>
      <w:r>
        <w:rPr>
          <w:rFonts w:eastAsia="仿宋_GB2312"/>
          <w:sz w:val="32"/>
          <w:szCs w:val="32"/>
        </w:rPr>
        <w:t>探针与公开数据库进行同源性分析</w:t>
      </w:r>
      <w:r>
        <w:rPr>
          <w:rFonts w:eastAsia="仿宋_GB2312" w:hint="eastAsia"/>
          <w:sz w:val="32"/>
          <w:szCs w:val="32"/>
        </w:rPr>
        <w:t>，确保所选序列与人类基因非</w:t>
      </w:r>
      <w:r>
        <w:rPr>
          <w:rFonts w:eastAsia="仿宋_GB2312" w:hint="eastAsia"/>
          <w:sz w:val="32"/>
          <w:szCs w:val="32"/>
        </w:rPr>
        <w:lastRenderedPageBreak/>
        <w:t>目标区域和常见入血病原体无交叉。</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建议设计两套或多套引物探针以供筛选，针对待测位点的检测灵敏度和特异性等进行评价，选择最佳引物探针组合，并提交详细的筛选研究数据。同时如有同源序列应着重评价是否会有交叉反应。</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申请人应针对选定的引物、探针原材料进行质量评价，一般包括：外观、分子量、纯度、浓度、探针荧光标记基团的激发波长和发射波长，以及功能性试验等，并依据评价结果建立合理的质量标准。</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2</w:t>
      </w:r>
      <w:r>
        <w:rPr>
          <w:rFonts w:eastAsia="仿宋_GB2312" w:hint="eastAsia"/>
          <w:sz w:val="32"/>
          <w:szCs w:val="32"/>
        </w:rPr>
        <w:t>内标</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内标，又称内对照，可对管内抑制导致的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Pr>
          <w:rFonts w:eastAsia="仿宋_GB2312" w:hint="eastAsia"/>
          <w:sz w:val="32"/>
          <w:szCs w:val="32"/>
        </w:rPr>
        <w:t>Ct</w:t>
      </w:r>
      <w:r>
        <w:rPr>
          <w:rFonts w:eastAsia="仿宋_GB2312" w:hint="eastAsia"/>
          <w:sz w:val="32"/>
          <w:szCs w:val="32"/>
        </w:rPr>
        <w:t>值范围。建议科学设置内标，对待测样本的取样质量、试剂的反应体系进行监控。</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3</w:t>
      </w:r>
      <w:r>
        <w:rPr>
          <w:rFonts w:eastAsia="仿宋_GB2312"/>
          <w:sz w:val="32"/>
          <w:szCs w:val="32"/>
        </w:rPr>
        <w:t>企业参考品</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该类产品的企业参考</w:t>
      </w:r>
      <w:proofErr w:type="gramStart"/>
      <w:r>
        <w:rPr>
          <w:rFonts w:eastAsia="仿宋_GB2312"/>
          <w:sz w:val="32"/>
          <w:szCs w:val="32"/>
        </w:rPr>
        <w:t>品一般</w:t>
      </w:r>
      <w:proofErr w:type="gramEnd"/>
      <w:r>
        <w:rPr>
          <w:rFonts w:eastAsia="仿宋_GB2312"/>
          <w:sz w:val="32"/>
          <w:szCs w:val="32"/>
        </w:rPr>
        <w:t>包括</w:t>
      </w:r>
      <w:r>
        <w:rPr>
          <w:rFonts w:eastAsia="仿宋_GB2312" w:hint="eastAsia"/>
          <w:sz w:val="32"/>
          <w:szCs w:val="32"/>
        </w:rPr>
        <w:t>阳性参考品、阴性参考品</w:t>
      </w:r>
      <w:r>
        <w:rPr>
          <w:rFonts w:eastAsia="仿宋_GB2312"/>
          <w:sz w:val="32"/>
          <w:szCs w:val="32"/>
        </w:rPr>
        <w:t>和精密度参考品。企业参考品</w:t>
      </w:r>
      <w:r>
        <w:rPr>
          <w:rFonts w:eastAsia="仿宋_GB2312" w:hint="eastAsia"/>
          <w:sz w:val="32"/>
          <w:szCs w:val="32"/>
        </w:rPr>
        <w:t>可为静脉全血样本或其</w:t>
      </w:r>
      <w:r>
        <w:rPr>
          <w:rFonts w:eastAsia="仿宋_GB2312" w:hint="eastAsia"/>
          <w:sz w:val="32"/>
          <w:szCs w:val="32"/>
        </w:rPr>
        <w:t>DNA</w:t>
      </w:r>
      <w:r>
        <w:rPr>
          <w:rFonts w:eastAsia="仿宋_GB2312" w:hint="eastAsia"/>
          <w:sz w:val="32"/>
          <w:szCs w:val="32"/>
        </w:rPr>
        <w:t>提取液</w:t>
      </w:r>
      <w:r>
        <w:rPr>
          <w:rFonts w:eastAsia="仿宋_GB2312"/>
          <w:sz w:val="32"/>
          <w:szCs w:val="32"/>
        </w:rPr>
        <w:t>，</w:t>
      </w:r>
      <w:r>
        <w:rPr>
          <w:rFonts w:eastAsia="仿宋_GB2312" w:hint="eastAsia"/>
          <w:sz w:val="32"/>
          <w:szCs w:val="32"/>
        </w:rPr>
        <w:t>部分罕见等位基因可采用细胞系或质粒制备。</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应提交企业参考品的原料来源、选择、制备、浓度及</w:t>
      </w:r>
      <w:r>
        <w:rPr>
          <w:rFonts w:eastAsia="仿宋_GB2312" w:hint="eastAsia"/>
          <w:sz w:val="32"/>
          <w:szCs w:val="32"/>
        </w:rPr>
        <w:t>基因亚型</w:t>
      </w:r>
      <w:r>
        <w:rPr>
          <w:rFonts w:eastAsia="仿宋_GB2312"/>
          <w:sz w:val="32"/>
          <w:szCs w:val="32"/>
        </w:rPr>
        <w:t>确认方法或试剂等相关研究资料。企业参考品的设置</w:t>
      </w:r>
      <w:r>
        <w:rPr>
          <w:rFonts w:eastAsia="仿宋_GB2312" w:hint="eastAsia"/>
          <w:sz w:val="32"/>
          <w:szCs w:val="32"/>
        </w:rPr>
        <w:t>至少包含</w:t>
      </w:r>
      <w:r>
        <w:rPr>
          <w:rFonts w:eastAsia="仿宋_GB2312"/>
          <w:sz w:val="32"/>
          <w:szCs w:val="32"/>
        </w:rPr>
        <w:t>：</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阳性参考品</w:t>
      </w:r>
      <w:bookmarkStart w:id="39" w:name="OLE_LINK6"/>
      <w:r>
        <w:rPr>
          <w:rFonts w:eastAsia="仿宋_GB2312" w:hint="eastAsia"/>
          <w:sz w:val="32"/>
          <w:szCs w:val="32"/>
        </w:rPr>
        <w:t>为</w:t>
      </w:r>
      <w:r>
        <w:rPr>
          <w:rFonts w:eastAsia="仿宋_GB2312"/>
          <w:sz w:val="32"/>
          <w:szCs w:val="32"/>
        </w:rPr>
        <w:t>不同浓度</w:t>
      </w:r>
      <w:r>
        <w:rPr>
          <w:rFonts w:eastAsia="仿宋_GB2312" w:hint="eastAsia"/>
          <w:sz w:val="32"/>
          <w:szCs w:val="32"/>
        </w:rPr>
        <w:t>水平</w:t>
      </w:r>
      <w:r>
        <w:rPr>
          <w:rFonts w:eastAsia="仿宋_GB2312" w:hint="eastAsia"/>
          <w:sz w:val="32"/>
          <w:szCs w:val="32"/>
        </w:rPr>
        <w:t>HLA-B*5801</w:t>
      </w:r>
      <w:r>
        <w:rPr>
          <w:rFonts w:eastAsia="仿宋_GB2312" w:hint="eastAsia"/>
          <w:sz w:val="32"/>
          <w:szCs w:val="32"/>
        </w:rPr>
        <w:t>阳性样本，建议纳入包容性研究中的部分等位基因。</w:t>
      </w:r>
      <w:bookmarkEnd w:id="39"/>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lastRenderedPageBreak/>
        <w:t>阴性参考品应</w:t>
      </w:r>
      <w:r>
        <w:rPr>
          <w:rFonts w:eastAsia="仿宋_GB2312"/>
          <w:sz w:val="32"/>
          <w:szCs w:val="32"/>
        </w:rPr>
        <w:t>考虑检测特异性的评价，纳入同源序列交叉反应样本</w:t>
      </w:r>
      <w:r>
        <w:rPr>
          <w:rFonts w:eastAsia="仿宋_GB2312" w:hint="eastAsia"/>
          <w:sz w:val="32"/>
          <w:szCs w:val="32"/>
        </w:rPr>
        <w:t>和</w:t>
      </w:r>
      <w:r>
        <w:rPr>
          <w:rFonts w:eastAsia="仿宋_GB2312"/>
          <w:sz w:val="32"/>
          <w:szCs w:val="32"/>
        </w:rPr>
        <w:t>干扰样本等。</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精密度参考品</w:t>
      </w:r>
      <w:r>
        <w:rPr>
          <w:rFonts w:eastAsia="仿宋_GB2312" w:hint="eastAsia"/>
          <w:sz w:val="32"/>
          <w:szCs w:val="32"/>
        </w:rPr>
        <w:t>至少包括阴性样本和阳性样本，浓度水平至少包括</w:t>
      </w:r>
      <w:proofErr w:type="gramStart"/>
      <w:r>
        <w:rPr>
          <w:rFonts w:eastAsia="仿宋_GB2312" w:hint="eastAsia"/>
          <w:sz w:val="32"/>
          <w:szCs w:val="32"/>
        </w:rPr>
        <w:t>上样要求</w:t>
      </w:r>
      <w:proofErr w:type="gramEnd"/>
      <w:r>
        <w:rPr>
          <w:rFonts w:eastAsia="仿宋_GB2312" w:hint="eastAsia"/>
          <w:sz w:val="32"/>
          <w:szCs w:val="32"/>
        </w:rPr>
        <w:t>的最低</w:t>
      </w:r>
      <w:r>
        <w:rPr>
          <w:rFonts w:eastAsia="仿宋_GB2312" w:hint="eastAsia"/>
          <w:sz w:val="32"/>
          <w:szCs w:val="32"/>
        </w:rPr>
        <w:t>DNA</w:t>
      </w:r>
      <w:r>
        <w:rPr>
          <w:rFonts w:eastAsia="仿宋_GB2312" w:hint="eastAsia"/>
          <w:sz w:val="32"/>
          <w:szCs w:val="32"/>
        </w:rPr>
        <w:t>浓度和中阳性样本（正常白细胞浓度水平样本）。</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（四）临床评价资料</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临床试验的开展、方案的制定以及报告的撰写等均应符合</w:t>
      </w:r>
      <w:r>
        <w:rPr>
          <w:rFonts w:eastAsia="仿宋_GB2312" w:hint="eastAsia"/>
          <w:kern w:val="0"/>
          <w:sz w:val="32"/>
          <w:szCs w:val="32"/>
        </w:rPr>
        <w:t>《体外诊断试剂注册与备案管理办法》《医疗器械临床试验质量管理规范》《体外诊断试剂注册申报资料要求和批准证明文件格式</w:t>
      </w:r>
      <w:r>
        <w:rPr>
          <w:rFonts w:hint="eastAsia"/>
        </w:rPr>
        <w:t>》</w:t>
      </w:r>
      <w:r>
        <w:rPr>
          <w:rFonts w:eastAsia="仿宋_GB2312" w:hint="eastAsia"/>
          <w:sz w:val="32"/>
          <w:szCs w:val="32"/>
        </w:rPr>
        <w:t>及《体外诊断试剂临床试验技术指导原则》的要求，如相关法规、文件有更新，临床试验应符合更新后的要求。</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临床试验机构</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应选</w:t>
      </w:r>
      <w:proofErr w:type="gramStart"/>
      <w:r>
        <w:rPr>
          <w:rFonts w:eastAsia="仿宋_GB2312" w:hint="eastAsia"/>
          <w:sz w:val="32"/>
          <w:szCs w:val="32"/>
        </w:rPr>
        <w:t>择至少</w:t>
      </w:r>
      <w:proofErr w:type="gramEnd"/>
      <w:r>
        <w:rPr>
          <w:rFonts w:eastAsia="仿宋_GB2312"/>
          <w:sz w:val="32"/>
          <w:szCs w:val="32"/>
        </w:rPr>
        <w:t>3</w:t>
      </w:r>
      <w:r>
        <w:rPr>
          <w:rFonts w:eastAsia="仿宋_GB2312" w:hint="eastAsia"/>
          <w:sz w:val="32"/>
          <w:szCs w:val="32"/>
        </w:rPr>
        <w:t>家（含</w:t>
      </w:r>
      <w:r>
        <w:rPr>
          <w:rFonts w:eastAsia="仿宋_GB2312"/>
          <w:sz w:val="32"/>
          <w:szCs w:val="32"/>
        </w:rPr>
        <w:t>3</w:t>
      </w:r>
      <w:r>
        <w:rPr>
          <w:rFonts w:eastAsia="仿宋_GB2312" w:hint="eastAsia"/>
          <w:sz w:val="32"/>
          <w:szCs w:val="32"/>
        </w:rPr>
        <w:t>家）已备案的临床试验机构，按照相关法规的要求开展临床试验。申请人应根据产品特点及预期用途，综合不同地区人种和流行病学背景等因素选择临床试验机构。临床试验机构应具有分子生物学方法检测的优势，实验操作人员应有足够的时间熟悉检测系统的各环节，熟悉临床试验方案。</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临床试验方法</w:t>
      </w:r>
    </w:p>
    <w:p w:rsidR="00554798" w:rsidRDefault="004A1007" w:rsidP="00E12BF0">
      <w:pPr>
        <w:spacing w:line="520" w:lineRule="exact"/>
        <w:ind w:firstLineChars="200" w:firstLine="640"/>
        <w:rPr>
          <w:rFonts w:eastAsia="仿宋_GB2312"/>
          <w:sz w:val="32"/>
          <w:szCs w:val="32"/>
        </w:rPr>
      </w:pPr>
      <w:bookmarkStart w:id="40" w:name="OLE_LINK17"/>
      <w:bookmarkStart w:id="41" w:name="OLE_LINK16"/>
      <w:r>
        <w:rPr>
          <w:rFonts w:eastAsia="仿宋_GB2312" w:hint="eastAsia"/>
          <w:sz w:val="32"/>
          <w:szCs w:val="32"/>
        </w:rPr>
        <w:t>建议申请人选择境内已批准上市的同类产品或</w:t>
      </w:r>
      <w:r>
        <w:rPr>
          <w:rFonts w:eastAsia="仿宋_GB2312"/>
          <w:sz w:val="32"/>
          <w:szCs w:val="32"/>
        </w:rPr>
        <w:t>Sanger</w:t>
      </w:r>
      <w:r>
        <w:rPr>
          <w:rFonts w:eastAsia="仿宋_GB2312" w:hint="eastAsia"/>
          <w:sz w:val="32"/>
          <w:szCs w:val="32"/>
        </w:rPr>
        <w:t>测序法作为对比试剂，采用试验体外诊断试剂与之进行对比试验研究，评价试验体外诊断试剂的临床性能。对比试剂的选择应从预期用途、样本要求、检测性能等方面，确认其与试验体外诊断试剂具有较好的可比性。如采用</w:t>
      </w:r>
      <w:r>
        <w:rPr>
          <w:rFonts w:eastAsia="仿宋_GB2312" w:hint="eastAsia"/>
          <w:sz w:val="32"/>
          <w:szCs w:val="32"/>
        </w:rPr>
        <w:t>Sanger</w:t>
      </w:r>
      <w:r>
        <w:rPr>
          <w:rFonts w:eastAsia="仿宋_GB2312" w:hint="eastAsia"/>
          <w:sz w:val="32"/>
          <w:szCs w:val="32"/>
        </w:rPr>
        <w:t>测序法作为对比试剂，所有样本均应报告测序序列，</w:t>
      </w:r>
      <w:r>
        <w:rPr>
          <w:rFonts w:eastAsia="仿宋_GB2312" w:hint="eastAsia"/>
          <w:sz w:val="32"/>
          <w:szCs w:val="32"/>
        </w:rPr>
        <w:lastRenderedPageBreak/>
        <w:t>并判断是否为</w:t>
      </w:r>
      <w:r>
        <w:rPr>
          <w:rFonts w:eastAsia="仿宋_GB2312" w:hint="eastAsia"/>
          <w:sz w:val="32"/>
          <w:szCs w:val="32"/>
        </w:rPr>
        <w:t>HLA-B*58:01</w:t>
      </w:r>
      <w:r>
        <w:rPr>
          <w:rFonts w:eastAsia="仿宋_GB2312" w:hint="eastAsia"/>
          <w:sz w:val="32"/>
          <w:szCs w:val="32"/>
        </w:rPr>
        <w:t>型。</w:t>
      </w:r>
    </w:p>
    <w:bookmarkEnd w:id="40"/>
    <w:bookmarkEnd w:id="41"/>
    <w:p w:rsidR="00554798" w:rsidRDefault="004A1007" w:rsidP="00E12BF0">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受试者选择和样本类型</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3.1</w:t>
      </w:r>
      <w:r>
        <w:rPr>
          <w:rFonts w:eastAsia="仿宋_GB2312" w:hint="eastAsia"/>
          <w:sz w:val="32"/>
          <w:szCs w:val="32"/>
        </w:rPr>
        <w:t>受试者选择</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临床试验的入组受试者应当为具有别嘌呤醇应用适应证的患者，如：痛风、高尿酸血症患者等。</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 xml:space="preserve">3.2 </w:t>
      </w:r>
      <w:r>
        <w:rPr>
          <w:rFonts w:eastAsia="仿宋_GB2312" w:hint="eastAsia"/>
          <w:sz w:val="32"/>
          <w:szCs w:val="32"/>
        </w:rPr>
        <w:t>样本类型</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适用的样本类型一般为静脉全血。临床试验应纳入临床原始样本，不应直接采用提取的基因组</w:t>
      </w:r>
      <w:r>
        <w:rPr>
          <w:rFonts w:eastAsia="仿宋_GB2312"/>
          <w:sz w:val="32"/>
          <w:szCs w:val="32"/>
        </w:rPr>
        <w:t>DNA</w:t>
      </w:r>
      <w:r>
        <w:rPr>
          <w:rFonts w:eastAsia="仿宋_GB2312" w:hint="eastAsia"/>
          <w:sz w:val="32"/>
          <w:szCs w:val="32"/>
        </w:rPr>
        <w:t>进行试验。临床样本的采集、处理、保存和提取等应分别满足试验体外诊断试剂说明书以及对比试剂说明书的相关要求。</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临床试验样本量</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临床试验样本量应满足统计学要求，可采用适当的统计学方法进行估算。</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对于</w:t>
      </w:r>
      <w:r>
        <w:rPr>
          <w:rFonts w:eastAsia="仿宋_GB2312"/>
          <w:sz w:val="32"/>
          <w:szCs w:val="32"/>
        </w:rPr>
        <w:t>HLA-B*58:01</w:t>
      </w:r>
      <w:r>
        <w:rPr>
          <w:rFonts w:eastAsia="仿宋_GB2312" w:hint="eastAsia"/>
          <w:sz w:val="32"/>
          <w:szCs w:val="32"/>
        </w:rPr>
        <w:t>基因检测试剂，此部分临床试验目的为评估两种检测方法之间的一致性，因此建议采用单组目标值法进行样本量估算。</w:t>
      </w:r>
      <w:r>
        <w:rPr>
          <w:rFonts w:eastAsia="仿宋_GB2312" w:cs="Times New Roman" w:hint="eastAsia"/>
          <w:sz w:val="32"/>
          <w:szCs w:val="32"/>
        </w:rPr>
        <w:t>通过阳性符合率和阴性符合率来分别计算所需阳性样本和阴性样本的例数。</w:t>
      </w:r>
    </w:p>
    <w:p w:rsidR="00554798" w:rsidRDefault="004A1007" w:rsidP="00E12BF0">
      <w:pPr>
        <w:spacing w:line="520" w:lineRule="exact"/>
        <w:ind w:firstLineChars="200" w:firstLine="420"/>
        <w:rPr>
          <w:rFonts w:eastAsia="仿宋_GB2312"/>
          <w:sz w:val="32"/>
          <w:szCs w:val="32"/>
        </w:rPr>
      </w:pPr>
      <w:r>
        <w:rPr>
          <w:noProof/>
        </w:rPr>
        <w:drawing>
          <wp:anchor distT="0" distB="0" distL="114300" distR="114300" simplePos="0" relativeHeight="251659264" behindDoc="0" locked="0" layoutInCell="1" allowOverlap="1" wp14:anchorId="5DE2297A" wp14:editId="485E25CE">
            <wp:simplePos x="0" y="0"/>
            <wp:positionH relativeFrom="column">
              <wp:posOffset>415925</wp:posOffset>
            </wp:positionH>
            <wp:positionV relativeFrom="paragraph">
              <wp:posOffset>70485</wp:posOffset>
            </wp:positionV>
            <wp:extent cx="3486150" cy="79057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pic:spPr>
                </pic:pic>
              </a:graphicData>
            </a:graphic>
          </wp:anchor>
        </w:drawing>
      </w:r>
      <w:r>
        <w:rPr>
          <w:rFonts w:eastAsia="仿宋_GB2312" w:hint="eastAsia"/>
          <w:sz w:val="32"/>
          <w:szCs w:val="32"/>
        </w:rPr>
        <w:t>上述公式中，</w:t>
      </w:r>
      <w:r>
        <w:rPr>
          <w:rFonts w:eastAsia="仿宋_GB2312"/>
          <w:sz w:val="32"/>
          <w:szCs w:val="32"/>
        </w:rPr>
        <w:t>n</w:t>
      </w:r>
      <w:r>
        <w:rPr>
          <w:rFonts w:eastAsia="仿宋_GB2312" w:hint="eastAsia"/>
          <w:sz w:val="32"/>
          <w:szCs w:val="32"/>
        </w:rPr>
        <w:t>为样本量；</w:t>
      </w:r>
      <w:r>
        <w:rPr>
          <w:rFonts w:eastAsia="仿宋_GB2312"/>
          <w:sz w:val="32"/>
          <w:szCs w:val="32"/>
        </w:rPr>
        <w:t>Z</w:t>
      </w:r>
      <w:r>
        <w:rPr>
          <w:rFonts w:eastAsia="仿宋_GB2312"/>
          <w:sz w:val="32"/>
          <w:szCs w:val="32"/>
          <w:vertAlign w:val="subscript"/>
        </w:rPr>
        <w:t>1-α/2</w:t>
      </w:r>
      <w:r>
        <w:rPr>
          <w:rFonts w:eastAsia="仿宋_GB2312" w:hint="eastAsia"/>
          <w:sz w:val="32"/>
          <w:szCs w:val="32"/>
        </w:rPr>
        <w:t>、</w:t>
      </w:r>
      <w:r>
        <w:rPr>
          <w:rFonts w:eastAsia="仿宋_GB2312"/>
          <w:sz w:val="32"/>
          <w:szCs w:val="32"/>
        </w:rPr>
        <w:t>Z</w:t>
      </w:r>
      <w:r>
        <w:rPr>
          <w:rFonts w:eastAsia="仿宋_GB2312"/>
          <w:sz w:val="32"/>
          <w:szCs w:val="32"/>
          <w:vertAlign w:val="subscript"/>
        </w:rPr>
        <w:t>1-β</w:t>
      </w:r>
      <w:r>
        <w:rPr>
          <w:rFonts w:eastAsia="仿宋_GB2312" w:hint="eastAsia"/>
          <w:sz w:val="32"/>
          <w:szCs w:val="32"/>
        </w:rPr>
        <w:t>为显著性水平和把握度的标准正态分布的分数位，</w:t>
      </w:r>
      <w:r>
        <w:rPr>
          <w:rFonts w:eastAsia="仿宋_GB2312"/>
          <w:sz w:val="32"/>
          <w:szCs w:val="32"/>
        </w:rPr>
        <w:t>P</w:t>
      </w:r>
      <w:r>
        <w:rPr>
          <w:rFonts w:eastAsia="仿宋_GB2312"/>
          <w:sz w:val="32"/>
          <w:szCs w:val="32"/>
          <w:vertAlign w:val="subscript"/>
        </w:rPr>
        <w:t>0</w:t>
      </w:r>
      <w:r>
        <w:rPr>
          <w:rFonts w:eastAsia="仿宋_GB2312" w:hint="eastAsia"/>
          <w:sz w:val="32"/>
          <w:szCs w:val="32"/>
        </w:rPr>
        <w:t>为评价指标的临床可接受标准，</w:t>
      </w:r>
      <w:r>
        <w:rPr>
          <w:rFonts w:eastAsia="仿宋_GB2312"/>
          <w:sz w:val="32"/>
          <w:szCs w:val="32"/>
        </w:rPr>
        <w:t>P</w:t>
      </w:r>
      <w:r>
        <w:rPr>
          <w:rFonts w:eastAsia="仿宋_GB2312"/>
          <w:sz w:val="32"/>
          <w:szCs w:val="32"/>
          <w:vertAlign w:val="subscript"/>
        </w:rPr>
        <w:t>T</w:t>
      </w:r>
      <w:r>
        <w:rPr>
          <w:rFonts w:eastAsia="仿宋_GB2312" w:hint="eastAsia"/>
          <w:sz w:val="32"/>
          <w:szCs w:val="32"/>
        </w:rPr>
        <w:t>为试验体外诊断试剂评价指标预期值。</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在样本量估算中，阳性、阴性符合率的临床可接受标准（</w:t>
      </w:r>
      <w:r>
        <w:rPr>
          <w:rFonts w:eastAsia="仿宋_GB2312"/>
          <w:sz w:val="32"/>
          <w:szCs w:val="32"/>
        </w:rPr>
        <w:t>P</w:t>
      </w:r>
      <w:r>
        <w:rPr>
          <w:rFonts w:eastAsia="仿宋_GB2312"/>
          <w:sz w:val="32"/>
          <w:szCs w:val="32"/>
          <w:vertAlign w:val="subscript"/>
        </w:rPr>
        <w:t>0</w:t>
      </w:r>
      <w:r>
        <w:rPr>
          <w:rFonts w:eastAsia="仿宋_GB2312" w:hint="eastAsia"/>
          <w:sz w:val="32"/>
          <w:szCs w:val="32"/>
        </w:rPr>
        <w:t>）一般建议均不低于</w:t>
      </w:r>
      <w:r>
        <w:rPr>
          <w:rFonts w:eastAsia="仿宋_GB2312"/>
          <w:sz w:val="32"/>
          <w:szCs w:val="32"/>
        </w:rPr>
        <w:t>95%</w:t>
      </w:r>
      <w:r>
        <w:rPr>
          <w:rFonts w:eastAsia="仿宋_GB2312" w:hint="eastAsia"/>
          <w:sz w:val="32"/>
          <w:szCs w:val="32"/>
        </w:rPr>
        <w:t>。当评价指标</w:t>
      </w:r>
      <w:r>
        <w:rPr>
          <w:rFonts w:eastAsia="仿宋_GB2312"/>
          <w:sz w:val="32"/>
          <w:szCs w:val="32"/>
        </w:rPr>
        <w:t>P</w:t>
      </w:r>
      <w:r>
        <w:rPr>
          <w:rFonts w:eastAsia="仿宋_GB2312"/>
          <w:sz w:val="32"/>
          <w:szCs w:val="32"/>
          <w:vertAlign w:val="subscript"/>
        </w:rPr>
        <w:t>T</w:t>
      </w:r>
      <w:r>
        <w:rPr>
          <w:rFonts w:eastAsia="仿宋_GB2312" w:hint="eastAsia"/>
          <w:sz w:val="32"/>
          <w:szCs w:val="32"/>
        </w:rPr>
        <w:t>接近</w:t>
      </w:r>
      <w:r>
        <w:rPr>
          <w:rFonts w:eastAsia="仿宋_GB2312"/>
          <w:sz w:val="32"/>
          <w:szCs w:val="32"/>
        </w:rPr>
        <w:t>100%</w:t>
      </w:r>
      <w:r>
        <w:rPr>
          <w:rFonts w:eastAsia="仿宋_GB2312" w:hint="eastAsia"/>
          <w:sz w:val="32"/>
          <w:szCs w:val="32"/>
        </w:rPr>
        <w:t>时，该样本量估算方法可能不适用，应考虑选择更加适宜的方法进行样本量估算和统计学分析，如精确概率法等。</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lastRenderedPageBreak/>
        <w:t>临床试验总体样本量确定时应在上述阳性、阴性样本最低样本量估算的基础上，同时考虑其他可能造成受试者脱落情况等适当增加入组样本量。</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统计学分析</w:t>
      </w:r>
    </w:p>
    <w:p w:rsidR="00554798" w:rsidRDefault="004A1007" w:rsidP="00E12BF0">
      <w:pPr>
        <w:spacing w:line="520" w:lineRule="exact"/>
        <w:ind w:firstLineChars="200" w:firstLine="640"/>
      </w:pPr>
      <w:r>
        <w:rPr>
          <w:rFonts w:eastAsia="仿宋_GB2312" w:hint="eastAsia"/>
          <w:sz w:val="32"/>
          <w:szCs w:val="32"/>
        </w:rPr>
        <w:t>应对入组人群进行人口学分析，包括年龄、性别和临床诊断背景信息等，以</w:t>
      </w:r>
      <w:r>
        <w:rPr>
          <w:rFonts w:eastAsia="仿宋_GB2312"/>
          <w:sz w:val="32"/>
          <w:szCs w:val="32"/>
        </w:rPr>
        <w:t>2</w:t>
      </w:r>
      <w:r>
        <w:rPr>
          <w:rFonts w:eastAsia="仿宋_GB2312" w:hint="eastAsia"/>
          <w:sz w:val="32"/>
          <w:szCs w:val="32"/>
        </w:rPr>
        <w:t>×</w:t>
      </w:r>
      <w:r>
        <w:rPr>
          <w:rFonts w:eastAsia="仿宋_GB2312"/>
          <w:sz w:val="32"/>
          <w:szCs w:val="32"/>
        </w:rPr>
        <w:t>2</w:t>
      </w:r>
      <w:r>
        <w:rPr>
          <w:rFonts w:eastAsia="仿宋_GB2312" w:hint="eastAsia"/>
          <w:sz w:val="32"/>
          <w:szCs w:val="32"/>
        </w:rPr>
        <w:t>表的形式总结两种试剂</w:t>
      </w:r>
      <w:r>
        <w:rPr>
          <w:rFonts w:eastAsia="仿宋_GB2312"/>
          <w:sz w:val="32"/>
          <w:szCs w:val="32"/>
        </w:rPr>
        <w:t>/</w:t>
      </w:r>
      <w:r>
        <w:rPr>
          <w:rFonts w:eastAsia="仿宋_GB2312" w:hint="eastAsia"/>
          <w:sz w:val="32"/>
          <w:szCs w:val="32"/>
        </w:rPr>
        <w:t>方法的定性检测结果，评价指标包括阳性符合率、阴性符合率、总符合率及其</w:t>
      </w:r>
      <w:r>
        <w:rPr>
          <w:rFonts w:eastAsia="仿宋_GB2312"/>
          <w:sz w:val="32"/>
          <w:szCs w:val="32"/>
        </w:rPr>
        <w:t>95%</w:t>
      </w:r>
      <w:r>
        <w:rPr>
          <w:rFonts w:eastAsia="仿宋_GB2312" w:hint="eastAsia"/>
          <w:sz w:val="32"/>
          <w:szCs w:val="32"/>
        </w:rPr>
        <w:t>置信区间。</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对于检测结果不一致的样本，建议采用合理方法进行复核确认，并对差异原因进行分析，从而对申报产品的性能进行客观科学的评价。</w:t>
      </w:r>
      <w:r>
        <w:rPr>
          <w:rFonts w:ascii="仿宋_GB2312" w:eastAsia="仿宋_GB2312" w:hAnsi="仿宋_GB2312" w:hint="eastAsia"/>
          <w:color w:val="auto"/>
          <w:sz w:val="32"/>
          <w:szCs w:val="32"/>
        </w:rPr>
        <w:t>假阴性可能会导致用药引起的严重不良反应，应分析确认是否满足临床需求。</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伦理学要求</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临床试验应当遵守《世界医学大会赫尔辛基宣言》的伦理学准则，必须获得伦理委员会的同意。研究者应充分考虑临床试验用样本的获得和试验结果对受试者的风险性，应提交伦理委员会的审查意见。</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临床试验方案</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各临床试验机构应执行同一方案，且保证在整个临床试验过程中遵循预定的方案，不可随意改动。整个试验过程应在临床试验机构的实验室内并由本实验室的技术人员操作完成，申报单位的技术人员除进行必要的技术指导外，不得随意干涉试验进程。</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试验方案应确定严格的入选</w:t>
      </w:r>
      <w:r>
        <w:rPr>
          <w:rFonts w:eastAsia="仿宋_GB2312"/>
          <w:sz w:val="32"/>
          <w:szCs w:val="32"/>
        </w:rPr>
        <w:t>/</w:t>
      </w:r>
      <w:r>
        <w:rPr>
          <w:rFonts w:eastAsia="仿宋_GB2312" w:hint="eastAsia"/>
          <w:sz w:val="32"/>
          <w:szCs w:val="32"/>
        </w:rPr>
        <w:t>排除标准，任何已入选的样本被排除出临床试验都应记录在案并明确说明原因。应</w:t>
      </w:r>
      <w:proofErr w:type="gramStart"/>
      <w:r>
        <w:rPr>
          <w:rFonts w:eastAsia="仿宋_GB2312" w:hint="eastAsia"/>
          <w:sz w:val="32"/>
          <w:szCs w:val="32"/>
        </w:rPr>
        <w:t>采用盲法并</w:t>
      </w:r>
      <w:proofErr w:type="gramEnd"/>
      <w:r>
        <w:rPr>
          <w:rFonts w:eastAsia="仿宋_GB2312" w:hint="eastAsia"/>
          <w:sz w:val="32"/>
          <w:szCs w:val="32"/>
        </w:rPr>
        <w:t>在整个临床试验过程中维持</w:t>
      </w:r>
      <w:proofErr w:type="gramStart"/>
      <w:r>
        <w:rPr>
          <w:rFonts w:eastAsia="仿宋_GB2312" w:hint="eastAsia"/>
          <w:sz w:val="32"/>
          <w:szCs w:val="32"/>
        </w:rPr>
        <w:t>盲态以</w:t>
      </w:r>
      <w:proofErr w:type="gramEnd"/>
      <w:r>
        <w:rPr>
          <w:rFonts w:eastAsia="仿宋_GB2312" w:hint="eastAsia"/>
          <w:sz w:val="32"/>
          <w:szCs w:val="32"/>
        </w:rPr>
        <w:t>保证试验结</w:t>
      </w:r>
      <w:r>
        <w:rPr>
          <w:rFonts w:eastAsia="仿宋_GB2312" w:hint="eastAsia"/>
          <w:sz w:val="32"/>
          <w:szCs w:val="32"/>
        </w:rPr>
        <w:lastRenderedPageBreak/>
        <w:t>果的客观性。各临床试验机构选用的对比试剂应保持一致，以便进行合理的统计学分析。</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临床试验小结和报告撰写</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临床试验小结和报告应对试验的整体设计及各个关键点给予清晰、完整的阐述，应对整个临床试验实施过程、结果分析、结论等进行条理分明的描述，并应包括必要的基础数据和统计分析方法，最后得出临床试验结论。临床试验小结和报告的撰写参考《体外诊断试剂临床试验技术指导原则》等的相关要求。</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（五）产品说明书</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产品说明书格式应符合《体外诊断试剂说明书编写指导原则》的要求。产品说明书的技术内容应与注册申报资料中的相关研究结果保持一致，如某些内容引用自参考文献，应以规范格式对此内容进行标注，并单独注明文献的相关信息。</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以下内容仅对</w:t>
      </w:r>
      <w:r>
        <w:rPr>
          <w:rFonts w:eastAsia="仿宋_GB2312" w:hint="eastAsia"/>
          <w:sz w:val="32"/>
          <w:szCs w:val="32"/>
        </w:rPr>
        <w:t>HLA-B</w:t>
      </w:r>
      <w:r>
        <w:rPr>
          <w:rFonts w:eastAsia="仿宋_GB2312"/>
          <w:sz w:val="32"/>
          <w:szCs w:val="32"/>
        </w:rPr>
        <w:t>*</w:t>
      </w:r>
      <w:r>
        <w:rPr>
          <w:rFonts w:eastAsia="仿宋_GB2312" w:hint="eastAsia"/>
          <w:sz w:val="32"/>
          <w:szCs w:val="32"/>
        </w:rPr>
        <w:t>58:01</w:t>
      </w:r>
      <w:r>
        <w:rPr>
          <w:rFonts w:eastAsia="仿宋_GB2312" w:hint="eastAsia"/>
          <w:sz w:val="32"/>
          <w:szCs w:val="32"/>
        </w:rPr>
        <w:t>基因检测试剂说明书的重点内容进行详细说明，说明书其他内容应根据《</w:t>
      </w:r>
      <w:r>
        <w:rPr>
          <w:rFonts w:eastAsia="仿宋_GB2312"/>
          <w:sz w:val="32"/>
          <w:szCs w:val="32"/>
        </w:rPr>
        <w:t>体外诊断试剂说明书编写指导原则</w:t>
      </w:r>
      <w:r>
        <w:rPr>
          <w:rFonts w:eastAsia="仿宋_GB2312" w:hint="eastAsia"/>
          <w:sz w:val="32"/>
          <w:szCs w:val="32"/>
        </w:rPr>
        <w:t>》要求进行编写。</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【预期用途】</w:t>
      </w:r>
      <w:r>
        <w:rPr>
          <w:rFonts w:eastAsia="仿宋_GB2312"/>
          <w:sz w:val="32"/>
          <w:szCs w:val="32"/>
        </w:rPr>
        <w:t xml:space="preserve"> </w:t>
      </w:r>
      <w:r>
        <w:rPr>
          <w:rFonts w:eastAsia="仿宋_GB2312" w:hint="eastAsia"/>
          <w:sz w:val="32"/>
          <w:szCs w:val="32"/>
        </w:rPr>
        <w:t>应至少包括以下几部分内容：</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）本产品用于体外定性检测人体静脉全血样本中的</w:t>
      </w:r>
      <w:r>
        <w:rPr>
          <w:rFonts w:eastAsia="仿宋_GB2312"/>
          <w:sz w:val="32"/>
          <w:szCs w:val="32"/>
        </w:rPr>
        <w:t>HLA-B*58:01</w:t>
      </w:r>
      <w:r>
        <w:rPr>
          <w:rFonts w:eastAsia="仿宋_GB2312" w:hint="eastAsia"/>
          <w:sz w:val="32"/>
          <w:szCs w:val="32"/>
        </w:rPr>
        <w:t>基因。不能区分纯合型和杂合型。</w:t>
      </w:r>
    </w:p>
    <w:p w:rsidR="00554798" w:rsidRDefault="004A1007" w:rsidP="00E12BF0">
      <w:pPr>
        <w:widowControl/>
        <w:spacing w:line="520" w:lineRule="exact"/>
        <w:ind w:firstLineChars="200" w:firstLine="640"/>
        <w:jc w:val="left"/>
        <w:rPr>
          <w:rFonts w:eastAsia="仿宋_GB2312"/>
          <w:sz w:val="32"/>
          <w:szCs w:val="32"/>
          <w:lang w:bidi="ar"/>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hint="eastAsia"/>
          <w:sz w:val="32"/>
          <w:szCs w:val="32"/>
          <w:lang w:bidi="ar"/>
        </w:rPr>
        <w:t>本产品用于计划服用</w:t>
      </w:r>
      <w:r>
        <w:rPr>
          <w:rFonts w:eastAsia="仿宋_GB2312" w:hint="eastAsia"/>
          <w:sz w:val="32"/>
          <w:szCs w:val="32"/>
        </w:rPr>
        <w:t>别嘌呤醇</w:t>
      </w:r>
      <w:r>
        <w:rPr>
          <w:rFonts w:eastAsia="仿宋_GB2312" w:hint="eastAsia"/>
          <w:sz w:val="32"/>
          <w:szCs w:val="32"/>
          <w:lang w:bidi="ar"/>
        </w:rPr>
        <w:t>治疗</w:t>
      </w:r>
      <w:r>
        <w:rPr>
          <w:rFonts w:eastAsia="仿宋_GB2312" w:hint="eastAsia"/>
          <w:sz w:val="32"/>
          <w:szCs w:val="32"/>
        </w:rPr>
        <w:t>痛风、高尿酸血症</w:t>
      </w:r>
      <w:r>
        <w:rPr>
          <w:rFonts w:eastAsia="仿宋_GB2312" w:hint="eastAsia"/>
          <w:sz w:val="32"/>
          <w:szCs w:val="32"/>
          <w:lang w:bidi="ar"/>
        </w:rPr>
        <w:t>等疾病患者的用药指导，</w:t>
      </w:r>
      <w:r>
        <w:rPr>
          <w:rFonts w:eastAsia="仿宋_GB2312"/>
          <w:sz w:val="32"/>
          <w:szCs w:val="32"/>
          <w:lang w:bidi="ar"/>
        </w:rPr>
        <w:t xml:space="preserve"> </w:t>
      </w:r>
      <w:r>
        <w:rPr>
          <w:rFonts w:eastAsia="仿宋_GB2312" w:hint="eastAsia"/>
          <w:sz w:val="32"/>
          <w:szCs w:val="32"/>
          <w:lang w:bidi="ar"/>
        </w:rPr>
        <w:t>以避免</w:t>
      </w:r>
      <w:r>
        <w:rPr>
          <w:rFonts w:eastAsia="仿宋_GB2312" w:hint="eastAsia"/>
          <w:sz w:val="32"/>
          <w:szCs w:val="32"/>
        </w:rPr>
        <w:t>严重皮肤不良反应</w:t>
      </w:r>
      <w:r>
        <w:rPr>
          <w:rFonts w:eastAsia="仿宋_GB2312" w:hint="eastAsia"/>
          <w:sz w:val="32"/>
          <w:szCs w:val="32"/>
          <w:lang w:bidi="ar"/>
        </w:rPr>
        <w:t>。</w:t>
      </w:r>
    </w:p>
    <w:p w:rsidR="00554798" w:rsidRDefault="004A1007" w:rsidP="00E12BF0">
      <w:pPr>
        <w:widowControl/>
        <w:spacing w:line="520" w:lineRule="exact"/>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）介绍被测基因与临床适应证的关系，明确</w:t>
      </w:r>
      <w:r>
        <w:rPr>
          <w:rFonts w:eastAsia="仿宋_GB2312"/>
          <w:sz w:val="32"/>
          <w:szCs w:val="32"/>
        </w:rPr>
        <w:t>HLA-B*58:01</w:t>
      </w:r>
      <w:r>
        <w:rPr>
          <w:rFonts w:eastAsia="仿宋_GB2312" w:hint="eastAsia"/>
          <w:sz w:val="32"/>
          <w:szCs w:val="32"/>
        </w:rPr>
        <w:t>在中国人群中的分布频率，在临床适应证人群中的发生频率。</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lastRenderedPageBreak/>
        <w:t>（</w:t>
      </w:r>
      <w:r>
        <w:rPr>
          <w:rFonts w:eastAsia="仿宋_GB2312" w:hint="eastAsia"/>
          <w:sz w:val="32"/>
          <w:szCs w:val="32"/>
        </w:rPr>
        <w:t>4</w:t>
      </w:r>
      <w:r>
        <w:rPr>
          <w:rFonts w:eastAsia="仿宋_GB2312" w:hint="eastAsia"/>
          <w:sz w:val="32"/>
          <w:szCs w:val="32"/>
        </w:rPr>
        <w:t>）明确本产品检测结果仅供临床参考，临床医生应结合患者病情、疗效及其他实验室检测指标等对本产品的检测结果进行综合判断。</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【产品性能指标】</w:t>
      </w:r>
    </w:p>
    <w:p w:rsidR="00554798" w:rsidRDefault="004A1007" w:rsidP="00E12BF0">
      <w:pPr>
        <w:spacing w:line="520" w:lineRule="exact"/>
        <w:ind w:firstLineChars="200" w:firstLine="640"/>
        <w:rPr>
          <w:rFonts w:eastAsia="仿宋_GB2312"/>
          <w:sz w:val="32"/>
          <w:szCs w:val="32"/>
        </w:rPr>
      </w:pPr>
      <w:proofErr w:type="gramStart"/>
      <w:r>
        <w:rPr>
          <w:rFonts w:eastAsia="仿宋_GB2312" w:hint="eastAsia"/>
          <w:sz w:val="32"/>
          <w:szCs w:val="32"/>
        </w:rPr>
        <w:t>明确会</w:t>
      </w:r>
      <w:proofErr w:type="gramEnd"/>
      <w:r>
        <w:rPr>
          <w:rFonts w:eastAsia="仿宋_GB2312" w:hint="eastAsia"/>
          <w:sz w:val="32"/>
          <w:szCs w:val="32"/>
        </w:rPr>
        <w:t>产生交叉反应的等位基因。</w:t>
      </w:r>
    </w:p>
    <w:p w:rsidR="00554798" w:rsidRDefault="004A1007" w:rsidP="00E12BF0">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hint="eastAsia"/>
          <w:sz w:val="32"/>
          <w:szCs w:val="32"/>
        </w:rPr>
        <w:t>【检验方法的局限性】</w:t>
      </w:r>
    </w:p>
    <w:p w:rsidR="00554798" w:rsidRDefault="004A1007" w:rsidP="00E12BF0">
      <w:pPr>
        <w:spacing w:line="520" w:lineRule="exact"/>
        <w:ind w:firstLineChars="200" w:firstLine="420"/>
        <w:rPr>
          <w:rFonts w:eastAsia="仿宋_GB2312"/>
          <w:sz w:val="32"/>
          <w:szCs w:val="32"/>
        </w:rPr>
      </w:pPr>
      <w:r>
        <w:rPr>
          <w:rFonts w:hint="eastAsia"/>
        </w:rPr>
        <w:t xml:space="preserve">    </w:t>
      </w:r>
      <w:r>
        <w:rPr>
          <w:rFonts w:eastAsia="仿宋_GB2312" w:hint="eastAsia"/>
          <w:sz w:val="32"/>
          <w:szCs w:val="32"/>
        </w:rPr>
        <w:t>依据产品特性进行书写，建议包含以下内容：</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）造成假阳性的情形，如申报产品可检出部分非常见等位基因（包括确认等位基因和罕见等位基因）及明确具体的等位基因名称。</w:t>
      </w:r>
    </w:p>
    <w:p w:rsidR="00554798" w:rsidRDefault="004A1007" w:rsidP="00E12BF0">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）当样本浓度未在申报产品可接受</w:t>
      </w:r>
      <w:r>
        <w:rPr>
          <w:rFonts w:eastAsia="仿宋_GB2312" w:hint="eastAsia"/>
          <w:sz w:val="32"/>
          <w:szCs w:val="32"/>
        </w:rPr>
        <w:t>DNA</w:t>
      </w:r>
      <w:r>
        <w:rPr>
          <w:rFonts w:eastAsia="仿宋_GB2312" w:hint="eastAsia"/>
          <w:sz w:val="32"/>
          <w:szCs w:val="32"/>
        </w:rPr>
        <w:t>浓度范围内时，检测结果不准确。</w:t>
      </w:r>
    </w:p>
    <w:p w:rsidR="00E05C9D" w:rsidRPr="00D463EC" w:rsidRDefault="00E05C9D" w:rsidP="00E12BF0">
      <w:pPr>
        <w:spacing w:line="520" w:lineRule="exact"/>
        <w:ind w:firstLineChars="200" w:firstLine="640"/>
        <w:rPr>
          <w:rFonts w:eastAsia="黑体"/>
          <w:sz w:val="32"/>
          <w:szCs w:val="32"/>
        </w:rPr>
      </w:pPr>
      <w:r w:rsidRPr="00D463EC">
        <w:rPr>
          <w:rFonts w:eastAsia="黑体"/>
          <w:sz w:val="32"/>
          <w:szCs w:val="32"/>
        </w:rPr>
        <w:t>三、参考文献</w:t>
      </w:r>
    </w:p>
    <w:p w:rsidR="00E05C9D" w:rsidRPr="00D463EC" w:rsidRDefault="00E05C9D" w:rsidP="00E12BF0">
      <w:pPr>
        <w:spacing w:line="520" w:lineRule="exact"/>
        <w:ind w:firstLineChars="200" w:firstLine="640"/>
        <w:rPr>
          <w:rFonts w:eastAsia="仿宋_GB2312"/>
          <w:sz w:val="32"/>
          <w:szCs w:val="32"/>
        </w:rPr>
      </w:pPr>
      <w:r w:rsidRPr="00D463EC">
        <w:rPr>
          <w:rFonts w:eastAsia="仿宋_GB2312"/>
          <w:sz w:val="32"/>
          <w:szCs w:val="32"/>
        </w:rPr>
        <w:t>[1]</w:t>
      </w:r>
      <w:r w:rsidRPr="00D463EC">
        <w:rPr>
          <w:rFonts w:eastAsia="仿宋_GB2312"/>
          <w:sz w:val="32"/>
          <w:szCs w:val="32"/>
        </w:rPr>
        <w:t>国家市场监督管理总局</w:t>
      </w:r>
      <w:r w:rsidRPr="00D463EC">
        <w:rPr>
          <w:rFonts w:eastAsia="仿宋_GB2312"/>
          <w:sz w:val="32"/>
          <w:szCs w:val="32"/>
        </w:rPr>
        <w:t>.</w:t>
      </w:r>
      <w:r w:rsidRPr="00D463EC">
        <w:rPr>
          <w:rFonts w:eastAsia="仿宋_GB2312"/>
          <w:sz w:val="32"/>
          <w:szCs w:val="32"/>
        </w:rPr>
        <w:t>体外诊断试剂注册与备案管理办法</w:t>
      </w:r>
      <w:r w:rsidRPr="00D463EC">
        <w:rPr>
          <w:rFonts w:eastAsia="仿宋_GB2312"/>
          <w:sz w:val="32"/>
          <w:szCs w:val="32"/>
        </w:rPr>
        <w:t xml:space="preserve">: </w:t>
      </w:r>
      <w:r w:rsidRPr="00D463EC">
        <w:rPr>
          <w:rFonts w:eastAsia="仿宋_GB2312"/>
          <w:sz w:val="32"/>
          <w:szCs w:val="32"/>
        </w:rPr>
        <w:t>国家市场监督管理总局令第</w:t>
      </w:r>
      <w:r w:rsidRPr="00D463EC">
        <w:rPr>
          <w:rFonts w:eastAsia="仿宋_GB2312"/>
          <w:sz w:val="32"/>
          <w:szCs w:val="32"/>
        </w:rPr>
        <w:t>48</w:t>
      </w:r>
      <w:r w:rsidRPr="00D463EC">
        <w:rPr>
          <w:rFonts w:eastAsia="仿宋_GB2312"/>
          <w:sz w:val="32"/>
          <w:szCs w:val="32"/>
        </w:rPr>
        <w:t>号</w:t>
      </w:r>
      <w:r w:rsidRPr="00D463EC">
        <w:rPr>
          <w:rFonts w:eastAsia="仿宋_GB2312"/>
          <w:sz w:val="32"/>
          <w:szCs w:val="32"/>
        </w:rPr>
        <w:t xml:space="preserve">[Z]. </w:t>
      </w:r>
    </w:p>
    <w:p w:rsidR="00E05C9D" w:rsidRPr="00D463EC" w:rsidRDefault="00E05C9D" w:rsidP="00E12BF0">
      <w:pPr>
        <w:spacing w:line="520" w:lineRule="exact"/>
        <w:ind w:firstLineChars="200" w:firstLine="640"/>
        <w:rPr>
          <w:rFonts w:eastAsia="仿宋_GB2312"/>
          <w:sz w:val="32"/>
          <w:szCs w:val="32"/>
        </w:rPr>
      </w:pPr>
      <w:r w:rsidRPr="00D463EC">
        <w:rPr>
          <w:rFonts w:eastAsia="仿宋_GB2312"/>
          <w:sz w:val="32"/>
          <w:szCs w:val="32"/>
        </w:rPr>
        <w:t>[2]</w:t>
      </w:r>
      <w:r w:rsidRPr="00D463EC">
        <w:rPr>
          <w:rFonts w:eastAsia="仿宋_GB2312"/>
          <w:sz w:val="32"/>
          <w:szCs w:val="32"/>
        </w:rPr>
        <w:t>国家药品监督管理局</w:t>
      </w:r>
      <w:r w:rsidRPr="00D463EC">
        <w:rPr>
          <w:rFonts w:eastAsia="仿宋_GB2312"/>
          <w:sz w:val="32"/>
          <w:szCs w:val="32"/>
        </w:rPr>
        <w:t>.</w:t>
      </w:r>
      <w:r w:rsidRPr="00D463EC">
        <w:rPr>
          <w:rFonts w:eastAsia="仿宋_GB2312"/>
          <w:sz w:val="32"/>
          <w:szCs w:val="32"/>
        </w:rPr>
        <w:t>关于公布体外诊断试剂注册申报资料要求和批准证明文件格式的公告</w:t>
      </w:r>
      <w:r w:rsidRPr="00D463EC">
        <w:rPr>
          <w:rFonts w:eastAsia="仿宋_GB2312"/>
          <w:sz w:val="32"/>
          <w:szCs w:val="32"/>
        </w:rPr>
        <w:t>:</w:t>
      </w:r>
      <w:r w:rsidRPr="00D463EC">
        <w:rPr>
          <w:rFonts w:eastAsia="仿宋_GB2312"/>
          <w:sz w:val="32"/>
          <w:szCs w:val="32"/>
        </w:rPr>
        <w:t>国家药品监督管理局</w:t>
      </w:r>
      <w:r w:rsidRPr="00D463EC">
        <w:rPr>
          <w:rFonts w:eastAsia="仿宋_GB2312"/>
          <w:sz w:val="32"/>
          <w:szCs w:val="32"/>
        </w:rPr>
        <w:t>2021</w:t>
      </w:r>
      <w:r w:rsidRPr="00D463EC">
        <w:rPr>
          <w:rFonts w:eastAsia="仿宋_GB2312"/>
          <w:sz w:val="32"/>
          <w:szCs w:val="32"/>
        </w:rPr>
        <w:t>年第</w:t>
      </w:r>
      <w:r w:rsidRPr="00D463EC">
        <w:rPr>
          <w:rFonts w:eastAsia="仿宋_GB2312"/>
          <w:sz w:val="32"/>
          <w:szCs w:val="32"/>
        </w:rPr>
        <w:t>122</w:t>
      </w:r>
      <w:r w:rsidRPr="00D463EC">
        <w:rPr>
          <w:rFonts w:eastAsia="仿宋_GB2312"/>
          <w:sz w:val="32"/>
          <w:szCs w:val="32"/>
        </w:rPr>
        <w:t>号</w:t>
      </w:r>
      <w:r w:rsidRPr="00D463EC">
        <w:rPr>
          <w:rFonts w:eastAsia="仿宋_GB2312"/>
          <w:sz w:val="32"/>
          <w:szCs w:val="32"/>
        </w:rPr>
        <w:t>[Z].</w:t>
      </w:r>
    </w:p>
    <w:p w:rsidR="00E05C9D" w:rsidRPr="00D463EC" w:rsidRDefault="00E05C9D" w:rsidP="00E12BF0">
      <w:pPr>
        <w:spacing w:line="520" w:lineRule="exact"/>
        <w:ind w:firstLineChars="200" w:firstLine="640"/>
        <w:rPr>
          <w:rFonts w:eastAsia="仿宋_GB2312"/>
          <w:sz w:val="32"/>
          <w:szCs w:val="32"/>
        </w:rPr>
      </w:pPr>
      <w:r w:rsidRPr="00D463EC">
        <w:rPr>
          <w:rFonts w:eastAsia="仿宋_GB2312"/>
          <w:sz w:val="32"/>
          <w:szCs w:val="32"/>
        </w:rPr>
        <w:t>[3]</w:t>
      </w:r>
      <w:r w:rsidRPr="00D463EC">
        <w:rPr>
          <w:rFonts w:eastAsia="仿宋_GB2312"/>
          <w:sz w:val="32"/>
          <w:szCs w:val="32"/>
        </w:rPr>
        <w:t>国家药品监督管理局</w:t>
      </w:r>
      <w:r w:rsidRPr="00D463EC">
        <w:rPr>
          <w:rFonts w:eastAsia="仿宋_GB2312"/>
          <w:sz w:val="32"/>
          <w:szCs w:val="32"/>
        </w:rPr>
        <w:t>.</w:t>
      </w:r>
      <w:r w:rsidRPr="00D463EC">
        <w:rPr>
          <w:rFonts w:eastAsia="仿宋_GB2312"/>
          <w:sz w:val="32"/>
          <w:szCs w:val="32"/>
        </w:rPr>
        <w:t>体外诊断试剂说明书编写指导原则</w:t>
      </w:r>
      <w:r w:rsidRPr="00D463EC">
        <w:rPr>
          <w:rFonts w:eastAsia="仿宋_GB2312"/>
          <w:sz w:val="32"/>
          <w:szCs w:val="32"/>
        </w:rPr>
        <w:t>.</w:t>
      </w:r>
      <w:r w:rsidRPr="00D463EC">
        <w:rPr>
          <w:rFonts w:eastAsia="仿宋_GB2312"/>
          <w:sz w:val="32"/>
          <w:szCs w:val="32"/>
        </w:rPr>
        <w:t>国家药品监督管理局</w:t>
      </w:r>
      <w:r w:rsidRPr="00D463EC">
        <w:rPr>
          <w:rFonts w:eastAsia="仿宋_GB2312"/>
          <w:sz w:val="32"/>
          <w:szCs w:val="32"/>
        </w:rPr>
        <w:t>2024</w:t>
      </w:r>
      <w:r w:rsidRPr="00D463EC">
        <w:rPr>
          <w:rFonts w:eastAsia="仿宋_GB2312"/>
          <w:sz w:val="32"/>
          <w:szCs w:val="32"/>
        </w:rPr>
        <w:t>年第</w:t>
      </w:r>
      <w:r w:rsidRPr="00D463EC">
        <w:rPr>
          <w:rFonts w:eastAsia="仿宋_GB2312"/>
          <w:sz w:val="32"/>
          <w:szCs w:val="32"/>
        </w:rPr>
        <w:t>1</w:t>
      </w:r>
      <w:r w:rsidRPr="00D463EC">
        <w:rPr>
          <w:rFonts w:eastAsia="仿宋_GB2312"/>
          <w:sz w:val="32"/>
          <w:szCs w:val="32"/>
        </w:rPr>
        <w:t>号</w:t>
      </w:r>
      <w:r w:rsidRPr="00D463EC">
        <w:rPr>
          <w:rFonts w:eastAsia="仿宋_GB2312"/>
          <w:sz w:val="32"/>
          <w:szCs w:val="32"/>
        </w:rPr>
        <w:t>[Z]</w:t>
      </w:r>
    </w:p>
    <w:p w:rsidR="00E05C9D" w:rsidRPr="00D463EC" w:rsidRDefault="00E05C9D" w:rsidP="00E12BF0">
      <w:pPr>
        <w:spacing w:line="520" w:lineRule="exact"/>
        <w:ind w:firstLineChars="200" w:firstLine="640"/>
        <w:rPr>
          <w:rFonts w:eastAsia="仿宋_GB2312"/>
          <w:sz w:val="32"/>
          <w:szCs w:val="32"/>
        </w:rPr>
      </w:pPr>
      <w:r w:rsidRPr="00D463EC">
        <w:rPr>
          <w:rFonts w:eastAsia="仿宋_GB2312"/>
          <w:sz w:val="32"/>
          <w:szCs w:val="32"/>
        </w:rPr>
        <w:t>[4]</w:t>
      </w:r>
      <w:r w:rsidRPr="00D463EC">
        <w:rPr>
          <w:rFonts w:eastAsia="仿宋_GB2312"/>
          <w:sz w:val="32"/>
          <w:szCs w:val="32"/>
        </w:rPr>
        <w:t>国家药品监督管理局</w:t>
      </w:r>
      <w:r w:rsidRPr="00D463EC">
        <w:rPr>
          <w:rFonts w:eastAsia="仿宋_GB2312"/>
          <w:sz w:val="32"/>
          <w:szCs w:val="32"/>
        </w:rPr>
        <w:t>.</w:t>
      </w:r>
      <w:r w:rsidRPr="00D463EC">
        <w:rPr>
          <w:rFonts w:eastAsia="仿宋_GB2312"/>
          <w:sz w:val="32"/>
          <w:szCs w:val="32"/>
        </w:rPr>
        <w:t>医疗器械产品技术要求编写指导原则</w:t>
      </w:r>
      <w:r w:rsidRPr="00D463EC">
        <w:rPr>
          <w:rFonts w:eastAsia="仿宋_GB2312"/>
          <w:sz w:val="32"/>
          <w:szCs w:val="32"/>
        </w:rPr>
        <w:t>.</w:t>
      </w:r>
      <w:r w:rsidRPr="00D463EC">
        <w:rPr>
          <w:rFonts w:eastAsia="仿宋_GB2312"/>
          <w:sz w:val="32"/>
          <w:szCs w:val="32"/>
        </w:rPr>
        <w:t>国家药品监督管理局</w:t>
      </w:r>
      <w:r w:rsidRPr="00D463EC">
        <w:rPr>
          <w:rFonts w:eastAsia="仿宋_GB2312"/>
          <w:sz w:val="32"/>
          <w:szCs w:val="32"/>
        </w:rPr>
        <w:t>2022</w:t>
      </w:r>
      <w:r w:rsidRPr="00D463EC">
        <w:rPr>
          <w:rFonts w:eastAsia="仿宋_GB2312"/>
          <w:sz w:val="32"/>
          <w:szCs w:val="32"/>
        </w:rPr>
        <w:t>年第</w:t>
      </w:r>
      <w:r w:rsidRPr="00D463EC">
        <w:rPr>
          <w:rFonts w:eastAsia="仿宋_GB2312"/>
          <w:sz w:val="32"/>
          <w:szCs w:val="32"/>
        </w:rPr>
        <w:t>8</w:t>
      </w:r>
      <w:r w:rsidRPr="00D463EC">
        <w:rPr>
          <w:rFonts w:eastAsia="仿宋_GB2312"/>
          <w:sz w:val="32"/>
          <w:szCs w:val="32"/>
        </w:rPr>
        <w:t>号</w:t>
      </w:r>
      <w:r w:rsidRPr="00D463EC">
        <w:rPr>
          <w:rFonts w:eastAsia="仿宋_GB2312"/>
          <w:sz w:val="32"/>
          <w:szCs w:val="32"/>
        </w:rPr>
        <w:t>[Z].</w:t>
      </w:r>
    </w:p>
    <w:p w:rsidR="00E05C9D" w:rsidRPr="00D463EC" w:rsidRDefault="00E05C9D" w:rsidP="00E12BF0">
      <w:pPr>
        <w:spacing w:line="520" w:lineRule="exact"/>
        <w:ind w:firstLineChars="200" w:firstLine="640"/>
        <w:rPr>
          <w:rFonts w:eastAsia="仿宋_GB2312"/>
          <w:sz w:val="32"/>
          <w:szCs w:val="32"/>
        </w:rPr>
      </w:pPr>
      <w:r w:rsidRPr="00D463EC">
        <w:rPr>
          <w:rFonts w:eastAsia="仿宋_GB2312"/>
          <w:sz w:val="32"/>
          <w:szCs w:val="32"/>
        </w:rPr>
        <w:t>[5]</w:t>
      </w:r>
      <w:r w:rsidRPr="00D463EC">
        <w:rPr>
          <w:rFonts w:eastAsia="仿宋_GB2312"/>
          <w:sz w:val="32"/>
          <w:szCs w:val="32"/>
        </w:rPr>
        <w:t>国家药品监督管理局</w:t>
      </w:r>
      <w:r w:rsidRPr="00D463EC">
        <w:rPr>
          <w:rFonts w:eastAsia="仿宋_GB2312"/>
          <w:sz w:val="32"/>
          <w:szCs w:val="32"/>
        </w:rPr>
        <w:t>.</w:t>
      </w:r>
      <w:r w:rsidRPr="00D463EC">
        <w:rPr>
          <w:rFonts w:eastAsia="仿宋_GB2312"/>
          <w:sz w:val="32"/>
          <w:szCs w:val="32"/>
        </w:rPr>
        <w:t>体外诊断试剂分类规则</w:t>
      </w:r>
      <w:r w:rsidRPr="00D463EC">
        <w:rPr>
          <w:rFonts w:eastAsia="仿宋_GB2312"/>
          <w:sz w:val="32"/>
          <w:szCs w:val="32"/>
        </w:rPr>
        <w:t>.</w:t>
      </w:r>
      <w:r w:rsidRPr="00D463EC">
        <w:rPr>
          <w:rFonts w:eastAsia="仿宋_GB2312"/>
          <w:sz w:val="32"/>
          <w:szCs w:val="32"/>
        </w:rPr>
        <w:t>国家药品监督管理局</w:t>
      </w:r>
      <w:r w:rsidRPr="00D463EC">
        <w:rPr>
          <w:rFonts w:eastAsia="仿宋_GB2312"/>
          <w:sz w:val="32"/>
          <w:szCs w:val="32"/>
        </w:rPr>
        <w:t>2021</w:t>
      </w:r>
      <w:r w:rsidRPr="00D463EC">
        <w:rPr>
          <w:rFonts w:eastAsia="仿宋_GB2312"/>
          <w:sz w:val="32"/>
          <w:szCs w:val="32"/>
        </w:rPr>
        <w:t>年第</w:t>
      </w:r>
      <w:r w:rsidRPr="00D463EC">
        <w:rPr>
          <w:rFonts w:eastAsia="仿宋_GB2312"/>
          <w:sz w:val="32"/>
          <w:szCs w:val="32"/>
        </w:rPr>
        <w:t>129</w:t>
      </w:r>
      <w:r w:rsidRPr="00D463EC">
        <w:rPr>
          <w:rFonts w:eastAsia="仿宋_GB2312"/>
          <w:sz w:val="32"/>
          <w:szCs w:val="32"/>
        </w:rPr>
        <w:t>号</w:t>
      </w:r>
      <w:r w:rsidRPr="00D463EC">
        <w:rPr>
          <w:rFonts w:eastAsia="仿宋_GB2312"/>
          <w:sz w:val="32"/>
          <w:szCs w:val="32"/>
        </w:rPr>
        <w:t>[Z].</w:t>
      </w:r>
    </w:p>
    <w:p w:rsidR="00E05C9D" w:rsidRPr="00D463EC" w:rsidRDefault="00E05C9D" w:rsidP="00E12BF0">
      <w:pPr>
        <w:spacing w:line="520" w:lineRule="exact"/>
        <w:ind w:firstLineChars="200" w:firstLine="640"/>
        <w:rPr>
          <w:rFonts w:eastAsia="仿宋_GB2312"/>
          <w:sz w:val="32"/>
          <w:szCs w:val="32"/>
        </w:rPr>
      </w:pPr>
      <w:r w:rsidRPr="00D463EC">
        <w:rPr>
          <w:rFonts w:eastAsia="仿宋_GB2312"/>
          <w:sz w:val="32"/>
          <w:szCs w:val="32"/>
        </w:rPr>
        <w:t>[6]</w:t>
      </w:r>
      <w:r w:rsidRPr="00D463EC">
        <w:rPr>
          <w:rFonts w:eastAsia="仿宋_GB2312"/>
          <w:sz w:val="32"/>
          <w:szCs w:val="32"/>
        </w:rPr>
        <w:t>国家药品监督管理局</w:t>
      </w:r>
      <w:r w:rsidRPr="00D463EC">
        <w:rPr>
          <w:rFonts w:eastAsia="仿宋_GB2312"/>
          <w:sz w:val="32"/>
          <w:szCs w:val="32"/>
        </w:rPr>
        <w:t xml:space="preserve"> </w:t>
      </w:r>
      <w:r w:rsidRPr="00D463EC">
        <w:rPr>
          <w:rFonts w:eastAsia="仿宋_GB2312"/>
          <w:sz w:val="32"/>
          <w:szCs w:val="32"/>
        </w:rPr>
        <w:t>国家卫生健康委员会</w:t>
      </w:r>
      <w:r w:rsidRPr="00D463EC">
        <w:rPr>
          <w:rFonts w:eastAsia="仿宋_GB2312"/>
          <w:sz w:val="32"/>
          <w:szCs w:val="32"/>
        </w:rPr>
        <w:t>.</w:t>
      </w:r>
      <w:r w:rsidRPr="00D463EC">
        <w:rPr>
          <w:rFonts w:eastAsia="仿宋_GB2312"/>
          <w:sz w:val="32"/>
          <w:szCs w:val="32"/>
        </w:rPr>
        <w:t>医疗器械临床试验质量管理规范</w:t>
      </w:r>
      <w:r w:rsidRPr="00D463EC">
        <w:rPr>
          <w:rFonts w:eastAsia="仿宋_GB2312"/>
          <w:sz w:val="32"/>
          <w:szCs w:val="32"/>
        </w:rPr>
        <w:t>.</w:t>
      </w:r>
      <w:r w:rsidRPr="00D463EC">
        <w:rPr>
          <w:rFonts w:eastAsia="仿宋_GB2312"/>
          <w:sz w:val="32"/>
          <w:szCs w:val="32"/>
        </w:rPr>
        <w:t>国家药品监督管理局</w:t>
      </w:r>
      <w:r w:rsidRPr="00D463EC">
        <w:rPr>
          <w:rFonts w:eastAsia="仿宋_GB2312"/>
          <w:sz w:val="32"/>
          <w:szCs w:val="32"/>
        </w:rPr>
        <w:t xml:space="preserve"> </w:t>
      </w:r>
      <w:r w:rsidRPr="00D463EC">
        <w:rPr>
          <w:rFonts w:eastAsia="仿宋_GB2312"/>
          <w:sz w:val="32"/>
          <w:szCs w:val="32"/>
        </w:rPr>
        <w:t>国家卫生健康</w:t>
      </w:r>
      <w:r w:rsidRPr="00D463EC">
        <w:rPr>
          <w:rFonts w:eastAsia="仿宋_GB2312"/>
          <w:sz w:val="32"/>
          <w:szCs w:val="32"/>
        </w:rPr>
        <w:lastRenderedPageBreak/>
        <w:t>委员会</w:t>
      </w:r>
      <w:r w:rsidRPr="00D463EC">
        <w:rPr>
          <w:rFonts w:eastAsia="仿宋_GB2312"/>
          <w:sz w:val="32"/>
          <w:szCs w:val="32"/>
        </w:rPr>
        <w:t>2022</w:t>
      </w:r>
      <w:r w:rsidRPr="00D463EC">
        <w:rPr>
          <w:rFonts w:eastAsia="仿宋_GB2312"/>
          <w:sz w:val="32"/>
          <w:szCs w:val="32"/>
        </w:rPr>
        <w:t>年第</w:t>
      </w:r>
      <w:r w:rsidRPr="00D463EC">
        <w:rPr>
          <w:rFonts w:eastAsia="仿宋_GB2312"/>
          <w:sz w:val="32"/>
          <w:szCs w:val="32"/>
        </w:rPr>
        <w:t>28</w:t>
      </w:r>
      <w:r w:rsidRPr="00D463EC">
        <w:rPr>
          <w:rFonts w:eastAsia="仿宋_GB2312"/>
          <w:sz w:val="32"/>
          <w:szCs w:val="32"/>
        </w:rPr>
        <w:t>号</w:t>
      </w:r>
      <w:r w:rsidRPr="00D463EC">
        <w:rPr>
          <w:rFonts w:eastAsia="仿宋_GB2312"/>
          <w:sz w:val="32"/>
          <w:szCs w:val="32"/>
        </w:rPr>
        <w:t>[Z].</w:t>
      </w:r>
    </w:p>
    <w:p w:rsidR="00E05C9D" w:rsidRPr="00926CAE" w:rsidRDefault="00E05C9D" w:rsidP="00926CAE">
      <w:pPr>
        <w:spacing w:line="520" w:lineRule="exact"/>
        <w:ind w:firstLineChars="200" w:firstLine="640"/>
        <w:rPr>
          <w:rFonts w:eastAsia="仿宋_GB2312"/>
          <w:sz w:val="32"/>
          <w:szCs w:val="32"/>
        </w:rPr>
      </w:pPr>
      <w:r w:rsidRPr="00D463EC">
        <w:rPr>
          <w:rFonts w:eastAsia="仿宋_GB2312"/>
          <w:sz w:val="32"/>
          <w:szCs w:val="32"/>
        </w:rPr>
        <w:t>[7]</w:t>
      </w:r>
      <w:r w:rsidRPr="00D463EC">
        <w:rPr>
          <w:rFonts w:eastAsia="仿宋_GB2312"/>
          <w:sz w:val="32"/>
          <w:szCs w:val="32"/>
        </w:rPr>
        <w:t>国家药品监督管理局</w:t>
      </w:r>
      <w:r w:rsidRPr="00D463EC">
        <w:rPr>
          <w:rFonts w:eastAsia="仿宋_GB2312"/>
          <w:sz w:val="32"/>
          <w:szCs w:val="32"/>
        </w:rPr>
        <w:t>.</w:t>
      </w:r>
      <w:r w:rsidRPr="00D463EC">
        <w:rPr>
          <w:rFonts w:eastAsia="仿宋_GB2312"/>
          <w:sz w:val="32"/>
          <w:szCs w:val="32"/>
        </w:rPr>
        <w:t>体外诊断试剂临床试验技术指导原则：国家药品监督管理局</w:t>
      </w:r>
      <w:r w:rsidRPr="00D463EC">
        <w:rPr>
          <w:rFonts w:eastAsia="仿宋_GB2312"/>
          <w:sz w:val="32"/>
          <w:szCs w:val="32"/>
        </w:rPr>
        <w:t>2021</w:t>
      </w:r>
      <w:r w:rsidRPr="00D463EC">
        <w:rPr>
          <w:rFonts w:eastAsia="仿宋_GB2312"/>
          <w:sz w:val="32"/>
          <w:szCs w:val="32"/>
        </w:rPr>
        <w:t>年第</w:t>
      </w:r>
      <w:r w:rsidRPr="00D463EC">
        <w:rPr>
          <w:rFonts w:eastAsia="仿宋_GB2312"/>
          <w:sz w:val="32"/>
          <w:szCs w:val="32"/>
        </w:rPr>
        <w:t>72</w:t>
      </w:r>
      <w:r w:rsidRPr="00D463EC">
        <w:rPr>
          <w:rFonts w:eastAsia="仿宋_GB2312"/>
          <w:sz w:val="32"/>
          <w:szCs w:val="32"/>
        </w:rPr>
        <w:t>号</w:t>
      </w:r>
      <w:r w:rsidRPr="00D463EC">
        <w:rPr>
          <w:rFonts w:eastAsia="仿宋_GB2312"/>
          <w:sz w:val="32"/>
          <w:szCs w:val="32"/>
        </w:rPr>
        <w:t>[Z].</w:t>
      </w:r>
      <w:bookmarkStart w:id="42" w:name="_GoBack"/>
      <w:bookmarkEnd w:id="42"/>
    </w:p>
    <w:sectPr w:rsidR="00E05C9D" w:rsidRPr="00926CAE">
      <w:footerReference w:type="default" r:id="rId8"/>
      <w:pgSz w:w="11900" w:h="16840"/>
      <w:pgMar w:top="1440" w:right="1800" w:bottom="1440" w:left="1800" w:header="851" w:footer="992" w:gutter="0"/>
      <w:lnNumType w:countBy="1" w:restart="continuous"/>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819" w:rsidRDefault="00B74819">
      <w:r>
        <w:separator/>
      </w:r>
    </w:p>
  </w:endnote>
  <w:endnote w:type="continuationSeparator" w:id="0">
    <w:p w:rsidR="00B74819" w:rsidRDefault="00B7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ingFang SC Regular">
    <w:altName w:val="Times New Roman"/>
    <w:charset w:val="00"/>
    <w:family w:val="roman"/>
    <w:pitch w:val="default"/>
  </w:font>
  <w:font w:name="等线">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990082"/>
    </w:sdtPr>
    <w:sdtEndPr/>
    <w:sdtContent>
      <w:sdt>
        <w:sdtPr>
          <w:id w:val="-1669238322"/>
        </w:sdtPr>
        <w:sdtEndPr/>
        <w:sdtContent>
          <w:p w:rsidR="00554798" w:rsidRDefault="004A1007">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26CAE">
              <w:rPr>
                <w:b/>
                <w:bCs/>
                <w:noProof/>
              </w:rPr>
              <w:t>15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26CAE">
              <w:rPr>
                <w:b/>
                <w:bCs/>
                <w:noProof/>
              </w:rPr>
              <w:t>15</w:t>
            </w:r>
            <w:r>
              <w:rPr>
                <w:b/>
                <w:bCs/>
                <w:sz w:val="24"/>
                <w:szCs w:val="24"/>
              </w:rPr>
              <w:fldChar w:fldCharType="end"/>
            </w:r>
          </w:p>
        </w:sdtContent>
      </w:sdt>
    </w:sdtContent>
  </w:sdt>
  <w:p w:rsidR="00554798" w:rsidRDefault="0055479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819" w:rsidRDefault="00B74819">
      <w:r>
        <w:separator/>
      </w:r>
    </w:p>
  </w:footnote>
  <w:footnote w:type="continuationSeparator" w:id="0">
    <w:p w:rsidR="00B74819" w:rsidRDefault="00B74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MTJiZmIwMWUyYTUyYWZhNzFhNWFlYjQ3ZDJlOWEifQ=="/>
  </w:docVars>
  <w:rsids>
    <w:rsidRoot w:val="00A566ED"/>
    <w:rsid w:val="000000F2"/>
    <w:rsid w:val="00004109"/>
    <w:rsid w:val="0001198C"/>
    <w:rsid w:val="000131D5"/>
    <w:rsid w:val="00016ACF"/>
    <w:rsid w:val="00022C69"/>
    <w:rsid w:val="000252B9"/>
    <w:rsid w:val="000325A6"/>
    <w:rsid w:val="00033D42"/>
    <w:rsid w:val="00041130"/>
    <w:rsid w:val="00041324"/>
    <w:rsid w:val="00041902"/>
    <w:rsid w:val="00050DA6"/>
    <w:rsid w:val="00060F4E"/>
    <w:rsid w:val="000651D5"/>
    <w:rsid w:val="0007016F"/>
    <w:rsid w:val="00070E66"/>
    <w:rsid w:val="0007549A"/>
    <w:rsid w:val="00075C6F"/>
    <w:rsid w:val="00081983"/>
    <w:rsid w:val="00082A61"/>
    <w:rsid w:val="0008554E"/>
    <w:rsid w:val="00090AB9"/>
    <w:rsid w:val="00093B16"/>
    <w:rsid w:val="00094FF2"/>
    <w:rsid w:val="000A0D55"/>
    <w:rsid w:val="000A225B"/>
    <w:rsid w:val="000B124E"/>
    <w:rsid w:val="000B1C11"/>
    <w:rsid w:val="000B311F"/>
    <w:rsid w:val="000B479A"/>
    <w:rsid w:val="000C1158"/>
    <w:rsid w:val="000C2567"/>
    <w:rsid w:val="000D2E3B"/>
    <w:rsid w:val="000D4AC9"/>
    <w:rsid w:val="000D5283"/>
    <w:rsid w:val="000E07DE"/>
    <w:rsid w:val="000E21A7"/>
    <w:rsid w:val="000E3EA0"/>
    <w:rsid w:val="000E5B33"/>
    <w:rsid w:val="000F1850"/>
    <w:rsid w:val="000F307C"/>
    <w:rsid w:val="000F5C5D"/>
    <w:rsid w:val="000F5D4C"/>
    <w:rsid w:val="000F762C"/>
    <w:rsid w:val="00103DCA"/>
    <w:rsid w:val="001044DA"/>
    <w:rsid w:val="0011247A"/>
    <w:rsid w:val="00113D6F"/>
    <w:rsid w:val="001146AA"/>
    <w:rsid w:val="001251B3"/>
    <w:rsid w:val="00130AA1"/>
    <w:rsid w:val="001312C0"/>
    <w:rsid w:val="001337C5"/>
    <w:rsid w:val="00134CFC"/>
    <w:rsid w:val="00135211"/>
    <w:rsid w:val="00143F44"/>
    <w:rsid w:val="00144002"/>
    <w:rsid w:val="00144B17"/>
    <w:rsid w:val="0014520A"/>
    <w:rsid w:val="001579A8"/>
    <w:rsid w:val="00164895"/>
    <w:rsid w:val="0016518B"/>
    <w:rsid w:val="00170C94"/>
    <w:rsid w:val="00173660"/>
    <w:rsid w:val="00174C20"/>
    <w:rsid w:val="00184593"/>
    <w:rsid w:val="00191330"/>
    <w:rsid w:val="001927AC"/>
    <w:rsid w:val="00192C99"/>
    <w:rsid w:val="00194653"/>
    <w:rsid w:val="00197563"/>
    <w:rsid w:val="001B028C"/>
    <w:rsid w:val="001B413F"/>
    <w:rsid w:val="001B6065"/>
    <w:rsid w:val="001B6D2F"/>
    <w:rsid w:val="001B6EC9"/>
    <w:rsid w:val="001B7878"/>
    <w:rsid w:val="001D3B03"/>
    <w:rsid w:val="001D7CC4"/>
    <w:rsid w:val="001E110D"/>
    <w:rsid w:val="001E3215"/>
    <w:rsid w:val="001E4558"/>
    <w:rsid w:val="001F0F29"/>
    <w:rsid w:val="001F1250"/>
    <w:rsid w:val="001F1783"/>
    <w:rsid w:val="001F4B2A"/>
    <w:rsid w:val="001F756B"/>
    <w:rsid w:val="00201431"/>
    <w:rsid w:val="00207325"/>
    <w:rsid w:val="00210EE2"/>
    <w:rsid w:val="00211D6E"/>
    <w:rsid w:val="002151FD"/>
    <w:rsid w:val="002178FF"/>
    <w:rsid w:val="00217EC6"/>
    <w:rsid w:val="00223672"/>
    <w:rsid w:val="00224DDD"/>
    <w:rsid w:val="00225B6C"/>
    <w:rsid w:val="00230A1E"/>
    <w:rsid w:val="002418CB"/>
    <w:rsid w:val="0024366A"/>
    <w:rsid w:val="002512E9"/>
    <w:rsid w:val="00252692"/>
    <w:rsid w:val="00252C82"/>
    <w:rsid w:val="00262D43"/>
    <w:rsid w:val="00263635"/>
    <w:rsid w:val="002702D0"/>
    <w:rsid w:val="00270EDF"/>
    <w:rsid w:val="0027140A"/>
    <w:rsid w:val="00277F71"/>
    <w:rsid w:val="00280459"/>
    <w:rsid w:val="00280E12"/>
    <w:rsid w:val="00281517"/>
    <w:rsid w:val="00282541"/>
    <w:rsid w:val="002903F7"/>
    <w:rsid w:val="00290DE5"/>
    <w:rsid w:val="00297FC4"/>
    <w:rsid w:val="002A0B99"/>
    <w:rsid w:val="002A78F0"/>
    <w:rsid w:val="002B0BDC"/>
    <w:rsid w:val="002B2CEB"/>
    <w:rsid w:val="002B4270"/>
    <w:rsid w:val="002B637F"/>
    <w:rsid w:val="002B6A69"/>
    <w:rsid w:val="002C0CEA"/>
    <w:rsid w:val="002C3E25"/>
    <w:rsid w:val="002C4394"/>
    <w:rsid w:val="002C57F1"/>
    <w:rsid w:val="002D501D"/>
    <w:rsid w:val="002D5576"/>
    <w:rsid w:val="002D6407"/>
    <w:rsid w:val="002E5B11"/>
    <w:rsid w:val="002E7FE3"/>
    <w:rsid w:val="002F123C"/>
    <w:rsid w:val="002F24D0"/>
    <w:rsid w:val="002F3E90"/>
    <w:rsid w:val="002F579A"/>
    <w:rsid w:val="002F677C"/>
    <w:rsid w:val="00300AFA"/>
    <w:rsid w:val="0031213F"/>
    <w:rsid w:val="00315EE2"/>
    <w:rsid w:val="0031736B"/>
    <w:rsid w:val="003203F2"/>
    <w:rsid w:val="003265EC"/>
    <w:rsid w:val="003265F3"/>
    <w:rsid w:val="00331855"/>
    <w:rsid w:val="00333BF5"/>
    <w:rsid w:val="00335DA0"/>
    <w:rsid w:val="003376B2"/>
    <w:rsid w:val="00340F90"/>
    <w:rsid w:val="00341A40"/>
    <w:rsid w:val="00347A05"/>
    <w:rsid w:val="00361517"/>
    <w:rsid w:val="00362A42"/>
    <w:rsid w:val="00365216"/>
    <w:rsid w:val="00372BDB"/>
    <w:rsid w:val="00375AD3"/>
    <w:rsid w:val="00376519"/>
    <w:rsid w:val="00376A95"/>
    <w:rsid w:val="00383165"/>
    <w:rsid w:val="00387856"/>
    <w:rsid w:val="00391954"/>
    <w:rsid w:val="00392BC3"/>
    <w:rsid w:val="00393A05"/>
    <w:rsid w:val="00396076"/>
    <w:rsid w:val="003A0E8A"/>
    <w:rsid w:val="003B5BEB"/>
    <w:rsid w:val="003B5D6B"/>
    <w:rsid w:val="003B7775"/>
    <w:rsid w:val="003C5D63"/>
    <w:rsid w:val="003C66B2"/>
    <w:rsid w:val="003C71FC"/>
    <w:rsid w:val="003D00C2"/>
    <w:rsid w:val="003D3A2D"/>
    <w:rsid w:val="003D40D9"/>
    <w:rsid w:val="003D5DA9"/>
    <w:rsid w:val="003D6CF5"/>
    <w:rsid w:val="003D703A"/>
    <w:rsid w:val="003D7649"/>
    <w:rsid w:val="003E04DD"/>
    <w:rsid w:val="003E0E60"/>
    <w:rsid w:val="003E22F5"/>
    <w:rsid w:val="003E247A"/>
    <w:rsid w:val="003E4AEA"/>
    <w:rsid w:val="003E6774"/>
    <w:rsid w:val="003F1762"/>
    <w:rsid w:val="003F2F33"/>
    <w:rsid w:val="003F412D"/>
    <w:rsid w:val="003F6228"/>
    <w:rsid w:val="003F6670"/>
    <w:rsid w:val="003F759C"/>
    <w:rsid w:val="003F7D6F"/>
    <w:rsid w:val="0040404F"/>
    <w:rsid w:val="00404724"/>
    <w:rsid w:val="00405E74"/>
    <w:rsid w:val="00412373"/>
    <w:rsid w:val="004124D2"/>
    <w:rsid w:val="0041592F"/>
    <w:rsid w:val="004172B2"/>
    <w:rsid w:val="00424F51"/>
    <w:rsid w:val="004260BD"/>
    <w:rsid w:val="004271B8"/>
    <w:rsid w:val="00430383"/>
    <w:rsid w:val="00431B9F"/>
    <w:rsid w:val="004349B7"/>
    <w:rsid w:val="00445B89"/>
    <w:rsid w:val="00450A18"/>
    <w:rsid w:val="00452307"/>
    <w:rsid w:val="00462225"/>
    <w:rsid w:val="00462BF6"/>
    <w:rsid w:val="0046341A"/>
    <w:rsid w:val="00463E74"/>
    <w:rsid w:val="00465BD7"/>
    <w:rsid w:val="00465F69"/>
    <w:rsid w:val="00474B40"/>
    <w:rsid w:val="00474D03"/>
    <w:rsid w:val="004762E7"/>
    <w:rsid w:val="0048012B"/>
    <w:rsid w:val="0048399C"/>
    <w:rsid w:val="00497FF8"/>
    <w:rsid w:val="004A1007"/>
    <w:rsid w:val="004A3112"/>
    <w:rsid w:val="004B06F1"/>
    <w:rsid w:val="004B134B"/>
    <w:rsid w:val="004B22B0"/>
    <w:rsid w:val="004B4C14"/>
    <w:rsid w:val="004C0D6C"/>
    <w:rsid w:val="004C1886"/>
    <w:rsid w:val="004C352A"/>
    <w:rsid w:val="004C7392"/>
    <w:rsid w:val="004C74E6"/>
    <w:rsid w:val="004D1887"/>
    <w:rsid w:val="004D4C77"/>
    <w:rsid w:val="004D7E5D"/>
    <w:rsid w:val="004E0D14"/>
    <w:rsid w:val="004E548C"/>
    <w:rsid w:val="004E5AE2"/>
    <w:rsid w:val="004F28CD"/>
    <w:rsid w:val="004F484E"/>
    <w:rsid w:val="004F5147"/>
    <w:rsid w:val="00503303"/>
    <w:rsid w:val="00503F94"/>
    <w:rsid w:val="00510C3D"/>
    <w:rsid w:val="00512171"/>
    <w:rsid w:val="00517D45"/>
    <w:rsid w:val="00533F2A"/>
    <w:rsid w:val="00536C36"/>
    <w:rsid w:val="005373D5"/>
    <w:rsid w:val="00541B4E"/>
    <w:rsid w:val="00542164"/>
    <w:rsid w:val="00542F42"/>
    <w:rsid w:val="005475D9"/>
    <w:rsid w:val="0055447F"/>
    <w:rsid w:val="00554798"/>
    <w:rsid w:val="00560408"/>
    <w:rsid w:val="00561068"/>
    <w:rsid w:val="00564729"/>
    <w:rsid w:val="00567403"/>
    <w:rsid w:val="00567AB7"/>
    <w:rsid w:val="00571953"/>
    <w:rsid w:val="00576CED"/>
    <w:rsid w:val="00577F33"/>
    <w:rsid w:val="00582543"/>
    <w:rsid w:val="00583E2C"/>
    <w:rsid w:val="005840A6"/>
    <w:rsid w:val="0058594C"/>
    <w:rsid w:val="0058655F"/>
    <w:rsid w:val="00586A1E"/>
    <w:rsid w:val="005901ED"/>
    <w:rsid w:val="00592BEC"/>
    <w:rsid w:val="00592C40"/>
    <w:rsid w:val="00594585"/>
    <w:rsid w:val="00594CC9"/>
    <w:rsid w:val="005A00B1"/>
    <w:rsid w:val="005A0E04"/>
    <w:rsid w:val="005A1D24"/>
    <w:rsid w:val="005A2BCE"/>
    <w:rsid w:val="005A2E7E"/>
    <w:rsid w:val="005B1886"/>
    <w:rsid w:val="005B7EFA"/>
    <w:rsid w:val="005C1146"/>
    <w:rsid w:val="005C1293"/>
    <w:rsid w:val="005C2F83"/>
    <w:rsid w:val="005C34F3"/>
    <w:rsid w:val="005C3CBA"/>
    <w:rsid w:val="005C4E6B"/>
    <w:rsid w:val="005C61E3"/>
    <w:rsid w:val="005D1D47"/>
    <w:rsid w:val="005E5E5E"/>
    <w:rsid w:val="005F4B8A"/>
    <w:rsid w:val="005F61B0"/>
    <w:rsid w:val="005F659C"/>
    <w:rsid w:val="006022AA"/>
    <w:rsid w:val="00603CD4"/>
    <w:rsid w:val="0060450F"/>
    <w:rsid w:val="0061087F"/>
    <w:rsid w:val="00612262"/>
    <w:rsid w:val="00626280"/>
    <w:rsid w:val="006313D6"/>
    <w:rsid w:val="006318E2"/>
    <w:rsid w:val="00640A0C"/>
    <w:rsid w:val="00640F47"/>
    <w:rsid w:val="006410D2"/>
    <w:rsid w:val="00645415"/>
    <w:rsid w:val="00650F39"/>
    <w:rsid w:val="00650FC7"/>
    <w:rsid w:val="00657967"/>
    <w:rsid w:val="006624D9"/>
    <w:rsid w:val="00663684"/>
    <w:rsid w:val="006637B6"/>
    <w:rsid w:val="00673FF7"/>
    <w:rsid w:val="0068385C"/>
    <w:rsid w:val="00685D4E"/>
    <w:rsid w:val="0069425A"/>
    <w:rsid w:val="0069518E"/>
    <w:rsid w:val="006A0ACF"/>
    <w:rsid w:val="006A2462"/>
    <w:rsid w:val="006A4B0C"/>
    <w:rsid w:val="006B1F04"/>
    <w:rsid w:val="006B2670"/>
    <w:rsid w:val="006B7AD4"/>
    <w:rsid w:val="006C3400"/>
    <w:rsid w:val="006C36A0"/>
    <w:rsid w:val="006C43FC"/>
    <w:rsid w:val="006C6C40"/>
    <w:rsid w:val="006D4495"/>
    <w:rsid w:val="006E53DA"/>
    <w:rsid w:val="006E5D69"/>
    <w:rsid w:val="006E7CE9"/>
    <w:rsid w:val="006F3A67"/>
    <w:rsid w:val="006F3F3B"/>
    <w:rsid w:val="006F4532"/>
    <w:rsid w:val="006F592E"/>
    <w:rsid w:val="00705FBA"/>
    <w:rsid w:val="00706349"/>
    <w:rsid w:val="00706A07"/>
    <w:rsid w:val="007106B4"/>
    <w:rsid w:val="007113A3"/>
    <w:rsid w:val="00713828"/>
    <w:rsid w:val="00714849"/>
    <w:rsid w:val="00721F35"/>
    <w:rsid w:val="00723DEC"/>
    <w:rsid w:val="0073119C"/>
    <w:rsid w:val="00732391"/>
    <w:rsid w:val="00732995"/>
    <w:rsid w:val="00735231"/>
    <w:rsid w:val="00737E19"/>
    <w:rsid w:val="00740F92"/>
    <w:rsid w:val="00743871"/>
    <w:rsid w:val="007440BE"/>
    <w:rsid w:val="00745A6B"/>
    <w:rsid w:val="00747819"/>
    <w:rsid w:val="00751B1C"/>
    <w:rsid w:val="00755175"/>
    <w:rsid w:val="0075687C"/>
    <w:rsid w:val="00757233"/>
    <w:rsid w:val="007613AE"/>
    <w:rsid w:val="00762327"/>
    <w:rsid w:val="00764350"/>
    <w:rsid w:val="007748AB"/>
    <w:rsid w:val="007825D5"/>
    <w:rsid w:val="0078439D"/>
    <w:rsid w:val="007859D4"/>
    <w:rsid w:val="007865B2"/>
    <w:rsid w:val="007869FE"/>
    <w:rsid w:val="00786D36"/>
    <w:rsid w:val="00787951"/>
    <w:rsid w:val="007908EF"/>
    <w:rsid w:val="00795821"/>
    <w:rsid w:val="007A57AF"/>
    <w:rsid w:val="007A5DB8"/>
    <w:rsid w:val="007A7215"/>
    <w:rsid w:val="007A74A5"/>
    <w:rsid w:val="007B2455"/>
    <w:rsid w:val="007B4A5F"/>
    <w:rsid w:val="007B52CE"/>
    <w:rsid w:val="007C41ED"/>
    <w:rsid w:val="007D0F09"/>
    <w:rsid w:val="007D7652"/>
    <w:rsid w:val="007E0217"/>
    <w:rsid w:val="007E1942"/>
    <w:rsid w:val="007E2FD2"/>
    <w:rsid w:val="007E5D03"/>
    <w:rsid w:val="007E7A2B"/>
    <w:rsid w:val="007F0A10"/>
    <w:rsid w:val="007F1D52"/>
    <w:rsid w:val="007F362C"/>
    <w:rsid w:val="007F3932"/>
    <w:rsid w:val="007F3FEF"/>
    <w:rsid w:val="007F5F44"/>
    <w:rsid w:val="00805484"/>
    <w:rsid w:val="00811DEE"/>
    <w:rsid w:val="00812F93"/>
    <w:rsid w:val="00814193"/>
    <w:rsid w:val="00814D06"/>
    <w:rsid w:val="00820B54"/>
    <w:rsid w:val="008236AA"/>
    <w:rsid w:val="00824BD8"/>
    <w:rsid w:val="00832F42"/>
    <w:rsid w:val="00835EA6"/>
    <w:rsid w:val="00836E66"/>
    <w:rsid w:val="0083741B"/>
    <w:rsid w:val="008375A8"/>
    <w:rsid w:val="008409BE"/>
    <w:rsid w:val="008435EE"/>
    <w:rsid w:val="008606CA"/>
    <w:rsid w:val="00860D8B"/>
    <w:rsid w:val="00861739"/>
    <w:rsid w:val="0086670A"/>
    <w:rsid w:val="008672C4"/>
    <w:rsid w:val="00873406"/>
    <w:rsid w:val="008769B0"/>
    <w:rsid w:val="0088003C"/>
    <w:rsid w:val="008915E3"/>
    <w:rsid w:val="00891824"/>
    <w:rsid w:val="008921D3"/>
    <w:rsid w:val="00897F7D"/>
    <w:rsid w:val="008A56AD"/>
    <w:rsid w:val="008B20FF"/>
    <w:rsid w:val="008B4147"/>
    <w:rsid w:val="008B50F8"/>
    <w:rsid w:val="008B6012"/>
    <w:rsid w:val="008C1D90"/>
    <w:rsid w:val="008C1E98"/>
    <w:rsid w:val="008C7D71"/>
    <w:rsid w:val="008D4CAD"/>
    <w:rsid w:val="008D5263"/>
    <w:rsid w:val="008D6030"/>
    <w:rsid w:val="008E004E"/>
    <w:rsid w:val="008E09FB"/>
    <w:rsid w:val="008F1EC6"/>
    <w:rsid w:val="008F4477"/>
    <w:rsid w:val="00900D76"/>
    <w:rsid w:val="00900D86"/>
    <w:rsid w:val="009105D4"/>
    <w:rsid w:val="0091101B"/>
    <w:rsid w:val="00915495"/>
    <w:rsid w:val="009169CC"/>
    <w:rsid w:val="00917D0D"/>
    <w:rsid w:val="00920B3E"/>
    <w:rsid w:val="0092686C"/>
    <w:rsid w:val="00926CAE"/>
    <w:rsid w:val="00941EBB"/>
    <w:rsid w:val="00943329"/>
    <w:rsid w:val="00953A3C"/>
    <w:rsid w:val="00954EDC"/>
    <w:rsid w:val="0095684C"/>
    <w:rsid w:val="00957664"/>
    <w:rsid w:val="0096272A"/>
    <w:rsid w:val="00962C0B"/>
    <w:rsid w:val="00964F7F"/>
    <w:rsid w:val="00966476"/>
    <w:rsid w:val="009719C5"/>
    <w:rsid w:val="00971D2F"/>
    <w:rsid w:val="009725CE"/>
    <w:rsid w:val="00974B51"/>
    <w:rsid w:val="00975182"/>
    <w:rsid w:val="00977E60"/>
    <w:rsid w:val="009803FD"/>
    <w:rsid w:val="00984973"/>
    <w:rsid w:val="009926B1"/>
    <w:rsid w:val="00992DD7"/>
    <w:rsid w:val="00994DAD"/>
    <w:rsid w:val="009A28B7"/>
    <w:rsid w:val="009B1B26"/>
    <w:rsid w:val="009B34F7"/>
    <w:rsid w:val="009B5056"/>
    <w:rsid w:val="009B5B1C"/>
    <w:rsid w:val="009C2A0D"/>
    <w:rsid w:val="009C543B"/>
    <w:rsid w:val="009E640A"/>
    <w:rsid w:val="009E782A"/>
    <w:rsid w:val="009F2613"/>
    <w:rsid w:val="00A04099"/>
    <w:rsid w:val="00A14153"/>
    <w:rsid w:val="00A149BD"/>
    <w:rsid w:val="00A16FAF"/>
    <w:rsid w:val="00A30EDA"/>
    <w:rsid w:val="00A317BC"/>
    <w:rsid w:val="00A35F3D"/>
    <w:rsid w:val="00A448D4"/>
    <w:rsid w:val="00A44BF5"/>
    <w:rsid w:val="00A462C6"/>
    <w:rsid w:val="00A5010A"/>
    <w:rsid w:val="00A563B1"/>
    <w:rsid w:val="00A566ED"/>
    <w:rsid w:val="00A575BF"/>
    <w:rsid w:val="00A57EF8"/>
    <w:rsid w:val="00A60873"/>
    <w:rsid w:val="00A628CA"/>
    <w:rsid w:val="00A66A27"/>
    <w:rsid w:val="00A70B89"/>
    <w:rsid w:val="00A71F32"/>
    <w:rsid w:val="00A73963"/>
    <w:rsid w:val="00A74419"/>
    <w:rsid w:val="00A75BDA"/>
    <w:rsid w:val="00A76351"/>
    <w:rsid w:val="00A81535"/>
    <w:rsid w:val="00A8621A"/>
    <w:rsid w:val="00A91CD2"/>
    <w:rsid w:val="00A92335"/>
    <w:rsid w:val="00A923C7"/>
    <w:rsid w:val="00AA02D4"/>
    <w:rsid w:val="00AA02FF"/>
    <w:rsid w:val="00AA25A8"/>
    <w:rsid w:val="00AA278D"/>
    <w:rsid w:val="00AA2E27"/>
    <w:rsid w:val="00AA331D"/>
    <w:rsid w:val="00AA6A6E"/>
    <w:rsid w:val="00AB4594"/>
    <w:rsid w:val="00AB5B04"/>
    <w:rsid w:val="00AB67F8"/>
    <w:rsid w:val="00AC3CC4"/>
    <w:rsid w:val="00AC3E58"/>
    <w:rsid w:val="00AC452A"/>
    <w:rsid w:val="00AC4A54"/>
    <w:rsid w:val="00AC4AB7"/>
    <w:rsid w:val="00AC7823"/>
    <w:rsid w:val="00AD3912"/>
    <w:rsid w:val="00AE47F2"/>
    <w:rsid w:val="00AE4CDA"/>
    <w:rsid w:val="00AE61F9"/>
    <w:rsid w:val="00AE6945"/>
    <w:rsid w:val="00AF0FC1"/>
    <w:rsid w:val="00AF181E"/>
    <w:rsid w:val="00AF213F"/>
    <w:rsid w:val="00AF484C"/>
    <w:rsid w:val="00B024C3"/>
    <w:rsid w:val="00B027E2"/>
    <w:rsid w:val="00B11DD0"/>
    <w:rsid w:val="00B12A5F"/>
    <w:rsid w:val="00B16174"/>
    <w:rsid w:val="00B17201"/>
    <w:rsid w:val="00B176BC"/>
    <w:rsid w:val="00B224F0"/>
    <w:rsid w:val="00B2435A"/>
    <w:rsid w:val="00B2748D"/>
    <w:rsid w:val="00B314C2"/>
    <w:rsid w:val="00B316D3"/>
    <w:rsid w:val="00B32073"/>
    <w:rsid w:val="00B34DC7"/>
    <w:rsid w:val="00B41596"/>
    <w:rsid w:val="00B41DCF"/>
    <w:rsid w:val="00B443C3"/>
    <w:rsid w:val="00B5108B"/>
    <w:rsid w:val="00B5154F"/>
    <w:rsid w:val="00B56328"/>
    <w:rsid w:val="00B60CD4"/>
    <w:rsid w:val="00B61C55"/>
    <w:rsid w:val="00B67CF4"/>
    <w:rsid w:val="00B715BE"/>
    <w:rsid w:val="00B73D31"/>
    <w:rsid w:val="00B74819"/>
    <w:rsid w:val="00B7544B"/>
    <w:rsid w:val="00B80F3F"/>
    <w:rsid w:val="00B81141"/>
    <w:rsid w:val="00B8192E"/>
    <w:rsid w:val="00B84923"/>
    <w:rsid w:val="00B86135"/>
    <w:rsid w:val="00B86C52"/>
    <w:rsid w:val="00B87370"/>
    <w:rsid w:val="00B90EEA"/>
    <w:rsid w:val="00BA6544"/>
    <w:rsid w:val="00BA67F1"/>
    <w:rsid w:val="00BB063C"/>
    <w:rsid w:val="00BB2AC1"/>
    <w:rsid w:val="00BB4D22"/>
    <w:rsid w:val="00BB6D74"/>
    <w:rsid w:val="00BB7314"/>
    <w:rsid w:val="00BC257C"/>
    <w:rsid w:val="00BD2693"/>
    <w:rsid w:val="00BD3137"/>
    <w:rsid w:val="00BD434F"/>
    <w:rsid w:val="00BD565A"/>
    <w:rsid w:val="00BD7FC4"/>
    <w:rsid w:val="00BE0B58"/>
    <w:rsid w:val="00BE6FF1"/>
    <w:rsid w:val="00BF4C62"/>
    <w:rsid w:val="00C10C60"/>
    <w:rsid w:val="00C20D08"/>
    <w:rsid w:val="00C323EC"/>
    <w:rsid w:val="00C33872"/>
    <w:rsid w:val="00C374F9"/>
    <w:rsid w:val="00C42DF7"/>
    <w:rsid w:val="00C42EFE"/>
    <w:rsid w:val="00C5188C"/>
    <w:rsid w:val="00C52B73"/>
    <w:rsid w:val="00C542DA"/>
    <w:rsid w:val="00C602F6"/>
    <w:rsid w:val="00C60C8D"/>
    <w:rsid w:val="00C656D8"/>
    <w:rsid w:val="00C65792"/>
    <w:rsid w:val="00C659DC"/>
    <w:rsid w:val="00C73830"/>
    <w:rsid w:val="00C778DC"/>
    <w:rsid w:val="00C956FA"/>
    <w:rsid w:val="00C95E14"/>
    <w:rsid w:val="00C9711F"/>
    <w:rsid w:val="00CA2810"/>
    <w:rsid w:val="00CA4492"/>
    <w:rsid w:val="00CA6310"/>
    <w:rsid w:val="00CA7D8F"/>
    <w:rsid w:val="00CB119E"/>
    <w:rsid w:val="00CB33D2"/>
    <w:rsid w:val="00CB3C19"/>
    <w:rsid w:val="00CC14EA"/>
    <w:rsid w:val="00CC3C0B"/>
    <w:rsid w:val="00CC45C7"/>
    <w:rsid w:val="00CC48DC"/>
    <w:rsid w:val="00CD556D"/>
    <w:rsid w:val="00CD795E"/>
    <w:rsid w:val="00CE0688"/>
    <w:rsid w:val="00CE0AE5"/>
    <w:rsid w:val="00CE0DF9"/>
    <w:rsid w:val="00CE37B2"/>
    <w:rsid w:val="00CE6A72"/>
    <w:rsid w:val="00CF023A"/>
    <w:rsid w:val="00CF192A"/>
    <w:rsid w:val="00CF30CE"/>
    <w:rsid w:val="00CF4830"/>
    <w:rsid w:val="00CF58D0"/>
    <w:rsid w:val="00CF7125"/>
    <w:rsid w:val="00D01588"/>
    <w:rsid w:val="00D028E9"/>
    <w:rsid w:val="00D058A3"/>
    <w:rsid w:val="00D06C71"/>
    <w:rsid w:val="00D11CEF"/>
    <w:rsid w:val="00D121DD"/>
    <w:rsid w:val="00D136BA"/>
    <w:rsid w:val="00D14A41"/>
    <w:rsid w:val="00D174A7"/>
    <w:rsid w:val="00D207F3"/>
    <w:rsid w:val="00D2261B"/>
    <w:rsid w:val="00D25BF6"/>
    <w:rsid w:val="00D31815"/>
    <w:rsid w:val="00D364E8"/>
    <w:rsid w:val="00D44516"/>
    <w:rsid w:val="00D51D99"/>
    <w:rsid w:val="00D62580"/>
    <w:rsid w:val="00D629E4"/>
    <w:rsid w:val="00D6438F"/>
    <w:rsid w:val="00D64FD7"/>
    <w:rsid w:val="00D65B10"/>
    <w:rsid w:val="00D67177"/>
    <w:rsid w:val="00D71D6B"/>
    <w:rsid w:val="00D74249"/>
    <w:rsid w:val="00D742FD"/>
    <w:rsid w:val="00D74BED"/>
    <w:rsid w:val="00D74CFB"/>
    <w:rsid w:val="00D77D55"/>
    <w:rsid w:val="00D84B0C"/>
    <w:rsid w:val="00D85285"/>
    <w:rsid w:val="00D8569C"/>
    <w:rsid w:val="00D8680F"/>
    <w:rsid w:val="00D87DEB"/>
    <w:rsid w:val="00D90372"/>
    <w:rsid w:val="00D95A1D"/>
    <w:rsid w:val="00DA2539"/>
    <w:rsid w:val="00DA2BE3"/>
    <w:rsid w:val="00DA4892"/>
    <w:rsid w:val="00DA61C7"/>
    <w:rsid w:val="00DB0C94"/>
    <w:rsid w:val="00DC2E73"/>
    <w:rsid w:val="00DD082A"/>
    <w:rsid w:val="00DD087E"/>
    <w:rsid w:val="00DD18E7"/>
    <w:rsid w:val="00DD2863"/>
    <w:rsid w:val="00DD2E5E"/>
    <w:rsid w:val="00DD57C8"/>
    <w:rsid w:val="00DD5A71"/>
    <w:rsid w:val="00DE0834"/>
    <w:rsid w:val="00DE167A"/>
    <w:rsid w:val="00E04A74"/>
    <w:rsid w:val="00E05C9D"/>
    <w:rsid w:val="00E1109F"/>
    <w:rsid w:val="00E12BF0"/>
    <w:rsid w:val="00E16D25"/>
    <w:rsid w:val="00E24973"/>
    <w:rsid w:val="00E26A39"/>
    <w:rsid w:val="00E3537A"/>
    <w:rsid w:val="00E37E08"/>
    <w:rsid w:val="00E46CD2"/>
    <w:rsid w:val="00E46E98"/>
    <w:rsid w:val="00E46FCF"/>
    <w:rsid w:val="00E52202"/>
    <w:rsid w:val="00E54AC2"/>
    <w:rsid w:val="00E5619B"/>
    <w:rsid w:val="00E602A0"/>
    <w:rsid w:val="00E73B1C"/>
    <w:rsid w:val="00E758CE"/>
    <w:rsid w:val="00E758E1"/>
    <w:rsid w:val="00E76491"/>
    <w:rsid w:val="00E77397"/>
    <w:rsid w:val="00E83324"/>
    <w:rsid w:val="00E90931"/>
    <w:rsid w:val="00E91CF2"/>
    <w:rsid w:val="00E95953"/>
    <w:rsid w:val="00E975B6"/>
    <w:rsid w:val="00EA12F0"/>
    <w:rsid w:val="00EA32EE"/>
    <w:rsid w:val="00EA45A0"/>
    <w:rsid w:val="00EA4CFE"/>
    <w:rsid w:val="00EA56AA"/>
    <w:rsid w:val="00EA5D0B"/>
    <w:rsid w:val="00EA6F06"/>
    <w:rsid w:val="00EB01B1"/>
    <w:rsid w:val="00EB2316"/>
    <w:rsid w:val="00EB3364"/>
    <w:rsid w:val="00EB6152"/>
    <w:rsid w:val="00EB79FC"/>
    <w:rsid w:val="00EC1A2F"/>
    <w:rsid w:val="00EC3FA6"/>
    <w:rsid w:val="00EC4795"/>
    <w:rsid w:val="00EC5996"/>
    <w:rsid w:val="00ED7101"/>
    <w:rsid w:val="00EE055E"/>
    <w:rsid w:val="00EE0D67"/>
    <w:rsid w:val="00EE470D"/>
    <w:rsid w:val="00EE7A3F"/>
    <w:rsid w:val="00EE7EEA"/>
    <w:rsid w:val="00EF00FD"/>
    <w:rsid w:val="00EF129B"/>
    <w:rsid w:val="00EF436A"/>
    <w:rsid w:val="00F06DC4"/>
    <w:rsid w:val="00F06F89"/>
    <w:rsid w:val="00F1001C"/>
    <w:rsid w:val="00F150FE"/>
    <w:rsid w:val="00F16446"/>
    <w:rsid w:val="00F27A3D"/>
    <w:rsid w:val="00F31AE9"/>
    <w:rsid w:val="00F50B83"/>
    <w:rsid w:val="00F51FBD"/>
    <w:rsid w:val="00F53A7E"/>
    <w:rsid w:val="00F56AFB"/>
    <w:rsid w:val="00F60E0A"/>
    <w:rsid w:val="00F637C7"/>
    <w:rsid w:val="00F664D1"/>
    <w:rsid w:val="00F67F7E"/>
    <w:rsid w:val="00F73003"/>
    <w:rsid w:val="00F76BEE"/>
    <w:rsid w:val="00F77DEA"/>
    <w:rsid w:val="00F81A8F"/>
    <w:rsid w:val="00F86279"/>
    <w:rsid w:val="00F87DCA"/>
    <w:rsid w:val="00F97207"/>
    <w:rsid w:val="00F97833"/>
    <w:rsid w:val="00FA1B22"/>
    <w:rsid w:val="00FA3272"/>
    <w:rsid w:val="00FA400E"/>
    <w:rsid w:val="00FA6139"/>
    <w:rsid w:val="00FA7126"/>
    <w:rsid w:val="00FB1A43"/>
    <w:rsid w:val="00FB3358"/>
    <w:rsid w:val="00FB3DBD"/>
    <w:rsid w:val="00FB649F"/>
    <w:rsid w:val="00FB730D"/>
    <w:rsid w:val="00FC1999"/>
    <w:rsid w:val="00FC4055"/>
    <w:rsid w:val="00FC4AAD"/>
    <w:rsid w:val="00FC6545"/>
    <w:rsid w:val="00FD0936"/>
    <w:rsid w:val="00FE11CB"/>
    <w:rsid w:val="00FE2A61"/>
    <w:rsid w:val="00FE3138"/>
    <w:rsid w:val="00FE41DE"/>
    <w:rsid w:val="00FE4EB1"/>
    <w:rsid w:val="00FF00E4"/>
    <w:rsid w:val="00FF0D09"/>
    <w:rsid w:val="00FF45D5"/>
    <w:rsid w:val="00FF4DF9"/>
    <w:rsid w:val="00FF4DFC"/>
    <w:rsid w:val="02057417"/>
    <w:rsid w:val="021719ED"/>
    <w:rsid w:val="0370464D"/>
    <w:rsid w:val="04714AFE"/>
    <w:rsid w:val="04DF41DC"/>
    <w:rsid w:val="05D9297D"/>
    <w:rsid w:val="06565D7C"/>
    <w:rsid w:val="091C135D"/>
    <w:rsid w:val="0D514412"/>
    <w:rsid w:val="103F3D25"/>
    <w:rsid w:val="112655BB"/>
    <w:rsid w:val="12CA5B28"/>
    <w:rsid w:val="132B66B5"/>
    <w:rsid w:val="13654BB3"/>
    <w:rsid w:val="142E50FB"/>
    <w:rsid w:val="146E6986"/>
    <w:rsid w:val="19D63004"/>
    <w:rsid w:val="1C913B5A"/>
    <w:rsid w:val="1E3836D1"/>
    <w:rsid w:val="1FB96F6D"/>
    <w:rsid w:val="22B83BEE"/>
    <w:rsid w:val="249165EB"/>
    <w:rsid w:val="28722A91"/>
    <w:rsid w:val="29D21DCA"/>
    <w:rsid w:val="2C776B74"/>
    <w:rsid w:val="2E032634"/>
    <w:rsid w:val="2EFD5633"/>
    <w:rsid w:val="2EFE38AB"/>
    <w:rsid w:val="303B19BB"/>
    <w:rsid w:val="31FB6EBC"/>
    <w:rsid w:val="32D85BE7"/>
    <w:rsid w:val="3300393F"/>
    <w:rsid w:val="345F2844"/>
    <w:rsid w:val="35146902"/>
    <w:rsid w:val="3B936A0C"/>
    <w:rsid w:val="3CA46CA7"/>
    <w:rsid w:val="3F4F7053"/>
    <w:rsid w:val="3FF12144"/>
    <w:rsid w:val="416302B3"/>
    <w:rsid w:val="42EE0B0F"/>
    <w:rsid w:val="4600729C"/>
    <w:rsid w:val="478F0B12"/>
    <w:rsid w:val="48967C7F"/>
    <w:rsid w:val="490E5A67"/>
    <w:rsid w:val="4948038B"/>
    <w:rsid w:val="4B0F3EA2"/>
    <w:rsid w:val="4F3C03F9"/>
    <w:rsid w:val="51E320EE"/>
    <w:rsid w:val="531D3476"/>
    <w:rsid w:val="53983A85"/>
    <w:rsid w:val="57517B92"/>
    <w:rsid w:val="5800771E"/>
    <w:rsid w:val="5A3E5494"/>
    <w:rsid w:val="5A6A4AC7"/>
    <w:rsid w:val="5BD56F07"/>
    <w:rsid w:val="5C2937AB"/>
    <w:rsid w:val="5DE11544"/>
    <w:rsid w:val="5E323B4E"/>
    <w:rsid w:val="5ED44ECA"/>
    <w:rsid w:val="61164481"/>
    <w:rsid w:val="667264C2"/>
    <w:rsid w:val="66DD4F9F"/>
    <w:rsid w:val="67104E83"/>
    <w:rsid w:val="69E92B05"/>
    <w:rsid w:val="6C220821"/>
    <w:rsid w:val="6E407BC1"/>
    <w:rsid w:val="6FB01E10"/>
    <w:rsid w:val="6FBB1BF5"/>
    <w:rsid w:val="71E85B81"/>
    <w:rsid w:val="72F67910"/>
    <w:rsid w:val="73075151"/>
    <w:rsid w:val="730B4C41"/>
    <w:rsid w:val="79186B63"/>
    <w:rsid w:val="795804B5"/>
    <w:rsid w:val="79A436FA"/>
    <w:rsid w:val="79DD6380"/>
    <w:rsid w:val="79E6619D"/>
    <w:rsid w:val="7AB921C8"/>
    <w:rsid w:val="7AD72958"/>
    <w:rsid w:val="7EFC4C13"/>
    <w:rsid w:val="7F587460"/>
    <w:rsid w:val="7F9504C9"/>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uiPriority="0"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cs="Arial Unicode MS"/>
      <w:color w:val="000000"/>
      <w:kern w:val="2"/>
      <w:sz w:val="21"/>
      <w:szCs w:val="21"/>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pPr>
      <w:widowControl w:val="0"/>
      <w:jc w:val="both"/>
    </w:pPr>
    <w:rPr>
      <w:rFonts w:cs="Arial Unicode MS"/>
      <w:color w:val="000000"/>
      <w:kern w:val="2"/>
      <w:sz w:val="21"/>
      <w:szCs w:val="21"/>
      <w:u w:color="000000"/>
    </w:rPr>
  </w:style>
  <w:style w:type="paragraph" w:styleId="a4">
    <w:name w:val="annotation text"/>
    <w:basedOn w:val="a"/>
    <w:link w:val="Char"/>
    <w:uiPriority w:val="99"/>
    <w:semiHidden/>
    <w:unhideWhenUsed/>
    <w:qFormat/>
    <w:pPr>
      <w:jc w:val="left"/>
    </w:p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Pr>
      <w:b/>
      <w:bCs/>
    </w:rPr>
  </w:style>
  <w:style w:type="character" w:styleId="aa">
    <w:name w:val="line number"/>
    <w:basedOn w:val="a1"/>
    <w:uiPriority w:val="99"/>
    <w:semiHidden/>
    <w:unhideWhenUsed/>
    <w:qFormat/>
  </w:style>
  <w:style w:type="character" w:styleId="ab">
    <w:name w:val="Hyperlink"/>
    <w:qFormat/>
    <w:rPr>
      <w:u w:val="single"/>
    </w:rPr>
  </w:style>
  <w:style w:type="character" w:styleId="ac">
    <w:name w:val="annotation reference"/>
    <w:basedOn w:val="a1"/>
    <w:semiHidden/>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d">
    <w:name w:val="页眉与页脚"/>
    <w:qFormat/>
    <w:pPr>
      <w:tabs>
        <w:tab w:val="right" w:pos="9020"/>
      </w:tabs>
    </w:pPr>
    <w:rPr>
      <w:rFonts w:ascii="PingFang SC Regular" w:hAnsi="PingFang SC Regular" w:cs="Arial Unicode MS"/>
      <w:color w:val="000000"/>
      <w:sz w:val="24"/>
      <w:szCs w:val="24"/>
    </w:rPr>
  </w:style>
  <w:style w:type="paragraph" w:customStyle="1" w:styleId="ae">
    <w:name w:val="默认"/>
    <w:qFormat/>
    <w:pPr>
      <w:spacing w:before="160" w:line="288" w:lineRule="auto"/>
    </w:pPr>
    <w:rPr>
      <w:rFonts w:ascii="PingFang SC Regular" w:eastAsia="PingFang SC Regular" w:hAnsi="PingFang SC Regular" w:cs="PingFang SC Regular"/>
      <w:color w:val="000000"/>
      <w:sz w:val="24"/>
      <w:szCs w:val="24"/>
    </w:rPr>
  </w:style>
  <w:style w:type="paragraph" w:styleId="af">
    <w:name w:val="List Paragraph"/>
    <w:qFormat/>
    <w:pPr>
      <w:widowControl w:val="0"/>
      <w:ind w:firstLine="420"/>
      <w:jc w:val="both"/>
    </w:pPr>
    <w:rPr>
      <w:rFonts w:ascii="等线" w:eastAsia="等线" w:hAnsi="等线" w:cs="等线"/>
      <w:color w:val="000000"/>
      <w:kern w:val="2"/>
      <w:sz w:val="21"/>
      <w:szCs w:val="21"/>
      <w:u w:color="000000"/>
    </w:rPr>
  </w:style>
  <w:style w:type="character" w:customStyle="1" w:styleId="Char">
    <w:name w:val="批注文字 Char"/>
    <w:basedOn w:val="a1"/>
    <w:link w:val="a4"/>
    <w:uiPriority w:val="99"/>
    <w:semiHidden/>
    <w:qFormat/>
    <w:rPr>
      <w:rFonts w:cs="Arial Unicode MS"/>
      <w:color w:val="000000"/>
      <w:kern w:val="2"/>
      <w:sz w:val="21"/>
      <w:szCs w:val="21"/>
      <w:u w:color="000000"/>
    </w:rPr>
  </w:style>
  <w:style w:type="character" w:customStyle="1" w:styleId="Char3">
    <w:name w:val="页眉 Char"/>
    <w:basedOn w:val="a1"/>
    <w:link w:val="a8"/>
    <w:uiPriority w:val="99"/>
    <w:qFormat/>
    <w:rPr>
      <w:rFonts w:cs="Arial Unicode MS"/>
      <w:color w:val="000000"/>
      <w:kern w:val="2"/>
      <w:sz w:val="18"/>
      <w:szCs w:val="18"/>
      <w:u w:color="000000"/>
    </w:rPr>
  </w:style>
  <w:style w:type="character" w:customStyle="1" w:styleId="Char2">
    <w:name w:val="页脚 Char"/>
    <w:basedOn w:val="a1"/>
    <w:link w:val="a7"/>
    <w:uiPriority w:val="99"/>
    <w:qFormat/>
    <w:rPr>
      <w:rFonts w:cs="Arial Unicode MS"/>
      <w:color w:val="000000"/>
      <w:kern w:val="2"/>
      <w:sz w:val="18"/>
      <w:szCs w:val="18"/>
      <w:u w:color="000000"/>
    </w:rPr>
  </w:style>
  <w:style w:type="character" w:customStyle="1" w:styleId="Char1">
    <w:name w:val="批注框文本 Char"/>
    <w:basedOn w:val="a1"/>
    <w:link w:val="a6"/>
    <w:uiPriority w:val="99"/>
    <w:semiHidden/>
    <w:qFormat/>
    <w:rPr>
      <w:rFonts w:cs="Arial Unicode MS"/>
      <w:color w:val="000000"/>
      <w:kern w:val="2"/>
      <w:sz w:val="18"/>
      <w:szCs w:val="18"/>
      <w:u w:color="000000"/>
    </w:rPr>
  </w:style>
  <w:style w:type="character" w:customStyle="1" w:styleId="Char4">
    <w:name w:val="批注主题 Char"/>
    <w:basedOn w:val="Char"/>
    <w:link w:val="a9"/>
    <w:uiPriority w:val="99"/>
    <w:semiHidden/>
    <w:qFormat/>
    <w:rPr>
      <w:rFonts w:cs="Arial Unicode MS"/>
      <w:b/>
      <w:bCs/>
      <w:color w:val="000000"/>
      <w:kern w:val="2"/>
      <w:sz w:val="21"/>
      <w:szCs w:val="21"/>
      <w:u w:color="000000"/>
    </w:rPr>
  </w:style>
  <w:style w:type="character" w:customStyle="1" w:styleId="mini-tab-text1">
    <w:name w:val="mini-tab-text1"/>
    <w:basedOn w:val="a1"/>
    <w:qFormat/>
  </w:style>
  <w:style w:type="character" w:customStyle="1" w:styleId="Char0">
    <w:name w:val="日期 Char"/>
    <w:basedOn w:val="a1"/>
    <w:link w:val="a5"/>
    <w:uiPriority w:val="99"/>
    <w:semiHidden/>
    <w:qFormat/>
    <w:rPr>
      <w:rFonts w:cs="Arial Unicode MS"/>
      <w:color w:val="000000"/>
      <w:kern w:val="2"/>
      <w:sz w:val="21"/>
      <w:szCs w:val="21"/>
      <w:u w:color="000000"/>
    </w:rPr>
  </w:style>
  <w:style w:type="paragraph" w:customStyle="1" w:styleId="1">
    <w:name w:val="修订1"/>
    <w:hidden/>
    <w:uiPriority w:val="99"/>
    <w:unhideWhenUsed/>
    <w:qFormat/>
    <w:rPr>
      <w:rFonts w:cs="Arial Unicode MS"/>
      <w:color w:val="000000"/>
      <w:kern w:val="2"/>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uiPriority="0"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cs="Arial Unicode MS"/>
      <w:color w:val="000000"/>
      <w:kern w:val="2"/>
      <w:sz w:val="21"/>
      <w:szCs w:val="21"/>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pPr>
      <w:widowControl w:val="0"/>
      <w:jc w:val="both"/>
    </w:pPr>
    <w:rPr>
      <w:rFonts w:cs="Arial Unicode MS"/>
      <w:color w:val="000000"/>
      <w:kern w:val="2"/>
      <w:sz w:val="21"/>
      <w:szCs w:val="21"/>
      <w:u w:color="000000"/>
    </w:rPr>
  </w:style>
  <w:style w:type="paragraph" w:styleId="a4">
    <w:name w:val="annotation text"/>
    <w:basedOn w:val="a"/>
    <w:link w:val="Char"/>
    <w:uiPriority w:val="99"/>
    <w:semiHidden/>
    <w:unhideWhenUsed/>
    <w:qFormat/>
    <w:pPr>
      <w:jc w:val="left"/>
    </w:p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Pr>
      <w:b/>
      <w:bCs/>
    </w:rPr>
  </w:style>
  <w:style w:type="character" w:styleId="aa">
    <w:name w:val="line number"/>
    <w:basedOn w:val="a1"/>
    <w:uiPriority w:val="99"/>
    <w:semiHidden/>
    <w:unhideWhenUsed/>
    <w:qFormat/>
  </w:style>
  <w:style w:type="character" w:styleId="ab">
    <w:name w:val="Hyperlink"/>
    <w:qFormat/>
    <w:rPr>
      <w:u w:val="single"/>
    </w:rPr>
  </w:style>
  <w:style w:type="character" w:styleId="ac">
    <w:name w:val="annotation reference"/>
    <w:basedOn w:val="a1"/>
    <w:semiHidden/>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d">
    <w:name w:val="页眉与页脚"/>
    <w:qFormat/>
    <w:pPr>
      <w:tabs>
        <w:tab w:val="right" w:pos="9020"/>
      </w:tabs>
    </w:pPr>
    <w:rPr>
      <w:rFonts w:ascii="PingFang SC Regular" w:hAnsi="PingFang SC Regular" w:cs="Arial Unicode MS"/>
      <w:color w:val="000000"/>
      <w:sz w:val="24"/>
      <w:szCs w:val="24"/>
    </w:rPr>
  </w:style>
  <w:style w:type="paragraph" w:customStyle="1" w:styleId="ae">
    <w:name w:val="默认"/>
    <w:qFormat/>
    <w:pPr>
      <w:spacing w:before="160" w:line="288" w:lineRule="auto"/>
    </w:pPr>
    <w:rPr>
      <w:rFonts w:ascii="PingFang SC Regular" w:eastAsia="PingFang SC Regular" w:hAnsi="PingFang SC Regular" w:cs="PingFang SC Regular"/>
      <w:color w:val="000000"/>
      <w:sz w:val="24"/>
      <w:szCs w:val="24"/>
    </w:rPr>
  </w:style>
  <w:style w:type="paragraph" w:styleId="af">
    <w:name w:val="List Paragraph"/>
    <w:qFormat/>
    <w:pPr>
      <w:widowControl w:val="0"/>
      <w:ind w:firstLine="420"/>
      <w:jc w:val="both"/>
    </w:pPr>
    <w:rPr>
      <w:rFonts w:ascii="等线" w:eastAsia="等线" w:hAnsi="等线" w:cs="等线"/>
      <w:color w:val="000000"/>
      <w:kern w:val="2"/>
      <w:sz w:val="21"/>
      <w:szCs w:val="21"/>
      <w:u w:color="000000"/>
    </w:rPr>
  </w:style>
  <w:style w:type="character" w:customStyle="1" w:styleId="Char">
    <w:name w:val="批注文字 Char"/>
    <w:basedOn w:val="a1"/>
    <w:link w:val="a4"/>
    <w:uiPriority w:val="99"/>
    <w:semiHidden/>
    <w:qFormat/>
    <w:rPr>
      <w:rFonts w:cs="Arial Unicode MS"/>
      <w:color w:val="000000"/>
      <w:kern w:val="2"/>
      <w:sz w:val="21"/>
      <w:szCs w:val="21"/>
      <w:u w:color="000000"/>
    </w:rPr>
  </w:style>
  <w:style w:type="character" w:customStyle="1" w:styleId="Char3">
    <w:name w:val="页眉 Char"/>
    <w:basedOn w:val="a1"/>
    <w:link w:val="a8"/>
    <w:uiPriority w:val="99"/>
    <w:qFormat/>
    <w:rPr>
      <w:rFonts w:cs="Arial Unicode MS"/>
      <w:color w:val="000000"/>
      <w:kern w:val="2"/>
      <w:sz w:val="18"/>
      <w:szCs w:val="18"/>
      <w:u w:color="000000"/>
    </w:rPr>
  </w:style>
  <w:style w:type="character" w:customStyle="1" w:styleId="Char2">
    <w:name w:val="页脚 Char"/>
    <w:basedOn w:val="a1"/>
    <w:link w:val="a7"/>
    <w:uiPriority w:val="99"/>
    <w:qFormat/>
    <w:rPr>
      <w:rFonts w:cs="Arial Unicode MS"/>
      <w:color w:val="000000"/>
      <w:kern w:val="2"/>
      <w:sz w:val="18"/>
      <w:szCs w:val="18"/>
      <w:u w:color="000000"/>
    </w:rPr>
  </w:style>
  <w:style w:type="character" w:customStyle="1" w:styleId="Char1">
    <w:name w:val="批注框文本 Char"/>
    <w:basedOn w:val="a1"/>
    <w:link w:val="a6"/>
    <w:uiPriority w:val="99"/>
    <w:semiHidden/>
    <w:qFormat/>
    <w:rPr>
      <w:rFonts w:cs="Arial Unicode MS"/>
      <w:color w:val="000000"/>
      <w:kern w:val="2"/>
      <w:sz w:val="18"/>
      <w:szCs w:val="18"/>
      <w:u w:color="000000"/>
    </w:rPr>
  </w:style>
  <w:style w:type="character" w:customStyle="1" w:styleId="Char4">
    <w:name w:val="批注主题 Char"/>
    <w:basedOn w:val="Char"/>
    <w:link w:val="a9"/>
    <w:uiPriority w:val="99"/>
    <w:semiHidden/>
    <w:qFormat/>
    <w:rPr>
      <w:rFonts w:cs="Arial Unicode MS"/>
      <w:b/>
      <w:bCs/>
      <w:color w:val="000000"/>
      <w:kern w:val="2"/>
      <w:sz w:val="21"/>
      <w:szCs w:val="21"/>
      <w:u w:color="000000"/>
    </w:rPr>
  </w:style>
  <w:style w:type="character" w:customStyle="1" w:styleId="mini-tab-text1">
    <w:name w:val="mini-tab-text1"/>
    <w:basedOn w:val="a1"/>
    <w:qFormat/>
  </w:style>
  <w:style w:type="character" w:customStyle="1" w:styleId="Char0">
    <w:name w:val="日期 Char"/>
    <w:basedOn w:val="a1"/>
    <w:link w:val="a5"/>
    <w:uiPriority w:val="99"/>
    <w:semiHidden/>
    <w:qFormat/>
    <w:rPr>
      <w:rFonts w:cs="Arial Unicode MS"/>
      <w:color w:val="000000"/>
      <w:kern w:val="2"/>
      <w:sz w:val="21"/>
      <w:szCs w:val="21"/>
      <w:u w:color="000000"/>
    </w:rPr>
  </w:style>
  <w:style w:type="paragraph" w:customStyle="1" w:styleId="1">
    <w:name w:val="修订1"/>
    <w:hidden/>
    <w:uiPriority w:val="99"/>
    <w:unhideWhenUsed/>
    <w:qFormat/>
    <w:rPr>
      <w:rFont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15</Pages>
  <Words>1161</Words>
  <Characters>6624</Characters>
  <Application>Microsoft Office Word</Application>
  <DocSecurity>0</DocSecurity>
  <Lines>55</Lines>
  <Paragraphs>15</Paragraphs>
  <ScaleCrop>false</ScaleCrop>
  <Company>神州网信技术有限公司</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liste</dc:creator>
  <cp:lastModifiedBy>雷山</cp:lastModifiedBy>
  <cp:revision>41</cp:revision>
  <dcterms:created xsi:type="dcterms:W3CDTF">2025-10-16T00:19:00Z</dcterms:created>
  <dcterms:modified xsi:type="dcterms:W3CDTF">2025-10-21T02:44:00Z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ABC3AF57F429443B99D0B576A3011E05_13</vt:lpwstr>
  </property>
  <property fmtid="{D5CDD505-2E9C-101B-9397-08002B2CF9AE}" pid="4" name="KSOTemplateDocerSaveRecord">
    <vt:lpwstr>eyJoZGlkIjoiYjQ2MzI4MjcwMTcxM2E0YTM2N2FjMzlhMWI1MWE2MjEiLCJ1c2VySWQiOiI5MzMzNzY0MTIifQ==</vt:lpwstr>
  </property>
  <property fmtid="{D5CDD505-2E9C-101B-9397-08002B2CF9AE}" pid="5" name="_MarkAsFinal">
    <vt:bool>true</vt:bool>
  </property>
</Properties>
</file>