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BFDFD">
      <w:pPr>
        <w:tabs>
          <w:tab w:val="left" w:pos="709"/>
        </w:tabs>
        <w:spacing w:line="360" w:lineRule="auto"/>
        <w:jc w:val="center"/>
        <w:rPr>
          <w:rFonts w:ascii="宋体" w:hAnsi="宋体"/>
          <w:b/>
          <w:bCs/>
          <w:sz w:val="22"/>
          <w:szCs w:val="22"/>
        </w:rPr>
      </w:pPr>
      <w:bookmarkStart w:id="5" w:name="_GoBack"/>
      <w:bookmarkEnd w:id="5"/>
      <w:bookmarkStart w:id="0" w:name="_Hlk489617946"/>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2362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8D34980">
            <w:pPr>
              <w:jc w:val="center"/>
              <w:rPr>
                <w:rFonts w:ascii="宋体" w:hAnsi="宋体"/>
              </w:rPr>
            </w:pPr>
            <w:r>
              <w:rPr>
                <w:rFonts w:ascii="宋体" w:hAnsi="宋体"/>
                <w:b/>
                <w:sz w:val="22"/>
                <w:szCs w:val="22"/>
              </w:rPr>
              <w:t>版本号</w:t>
            </w:r>
          </w:p>
        </w:tc>
        <w:tc>
          <w:tcPr>
            <w:tcW w:w="1401" w:type="dxa"/>
            <w:shd w:val="clear" w:color="auto" w:fill="auto"/>
            <w:vAlign w:val="center"/>
          </w:tcPr>
          <w:p w14:paraId="493A9A98">
            <w:pPr>
              <w:jc w:val="center"/>
              <w:rPr>
                <w:rFonts w:ascii="宋体" w:hAnsi="宋体"/>
              </w:rPr>
            </w:pPr>
            <w:r>
              <w:rPr>
                <w:rFonts w:ascii="宋体" w:hAnsi="宋体"/>
                <w:b/>
                <w:sz w:val="22"/>
                <w:szCs w:val="22"/>
              </w:rPr>
              <w:t>文件更改号</w:t>
            </w:r>
          </w:p>
        </w:tc>
        <w:tc>
          <w:tcPr>
            <w:tcW w:w="4739" w:type="dxa"/>
            <w:shd w:val="clear" w:color="auto" w:fill="auto"/>
            <w:vAlign w:val="center"/>
          </w:tcPr>
          <w:p w14:paraId="3020A48D">
            <w:pPr>
              <w:jc w:val="center"/>
              <w:rPr>
                <w:rFonts w:ascii="宋体" w:hAnsi="宋体"/>
              </w:rPr>
            </w:pPr>
            <w:r>
              <w:rPr>
                <w:rFonts w:ascii="宋体" w:hAnsi="宋体"/>
                <w:b/>
                <w:bCs/>
                <w:sz w:val="22"/>
                <w:szCs w:val="22"/>
              </w:rPr>
              <w:t>更改概要</w:t>
            </w:r>
          </w:p>
        </w:tc>
        <w:tc>
          <w:tcPr>
            <w:tcW w:w="1738" w:type="dxa"/>
            <w:vAlign w:val="center"/>
          </w:tcPr>
          <w:p w14:paraId="2B124BAE">
            <w:pPr>
              <w:jc w:val="center"/>
              <w:rPr>
                <w:rFonts w:ascii="宋体" w:hAnsi="宋体"/>
                <w:b/>
                <w:bCs/>
              </w:rPr>
            </w:pPr>
            <w:r>
              <w:rPr>
                <w:rFonts w:ascii="宋体" w:hAnsi="宋体"/>
                <w:b/>
                <w:bCs/>
                <w:sz w:val="22"/>
                <w:szCs w:val="22"/>
              </w:rPr>
              <w:t>修改人</w:t>
            </w:r>
          </w:p>
        </w:tc>
        <w:tc>
          <w:tcPr>
            <w:tcW w:w="1736" w:type="dxa"/>
            <w:vAlign w:val="center"/>
          </w:tcPr>
          <w:p w14:paraId="39500E08">
            <w:pPr>
              <w:jc w:val="center"/>
              <w:rPr>
                <w:rFonts w:ascii="宋体" w:hAnsi="宋体"/>
                <w:b/>
                <w:bCs/>
              </w:rPr>
            </w:pPr>
            <w:r>
              <w:rPr>
                <w:rFonts w:ascii="宋体" w:hAnsi="宋体"/>
                <w:b/>
                <w:bCs/>
                <w:sz w:val="22"/>
                <w:szCs w:val="22"/>
              </w:rPr>
              <w:t>批准人</w:t>
            </w:r>
          </w:p>
        </w:tc>
      </w:tr>
      <w:tr w14:paraId="1E0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205DED3">
            <w:pPr>
              <w:jc w:val="center"/>
              <w:rPr>
                <w:rFonts w:ascii="宋体" w:hAnsi="宋体"/>
              </w:rPr>
            </w:pPr>
            <w:r>
              <w:rPr>
                <w:rFonts w:ascii="宋体" w:hAnsi="宋体"/>
                <w:sz w:val="22"/>
                <w:szCs w:val="22"/>
              </w:rPr>
              <w:t>01</w:t>
            </w:r>
          </w:p>
        </w:tc>
        <w:tc>
          <w:tcPr>
            <w:tcW w:w="1401" w:type="dxa"/>
            <w:shd w:val="clear" w:color="auto" w:fill="auto"/>
            <w:vAlign w:val="center"/>
          </w:tcPr>
          <w:p w14:paraId="3420E0E9">
            <w:pPr>
              <w:jc w:val="center"/>
              <w:rPr>
                <w:rFonts w:ascii="宋体" w:hAnsi="宋体"/>
              </w:rPr>
            </w:pPr>
            <w:r>
              <w:rPr>
                <w:rFonts w:ascii="宋体" w:hAnsi="宋体"/>
                <w:sz w:val="22"/>
                <w:szCs w:val="22"/>
              </w:rPr>
              <w:t>首发行</w:t>
            </w:r>
          </w:p>
        </w:tc>
        <w:tc>
          <w:tcPr>
            <w:tcW w:w="4739" w:type="dxa"/>
            <w:shd w:val="clear" w:color="auto" w:fill="auto"/>
            <w:vAlign w:val="center"/>
          </w:tcPr>
          <w:p w14:paraId="6D7B00AA">
            <w:pPr>
              <w:jc w:val="center"/>
              <w:rPr>
                <w:rFonts w:ascii="宋体" w:hAnsi="宋体"/>
                <w:lang w:eastAsia="zh-TW"/>
              </w:rPr>
            </w:pPr>
            <w:r>
              <w:rPr>
                <w:rFonts w:hint="eastAsia" w:ascii="宋体" w:hAnsi="宋体"/>
                <w:sz w:val="22"/>
                <w:szCs w:val="22"/>
                <w:lang w:eastAsia="zh-TW"/>
              </w:rPr>
              <w:t>/</w:t>
            </w:r>
          </w:p>
        </w:tc>
        <w:tc>
          <w:tcPr>
            <w:tcW w:w="1738" w:type="dxa"/>
            <w:vAlign w:val="center"/>
          </w:tcPr>
          <w:p w14:paraId="42D00F16">
            <w:pPr>
              <w:jc w:val="center"/>
              <w:rPr>
                <w:rFonts w:ascii="宋体" w:hAnsi="宋体"/>
              </w:rPr>
            </w:pPr>
            <w:r>
              <w:rPr>
                <w:rFonts w:ascii="宋体" w:hAnsi="宋体"/>
                <w:sz w:val="22"/>
                <w:szCs w:val="22"/>
              </w:rPr>
              <w:t>/</w:t>
            </w:r>
          </w:p>
        </w:tc>
        <w:tc>
          <w:tcPr>
            <w:tcW w:w="1736" w:type="dxa"/>
            <w:vAlign w:val="center"/>
          </w:tcPr>
          <w:p w14:paraId="66505FD2">
            <w:pPr>
              <w:jc w:val="center"/>
              <w:rPr>
                <w:rFonts w:ascii="宋体" w:hAnsi="宋体"/>
              </w:rPr>
            </w:pPr>
            <w:r>
              <w:rPr>
                <w:rFonts w:ascii="宋体" w:hAnsi="宋体"/>
                <w:sz w:val="22"/>
                <w:szCs w:val="22"/>
              </w:rPr>
              <w:t>/</w:t>
            </w:r>
          </w:p>
        </w:tc>
      </w:tr>
      <w:tr w14:paraId="1644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CBE23A2">
            <w:pPr>
              <w:jc w:val="center"/>
              <w:rPr>
                <w:rFonts w:ascii="宋体" w:hAnsi="宋体"/>
              </w:rPr>
            </w:pPr>
          </w:p>
        </w:tc>
        <w:tc>
          <w:tcPr>
            <w:tcW w:w="1401" w:type="dxa"/>
            <w:shd w:val="clear" w:color="auto" w:fill="auto"/>
            <w:vAlign w:val="center"/>
          </w:tcPr>
          <w:p w14:paraId="45859758">
            <w:pPr>
              <w:jc w:val="center"/>
              <w:rPr>
                <w:rFonts w:ascii="宋体" w:hAnsi="宋体"/>
              </w:rPr>
            </w:pPr>
          </w:p>
        </w:tc>
        <w:tc>
          <w:tcPr>
            <w:tcW w:w="4739" w:type="dxa"/>
            <w:shd w:val="clear" w:color="auto" w:fill="auto"/>
            <w:vAlign w:val="center"/>
          </w:tcPr>
          <w:p w14:paraId="72D12DD8">
            <w:pPr>
              <w:jc w:val="center"/>
              <w:rPr>
                <w:rFonts w:ascii="宋体" w:hAnsi="宋体"/>
              </w:rPr>
            </w:pPr>
          </w:p>
        </w:tc>
        <w:tc>
          <w:tcPr>
            <w:tcW w:w="1738" w:type="dxa"/>
            <w:vAlign w:val="center"/>
          </w:tcPr>
          <w:p w14:paraId="672F20AE">
            <w:pPr>
              <w:jc w:val="center"/>
              <w:rPr>
                <w:rFonts w:ascii="宋体" w:hAnsi="宋体"/>
              </w:rPr>
            </w:pPr>
          </w:p>
        </w:tc>
        <w:tc>
          <w:tcPr>
            <w:tcW w:w="1736" w:type="dxa"/>
            <w:vAlign w:val="center"/>
          </w:tcPr>
          <w:p w14:paraId="60458702">
            <w:pPr>
              <w:jc w:val="center"/>
              <w:rPr>
                <w:rFonts w:ascii="宋体" w:hAnsi="宋体"/>
              </w:rPr>
            </w:pPr>
          </w:p>
        </w:tc>
      </w:tr>
      <w:tr w14:paraId="341E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3C8499E">
            <w:pPr>
              <w:jc w:val="center"/>
              <w:rPr>
                <w:rFonts w:ascii="宋体" w:hAnsi="宋体"/>
              </w:rPr>
            </w:pPr>
          </w:p>
        </w:tc>
        <w:tc>
          <w:tcPr>
            <w:tcW w:w="1401" w:type="dxa"/>
            <w:shd w:val="clear" w:color="auto" w:fill="auto"/>
            <w:vAlign w:val="center"/>
          </w:tcPr>
          <w:p w14:paraId="0D360A5B">
            <w:pPr>
              <w:jc w:val="center"/>
              <w:rPr>
                <w:rFonts w:ascii="宋体" w:hAnsi="宋体"/>
              </w:rPr>
            </w:pPr>
          </w:p>
        </w:tc>
        <w:tc>
          <w:tcPr>
            <w:tcW w:w="4739" w:type="dxa"/>
            <w:shd w:val="clear" w:color="auto" w:fill="auto"/>
            <w:vAlign w:val="center"/>
          </w:tcPr>
          <w:p w14:paraId="3FA1A41D">
            <w:pPr>
              <w:jc w:val="center"/>
              <w:rPr>
                <w:rFonts w:ascii="宋体" w:hAnsi="宋体"/>
              </w:rPr>
            </w:pPr>
          </w:p>
        </w:tc>
        <w:tc>
          <w:tcPr>
            <w:tcW w:w="1738" w:type="dxa"/>
            <w:vAlign w:val="center"/>
          </w:tcPr>
          <w:p w14:paraId="7FA88645">
            <w:pPr>
              <w:jc w:val="center"/>
              <w:rPr>
                <w:rFonts w:ascii="宋体" w:hAnsi="宋体"/>
              </w:rPr>
            </w:pPr>
          </w:p>
        </w:tc>
        <w:tc>
          <w:tcPr>
            <w:tcW w:w="1736" w:type="dxa"/>
            <w:vAlign w:val="center"/>
          </w:tcPr>
          <w:p w14:paraId="30108F4B">
            <w:pPr>
              <w:jc w:val="center"/>
              <w:rPr>
                <w:rFonts w:ascii="宋体" w:hAnsi="宋体"/>
              </w:rPr>
            </w:pPr>
          </w:p>
        </w:tc>
      </w:tr>
      <w:tr w14:paraId="35B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E75C908">
            <w:pPr>
              <w:jc w:val="center"/>
              <w:rPr>
                <w:rFonts w:ascii="宋体" w:hAnsi="宋体"/>
              </w:rPr>
            </w:pPr>
          </w:p>
        </w:tc>
        <w:tc>
          <w:tcPr>
            <w:tcW w:w="1401" w:type="dxa"/>
            <w:shd w:val="clear" w:color="auto" w:fill="auto"/>
            <w:vAlign w:val="center"/>
          </w:tcPr>
          <w:p w14:paraId="413881FD">
            <w:pPr>
              <w:jc w:val="center"/>
              <w:rPr>
                <w:rFonts w:ascii="宋体" w:hAnsi="宋体"/>
              </w:rPr>
            </w:pPr>
          </w:p>
        </w:tc>
        <w:tc>
          <w:tcPr>
            <w:tcW w:w="4739" w:type="dxa"/>
            <w:shd w:val="clear" w:color="auto" w:fill="auto"/>
            <w:vAlign w:val="center"/>
          </w:tcPr>
          <w:p w14:paraId="4A1FCA26">
            <w:pPr>
              <w:jc w:val="center"/>
              <w:rPr>
                <w:rFonts w:ascii="宋体" w:hAnsi="宋体"/>
              </w:rPr>
            </w:pPr>
          </w:p>
        </w:tc>
        <w:tc>
          <w:tcPr>
            <w:tcW w:w="1738" w:type="dxa"/>
            <w:vAlign w:val="center"/>
          </w:tcPr>
          <w:p w14:paraId="3A4298FD">
            <w:pPr>
              <w:jc w:val="center"/>
              <w:rPr>
                <w:rFonts w:ascii="宋体" w:hAnsi="宋体"/>
              </w:rPr>
            </w:pPr>
          </w:p>
        </w:tc>
        <w:tc>
          <w:tcPr>
            <w:tcW w:w="1736" w:type="dxa"/>
            <w:vAlign w:val="center"/>
          </w:tcPr>
          <w:p w14:paraId="04FF9229">
            <w:pPr>
              <w:jc w:val="center"/>
              <w:rPr>
                <w:rFonts w:ascii="宋体" w:hAnsi="宋体"/>
              </w:rPr>
            </w:pPr>
          </w:p>
        </w:tc>
      </w:tr>
      <w:tr w14:paraId="5E5C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33803E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0D2D2B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0FEEEA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EF66A5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6791C69">
            <w:pPr>
              <w:jc w:val="center"/>
              <w:rPr>
                <w:rFonts w:ascii="宋体" w:hAnsi="宋体"/>
              </w:rPr>
            </w:pPr>
          </w:p>
        </w:tc>
      </w:tr>
      <w:tr w14:paraId="491F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9B320C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FE23EE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53FA5B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1FFF47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751213E">
            <w:pPr>
              <w:jc w:val="center"/>
              <w:rPr>
                <w:rFonts w:ascii="宋体" w:hAnsi="宋体"/>
              </w:rPr>
            </w:pPr>
          </w:p>
        </w:tc>
      </w:tr>
      <w:tr w14:paraId="27A2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F0CEA0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465F3E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73F0CE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86FBF3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2F7446C">
            <w:pPr>
              <w:jc w:val="center"/>
              <w:rPr>
                <w:rFonts w:ascii="宋体" w:hAnsi="宋体"/>
              </w:rPr>
            </w:pPr>
          </w:p>
        </w:tc>
      </w:tr>
      <w:tr w14:paraId="1DF4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C834E1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94FFF7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14378E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18AE9E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4513697">
            <w:pPr>
              <w:jc w:val="center"/>
              <w:rPr>
                <w:rFonts w:ascii="宋体" w:hAnsi="宋体"/>
              </w:rPr>
            </w:pPr>
          </w:p>
        </w:tc>
      </w:tr>
      <w:tr w14:paraId="41A2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91873C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14032B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7C6A48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E77518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7E89398">
            <w:pPr>
              <w:jc w:val="center"/>
              <w:rPr>
                <w:rFonts w:ascii="宋体" w:hAnsi="宋体"/>
              </w:rPr>
            </w:pPr>
          </w:p>
        </w:tc>
      </w:tr>
      <w:tr w14:paraId="2829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C8017E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03913C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E2C7BE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6324C9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512FCF2">
            <w:pPr>
              <w:jc w:val="center"/>
              <w:rPr>
                <w:rFonts w:ascii="宋体" w:hAnsi="宋体"/>
              </w:rPr>
            </w:pPr>
          </w:p>
        </w:tc>
      </w:tr>
      <w:tr w14:paraId="370E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5B87BE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18ADAA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930294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780DDA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F305537">
            <w:pPr>
              <w:jc w:val="center"/>
              <w:rPr>
                <w:rFonts w:ascii="宋体" w:hAnsi="宋体"/>
              </w:rPr>
            </w:pPr>
          </w:p>
        </w:tc>
      </w:tr>
      <w:tr w14:paraId="0B4D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D4866C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495C6A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FADC0B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6FD262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7A66A45">
            <w:pPr>
              <w:jc w:val="center"/>
              <w:rPr>
                <w:rFonts w:ascii="宋体" w:hAnsi="宋体"/>
              </w:rPr>
            </w:pPr>
          </w:p>
        </w:tc>
      </w:tr>
      <w:tr w14:paraId="3673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9BD26A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874592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E76D86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B3F445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8E25D13">
            <w:pPr>
              <w:jc w:val="center"/>
              <w:rPr>
                <w:rFonts w:ascii="宋体" w:hAnsi="宋体"/>
              </w:rPr>
            </w:pPr>
          </w:p>
        </w:tc>
      </w:tr>
      <w:tr w14:paraId="3B35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B77972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CF715E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D5F571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39A054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3DB4571">
            <w:pPr>
              <w:jc w:val="center"/>
              <w:rPr>
                <w:rFonts w:ascii="宋体" w:hAnsi="宋体"/>
              </w:rPr>
            </w:pPr>
          </w:p>
        </w:tc>
      </w:tr>
      <w:tr w14:paraId="1903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DA7D8D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073702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01B573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BCF107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D4FCA69">
            <w:pPr>
              <w:jc w:val="center"/>
              <w:rPr>
                <w:rFonts w:ascii="宋体" w:hAnsi="宋体"/>
              </w:rPr>
            </w:pPr>
          </w:p>
        </w:tc>
      </w:tr>
      <w:tr w14:paraId="1129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F51D3E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AAB26E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14168E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F1BC6D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0D6279F">
            <w:pPr>
              <w:jc w:val="center"/>
              <w:rPr>
                <w:rFonts w:ascii="宋体" w:hAnsi="宋体"/>
              </w:rPr>
            </w:pPr>
          </w:p>
        </w:tc>
      </w:tr>
      <w:tr w14:paraId="2CA7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813EE4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8004DA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1E3B7B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93B0B5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9DA695D">
            <w:pPr>
              <w:jc w:val="center"/>
              <w:rPr>
                <w:rFonts w:ascii="宋体" w:hAnsi="宋体"/>
              </w:rPr>
            </w:pPr>
          </w:p>
        </w:tc>
      </w:tr>
      <w:tr w14:paraId="1DF7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77C644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8ADD49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BEC011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771883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B565628">
            <w:pPr>
              <w:jc w:val="center"/>
              <w:rPr>
                <w:rFonts w:ascii="宋体" w:hAnsi="宋体"/>
              </w:rPr>
            </w:pPr>
          </w:p>
        </w:tc>
      </w:tr>
      <w:tr w14:paraId="2289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E2102C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E8A686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352B7D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C4591C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6B910CB">
            <w:pPr>
              <w:jc w:val="center"/>
              <w:rPr>
                <w:rFonts w:ascii="宋体" w:hAnsi="宋体"/>
              </w:rPr>
            </w:pPr>
          </w:p>
        </w:tc>
      </w:tr>
      <w:tr w14:paraId="40AA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22FC5C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22D218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D0B2BA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6FE97D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CE56455">
            <w:pPr>
              <w:jc w:val="center"/>
              <w:rPr>
                <w:rFonts w:ascii="宋体" w:hAnsi="宋体"/>
              </w:rPr>
            </w:pPr>
          </w:p>
        </w:tc>
      </w:tr>
      <w:tr w14:paraId="3D7C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D2A698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21362E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B1914E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AB1EF8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B25BAA3">
            <w:pPr>
              <w:jc w:val="center"/>
              <w:rPr>
                <w:rFonts w:ascii="宋体" w:hAnsi="宋体"/>
              </w:rPr>
            </w:pPr>
          </w:p>
        </w:tc>
      </w:tr>
      <w:tr w14:paraId="7D30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4DDC7F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8CC7E6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EF5C8C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EEA61B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4EF3B99">
            <w:pPr>
              <w:jc w:val="center"/>
              <w:rPr>
                <w:rFonts w:ascii="宋体" w:hAnsi="宋体"/>
              </w:rPr>
            </w:pPr>
          </w:p>
        </w:tc>
      </w:tr>
      <w:tr w14:paraId="13BE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9FABCA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1FAF25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65512F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B9EEA6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AC70404">
            <w:pPr>
              <w:jc w:val="center"/>
              <w:rPr>
                <w:rFonts w:ascii="宋体" w:hAnsi="宋体"/>
              </w:rPr>
            </w:pPr>
          </w:p>
        </w:tc>
      </w:tr>
      <w:tr w14:paraId="43A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7BBBB4A">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BF352F">
            <w:pPr>
              <w:ind w:left="1006"/>
              <w:jc w:val="left"/>
              <w:rPr>
                <w:rFonts w:ascii="宋体" w:hAnsi="宋体"/>
                <w:sz w:val="20"/>
                <w:szCs w:val="21"/>
              </w:rPr>
            </w:pPr>
          </w:p>
          <w:p w14:paraId="3AB3E6FA">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2E3F8546">
      <w:pPr>
        <w:spacing w:line="360" w:lineRule="auto"/>
        <w:rPr>
          <w:rFonts w:ascii="宋体" w:hAnsi="宋体"/>
          <w:b/>
          <w:sz w:val="22"/>
          <w:szCs w:val="22"/>
        </w:rPr>
      </w:pPr>
    </w:p>
    <w:p w14:paraId="3D546ADD">
      <w:pPr>
        <w:spacing w:line="360" w:lineRule="auto"/>
        <w:rPr>
          <w:rFonts w:ascii="宋体" w:hAnsi="宋体"/>
          <w:b/>
          <w:sz w:val="22"/>
          <w:szCs w:val="22"/>
        </w:rPr>
      </w:pPr>
    </w:p>
    <w:p w14:paraId="67F1B7CB">
      <w:pPr>
        <w:rPr>
          <w:rFonts w:eastAsiaTheme="minorEastAsia"/>
        </w:rPr>
      </w:pPr>
    </w:p>
    <w:p w14:paraId="6235216D">
      <w:pPr>
        <w:numPr>
          <w:ilvl w:val="0"/>
          <w:numId w:val="1"/>
        </w:numPr>
        <w:tabs>
          <w:tab w:val="left" w:pos="540"/>
          <w:tab w:val="clear" w:pos="420"/>
        </w:tabs>
        <w:adjustRightInd w:val="0"/>
        <w:snapToGrid w:val="0"/>
        <w:rPr>
          <w:rFonts w:asciiTheme="minorHAnsi" w:hAnsiTheme="minorHAnsi" w:eastAsiaTheme="minorEastAsia" w:cstheme="minorBidi"/>
          <w:b/>
          <w:color w:val="000000"/>
          <w:lang w:eastAsia="zh-TW"/>
        </w:rPr>
      </w:pPr>
      <w:r>
        <w:rPr>
          <w:rFonts w:hint="eastAsia"/>
          <w:b/>
          <w:color w:val="000000"/>
        </w:rPr>
        <w:t>目的</w:t>
      </w:r>
    </w:p>
    <w:p w14:paraId="13039351">
      <w:pPr>
        <w:adjustRightInd w:val="0"/>
        <w:snapToGrid w:val="0"/>
        <w:ind w:firstLine="392" w:firstLineChars="187"/>
      </w:pPr>
    </w:p>
    <w:p w14:paraId="61F0C032">
      <w:pPr>
        <w:adjustRightInd w:val="0"/>
        <w:snapToGrid w:val="0"/>
        <w:ind w:firstLine="472" w:firstLineChars="225"/>
        <w:rPr>
          <w:lang w:eastAsia="zh-TW"/>
        </w:rPr>
      </w:pPr>
      <w:r>
        <w:rPr>
          <w:rFonts w:hint="eastAsia"/>
        </w:rPr>
        <w:t>本程序概述了临床评价的基本方针和要求。</w:t>
      </w:r>
    </w:p>
    <w:p w14:paraId="024120D1">
      <w:pPr>
        <w:adjustRightInd w:val="0"/>
        <w:snapToGrid w:val="0"/>
        <w:ind w:firstLine="392" w:firstLineChars="187"/>
        <w:rPr>
          <w:lang w:eastAsia="zh-TW"/>
        </w:rPr>
      </w:pPr>
    </w:p>
    <w:p w14:paraId="0F0F0C57">
      <w:pPr>
        <w:numPr>
          <w:ilvl w:val="0"/>
          <w:numId w:val="1"/>
        </w:numPr>
        <w:tabs>
          <w:tab w:val="left" w:pos="540"/>
          <w:tab w:val="clear" w:pos="420"/>
        </w:tabs>
        <w:adjustRightInd w:val="0"/>
        <w:snapToGrid w:val="0"/>
        <w:rPr>
          <w:b/>
          <w:color w:val="000000"/>
          <w:lang w:eastAsia="zh-TW"/>
        </w:rPr>
      </w:pPr>
      <w:r>
        <w:rPr>
          <w:rFonts w:hint="eastAsia"/>
          <w:b/>
          <w:color w:val="000000"/>
        </w:rPr>
        <w:t>范围</w:t>
      </w:r>
    </w:p>
    <w:p w14:paraId="6A9F7107">
      <w:pPr>
        <w:adjustRightInd w:val="0"/>
        <w:snapToGrid w:val="0"/>
        <w:ind w:left="394" w:leftChars="187" w:hanging="1"/>
        <w:rPr>
          <w:color w:val="000000"/>
        </w:rPr>
      </w:pPr>
    </w:p>
    <w:p w14:paraId="67605A34">
      <w:pPr>
        <w:adjustRightInd w:val="0"/>
        <w:snapToGrid w:val="0"/>
        <w:ind w:firstLine="472" w:firstLineChars="225"/>
      </w:pPr>
      <w:r>
        <w:rPr>
          <w:rFonts w:hint="eastAsia"/>
          <w:color w:val="000000"/>
          <w:lang w:eastAsia="zh-TW"/>
        </w:rPr>
        <w:t>本程序适用于</w:t>
      </w:r>
      <w:r>
        <w:rPr>
          <w:rFonts w:hint="eastAsia"/>
        </w:rPr>
        <w:t>所有</w:t>
      </w:r>
      <w:r>
        <w:rPr>
          <w:rFonts w:hint="eastAsia"/>
          <w:color w:val="000000"/>
        </w:rPr>
        <w:t>公司制造的上市前批准的产品</w:t>
      </w:r>
      <w:r>
        <w:rPr>
          <w:rFonts w:hint="eastAsia"/>
        </w:rPr>
        <w:t>。</w:t>
      </w:r>
    </w:p>
    <w:p w14:paraId="72D575B9">
      <w:pPr>
        <w:adjustRightInd w:val="0"/>
        <w:snapToGrid w:val="0"/>
        <w:ind w:firstLine="495" w:firstLineChars="236"/>
        <w:rPr>
          <w:color w:val="000000"/>
          <w:lang w:eastAsia="zh-TW"/>
        </w:rPr>
      </w:pPr>
    </w:p>
    <w:p w14:paraId="4BCA8619">
      <w:pPr>
        <w:numPr>
          <w:ilvl w:val="0"/>
          <w:numId w:val="1"/>
        </w:numPr>
        <w:tabs>
          <w:tab w:val="left" w:pos="540"/>
          <w:tab w:val="clear" w:pos="420"/>
        </w:tabs>
        <w:adjustRightInd w:val="0"/>
        <w:snapToGrid w:val="0"/>
        <w:rPr>
          <w:b/>
          <w:lang w:eastAsia="zh-TW"/>
        </w:rPr>
      </w:pPr>
      <w:r>
        <w:rPr>
          <w:rFonts w:hint="eastAsia"/>
          <w:b/>
          <w:color w:val="000000"/>
        </w:rPr>
        <w:t>定义</w:t>
      </w:r>
    </w:p>
    <w:p w14:paraId="351A63B5">
      <w:pPr>
        <w:adjustRightInd w:val="0"/>
        <w:snapToGrid w:val="0"/>
        <w:rPr>
          <w:b/>
          <w:lang w:eastAsia="zh-TW"/>
        </w:rPr>
      </w:pPr>
    </w:p>
    <w:tbl>
      <w:tblPr>
        <w:tblStyle w:val="12"/>
        <w:tblW w:w="8055" w:type="dxa"/>
        <w:tblInd w:w="468" w:type="dxa"/>
        <w:tblLayout w:type="fixed"/>
        <w:tblCellMar>
          <w:top w:w="0" w:type="dxa"/>
          <w:left w:w="108" w:type="dxa"/>
          <w:bottom w:w="0" w:type="dxa"/>
          <w:right w:w="108" w:type="dxa"/>
        </w:tblCellMar>
      </w:tblPr>
      <w:tblGrid>
        <w:gridCol w:w="1551"/>
        <w:gridCol w:w="6504"/>
      </w:tblGrid>
      <w:tr w14:paraId="2776857F">
        <w:tblPrEx>
          <w:tblCellMar>
            <w:top w:w="0" w:type="dxa"/>
            <w:left w:w="108" w:type="dxa"/>
            <w:bottom w:w="0" w:type="dxa"/>
            <w:right w:w="108" w:type="dxa"/>
          </w:tblCellMar>
        </w:tblPrEx>
        <w:trPr>
          <w:trHeight w:val="1253" w:hRule="atLeast"/>
        </w:trPr>
        <w:tc>
          <w:tcPr>
            <w:tcW w:w="1552" w:type="dxa"/>
          </w:tcPr>
          <w:p w14:paraId="14465FBC">
            <w:pPr>
              <w:tabs>
                <w:tab w:val="left" w:pos="720"/>
              </w:tabs>
              <w:adjustRightInd w:val="0"/>
              <w:snapToGrid w:val="0"/>
              <w:ind w:left="63" w:leftChars="30"/>
            </w:pPr>
            <w:r>
              <w:rPr>
                <w:rFonts w:hint="eastAsia"/>
              </w:rPr>
              <w:t>临床评价</w:t>
            </w:r>
            <w:r>
              <w:t xml:space="preserve"> </w:t>
            </w:r>
          </w:p>
        </w:tc>
        <w:tc>
          <w:tcPr>
            <w:tcW w:w="6508" w:type="dxa"/>
          </w:tcPr>
          <w:p w14:paraId="44C86248">
            <w:pPr>
              <w:autoSpaceDE w:val="0"/>
              <w:autoSpaceDN w:val="0"/>
              <w:adjustRightInd w:val="0"/>
              <w:snapToGrid w:val="0"/>
              <w:ind w:left="210" w:leftChars="100"/>
            </w:pPr>
            <w:r>
              <w:rPr>
                <w:rFonts w:hint="eastAsia"/>
              </w:rPr>
              <w:t>一种方法学上合理持续的程序，用以收集、评价和分析与医疗器械有关的临床数据，并评价当按照制造商说明书使用器械时是否有充分的临床证据证明其符合安全和性能相关的基本要求。（参考</w:t>
            </w:r>
            <w:r>
              <w:t>MEDDEV 2.7/1 revision 4</w:t>
            </w:r>
            <w:r>
              <w:rPr>
                <w:rFonts w:hint="eastAsia"/>
              </w:rPr>
              <w:t>）</w:t>
            </w:r>
          </w:p>
          <w:p w14:paraId="7C5DF8A3">
            <w:pPr>
              <w:autoSpaceDE w:val="0"/>
              <w:autoSpaceDN w:val="0"/>
              <w:adjustRightInd w:val="0"/>
              <w:snapToGrid w:val="0"/>
            </w:pPr>
          </w:p>
        </w:tc>
      </w:tr>
      <w:tr w14:paraId="15040A8B">
        <w:tblPrEx>
          <w:tblCellMar>
            <w:top w:w="0" w:type="dxa"/>
            <w:left w:w="108" w:type="dxa"/>
            <w:bottom w:w="0" w:type="dxa"/>
            <w:right w:w="108" w:type="dxa"/>
          </w:tblCellMar>
        </w:tblPrEx>
        <w:trPr>
          <w:trHeight w:val="747" w:hRule="atLeast"/>
        </w:trPr>
        <w:tc>
          <w:tcPr>
            <w:tcW w:w="1552" w:type="dxa"/>
          </w:tcPr>
          <w:p w14:paraId="758E57AE">
            <w:pPr>
              <w:tabs>
                <w:tab w:val="left" w:pos="720"/>
              </w:tabs>
              <w:adjustRightInd w:val="0"/>
              <w:snapToGrid w:val="0"/>
              <w:ind w:left="63" w:leftChars="30"/>
            </w:pPr>
            <w:r>
              <w:rPr>
                <w:rFonts w:hint="eastAsia"/>
              </w:rPr>
              <w:t>临床研究</w:t>
            </w:r>
            <w:r>
              <w:t xml:space="preserve"> </w:t>
            </w:r>
          </w:p>
          <w:p w14:paraId="4BD50DD2">
            <w:pPr>
              <w:tabs>
                <w:tab w:val="left" w:pos="720"/>
              </w:tabs>
              <w:adjustRightInd w:val="0"/>
              <w:snapToGrid w:val="0"/>
            </w:pPr>
            <w:r>
              <w:rPr>
                <w:rFonts w:hint="eastAsia"/>
              </w:rPr>
              <w:t>（临床试验）</w:t>
            </w:r>
          </w:p>
          <w:p w14:paraId="59244C71">
            <w:pPr>
              <w:tabs>
                <w:tab w:val="left" w:pos="720"/>
              </w:tabs>
              <w:adjustRightInd w:val="0"/>
              <w:snapToGrid w:val="0"/>
              <w:rPr>
                <w:lang w:eastAsia="zh-TW"/>
              </w:rPr>
            </w:pPr>
          </w:p>
        </w:tc>
        <w:tc>
          <w:tcPr>
            <w:tcW w:w="6508" w:type="dxa"/>
          </w:tcPr>
          <w:p w14:paraId="2F581936">
            <w:pPr>
              <w:autoSpaceDE w:val="0"/>
              <w:autoSpaceDN w:val="0"/>
              <w:adjustRightInd w:val="0"/>
              <w:snapToGrid w:val="0"/>
              <w:ind w:left="214" w:leftChars="102"/>
            </w:pPr>
            <w:r>
              <w:rPr>
                <w:rFonts w:hint="eastAsia"/>
              </w:rPr>
              <w:t>在一个或多个受试者上进行的系统性研究以验证医疗器械的安全或性能。</w:t>
            </w:r>
            <w:bookmarkStart w:id="1" w:name="OLE_LINK5"/>
            <w:bookmarkStart w:id="2" w:name="OLE_LINK6"/>
            <w:r>
              <w:rPr>
                <w:rFonts w:hint="eastAsia"/>
              </w:rPr>
              <w:t>（参考</w:t>
            </w:r>
            <w:r>
              <w:t>MEDDEV 2.7/1 revision 4</w:t>
            </w:r>
            <w:r>
              <w:rPr>
                <w:rFonts w:hint="eastAsia"/>
              </w:rPr>
              <w:t>）</w:t>
            </w:r>
            <w:bookmarkEnd w:id="1"/>
            <w:bookmarkEnd w:id="2"/>
          </w:p>
        </w:tc>
      </w:tr>
      <w:tr w14:paraId="1190FC10">
        <w:tblPrEx>
          <w:tblCellMar>
            <w:top w:w="0" w:type="dxa"/>
            <w:left w:w="108" w:type="dxa"/>
            <w:bottom w:w="0" w:type="dxa"/>
            <w:right w:w="108" w:type="dxa"/>
          </w:tblCellMar>
        </w:tblPrEx>
        <w:trPr>
          <w:trHeight w:val="762" w:hRule="atLeast"/>
        </w:trPr>
        <w:tc>
          <w:tcPr>
            <w:tcW w:w="1552" w:type="dxa"/>
          </w:tcPr>
          <w:p w14:paraId="02CD4025">
            <w:pPr>
              <w:tabs>
                <w:tab w:val="left" w:pos="720"/>
              </w:tabs>
              <w:adjustRightInd w:val="0"/>
              <w:snapToGrid w:val="0"/>
              <w:ind w:left="88" w:leftChars="42"/>
            </w:pPr>
            <w:r>
              <w:rPr>
                <w:rFonts w:hint="eastAsia"/>
              </w:rPr>
              <w:t>临床研究方案（以下简称</w:t>
            </w:r>
            <w:r>
              <w:t>CIP</w:t>
            </w:r>
            <w:r>
              <w:rPr>
                <w:rFonts w:hint="eastAsia"/>
              </w:rPr>
              <w:t>）</w:t>
            </w:r>
          </w:p>
        </w:tc>
        <w:tc>
          <w:tcPr>
            <w:tcW w:w="6508" w:type="dxa"/>
          </w:tcPr>
          <w:p w14:paraId="037075A1">
            <w:pPr>
              <w:autoSpaceDE w:val="0"/>
              <w:autoSpaceDN w:val="0"/>
              <w:adjustRightInd w:val="0"/>
              <w:snapToGrid w:val="0"/>
              <w:ind w:left="210" w:leftChars="100"/>
              <w:rPr>
                <w:lang w:eastAsia="zh-TW"/>
              </w:rPr>
            </w:pPr>
            <w:r>
              <w:rPr>
                <w:rFonts w:hint="eastAsia"/>
              </w:rPr>
              <w:t>阐述临床研究的基本原理、目的、设计与提出的分析、方法和临床研究的实施情况的文件。（参考</w:t>
            </w:r>
            <w:r>
              <w:t>MEDDEV 2.7/1 revision 4</w:t>
            </w:r>
            <w:r>
              <w:rPr>
                <w:rFonts w:hint="eastAsia"/>
              </w:rPr>
              <w:t>）</w:t>
            </w:r>
          </w:p>
        </w:tc>
      </w:tr>
    </w:tbl>
    <w:p w14:paraId="530B3C57">
      <w:pPr>
        <w:tabs>
          <w:tab w:val="left" w:pos="540"/>
        </w:tabs>
        <w:adjustRightInd w:val="0"/>
        <w:snapToGrid w:val="0"/>
        <w:rPr>
          <w:rFonts w:asciiTheme="minorHAnsi" w:hAnsiTheme="minorHAnsi" w:eastAsiaTheme="minorEastAsia" w:cstheme="minorBidi"/>
          <w:b/>
          <w:color w:val="000000"/>
          <w:lang w:eastAsia="zh-TW"/>
        </w:rPr>
      </w:pPr>
    </w:p>
    <w:p w14:paraId="59A4C3BC">
      <w:pPr>
        <w:tabs>
          <w:tab w:val="left" w:pos="540"/>
        </w:tabs>
        <w:adjustRightInd w:val="0"/>
        <w:snapToGrid w:val="0"/>
        <w:rPr>
          <w:b/>
          <w:color w:val="000000"/>
          <w:lang w:eastAsia="zh-TW"/>
        </w:rPr>
      </w:pPr>
    </w:p>
    <w:p w14:paraId="331EAB0A">
      <w:pPr>
        <w:tabs>
          <w:tab w:val="left" w:pos="540"/>
        </w:tabs>
        <w:adjustRightInd w:val="0"/>
        <w:snapToGrid w:val="0"/>
        <w:rPr>
          <w:b/>
          <w:color w:val="000000"/>
          <w:lang w:eastAsia="zh-TW"/>
        </w:rPr>
      </w:pPr>
    </w:p>
    <w:p w14:paraId="397A3162">
      <w:pPr>
        <w:numPr>
          <w:ilvl w:val="0"/>
          <w:numId w:val="1"/>
        </w:numPr>
        <w:tabs>
          <w:tab w:val="left" w:pos="540"/>
          <w:tab w:val="clear" w:pos="420"/>
        </w:tabs>
        <w:adjustRightInd w:val="0"/>
        <w:snapToGrid w:val="0"/>
        <w:rPr>
          <w:b/>
          <w:color w:val="000000"/>
          <w:lang w:eastAsia="zh-TW"/>
        </w:rPr>
      </w:pPr>
      <w:r>
        <w:rPr>
          <w:rFonts w:hint="eastAsia"/>
          <w:b/>
          <w:color w:val="000000"/>
        </w:rPr>
        <w:t>职责</w:t>
      </w:r>
    </w:p>
    <w:p w14:paraId="7B7CE15E">
      <w:pPr>
        <w:adjustRightInd w:val="0"/>
        <w:snapToGrid w:val="0"/>
        <w:rPr>
          <w:b/>
          <w:color w:val="000000"/>
          <w:lang w:eastAsia="zh-TW"/>
        </w:rPr>
      </w:pPr>
    </w:p>
    <w:p w14:paraId="0AD01C14">
      <w:pPr>
        <w:numPr>
          <w:ilvl w:val="1"/>
          <w:numId w:val="2"/>
        </w:numPr>
        <w:tabs>
          <w:tab w:val="left" w:pos="1080"/>
          <w:tab w:val="clear" w:pos="786"/>
        </w:tabs>
        <w:adjustRightInd w:val="0"/>
        <w:snapToGrid w:val="0"/>
        <w:spacing w:line="360" w:lineRule="auto"/>
        <w:ind w:left="1080" w:hanging="540"/>
      </w:pPr>
      <w:r>
        <w:rPr>
          <w:rFonts w:hint="eastAsia"/>
        </w:rPr>
        <w:t>公司临床研究部门</w:t>
      </w:r>
      <w:r>
        <w:t>/</w:t>
      </w:r>
      <w:r>
        <w:rPr>
          <w:rFonts w:hint="eastAsia"/>
        </w:rPr>
        <w:t>质量部</w:t>
      </w:r>
      <w:r>
        <w:t>/</w:t>
      </w:r>
      <w:r>
        <w:rPr>
          <w:rFonts w:hint="eastAsia"/>
        </w:rPr>
        <w:t>研发部</w:t>
      </w:r>
      <w:r>
        <w:t xml:space="preserve">/ </w:t>
      </w:r>
      <w:r>
        <w:rPr>
          <w:rFonts w:hint="eastAsia"/>
        </w:rPr>
        <w:t>公司的指定代表，按照本程序以及相关法规的要求执行产品临床评价，包括临床研究。</w:t>
      </w:r>
    </w:p>
    <w:p w14:paraId="222E3276">
      <w:pPr>
        <w:numPr>
          <w:ilvl w:val="1"/>
          <w:numId w:val="2"/>
        </w:numPr>
        <w:tabs>
          <w:tab w:val="left" w:pos="1080"/>
          <w:tab w:val="clear" w:pos="786"/>
        </w:tabs>
        <w:adjustRightInd w:val="0"/>
        <w:snapToGrid w:val="0"/>
        <w:spacing w:line="360" w:lineRule="auto"/>
        <w:ind w:left="1080" w:hanging="540"/>
      </w:pPr>
      <w:r>
        <w:rPr>
          <w:rFonts w:hint="eastAsia"/>
        </w:rPr>
        <w:t>质量部负责医疗器械上市后监督系统的信息收集并组织相关部门进行评审。</w:t>
      </w:r>
    </w:p>
    <w:p w14:paraId="7CC4F233">
      <w:pPr>
        <w:adjustRightInd w:val="0"/>
        <w:snapToGrid w:val="0"/>
        <w:spacing w:line="360" w:lineRule="auto"/>
        <w:ind w:left="450"/>
        <w:rPr>
          <w:lang w:eastAsia="zh-TW"/>
        </w:rPr>
      </w:pPr>
    </w:p>
    <w:p w14:paraId="30E9CD30">
      <w:pPr>
        <w:numPr>
          <w:ilvl w:val="0"/>
          <w:numId w:val="1"/>
        </w:numPr>
        <w:tabs>
          <w:tab w:val="left" w:pos="540"/>
          <w:tab w:val="clear" w:pos="420"/>
        </w:tabs>
        <w:adjustRightInd w:val="0"/>
        <w:snapToGrid w:val="0"/>
        <w:rPr>
          <w:b/>
          <w:bCs/>
          <w:caps/>
          <w:lang w:eastAsia="zh-TW"/>
        </w:rPr>
      </w:pPr>
      <w:r>
        <w:rPr>
          <w:rFonts w:hint="eastAsia"/>
          <w:b/>
          <w:bCs/>
          <w:caps/>
        </w:rPr>
        <w:t>人员资格</w:t>
      </w:r>
    </w:p>
    <w:p w14:paraId="5C5B2D8B">
      <w:pPr>
        <w:adjustRightInd w:val="0"/>
        <w:snapToGrid w:val="0"/>
        <w:rPr>
          <w:b/>
          <w:bCs/>
          <w:caps/>
          <w:lang w:eastAsia="zh-TW"/>
        </w:rPr>
      </w:pPr>
    </w:p>
    <w:p w14:paraId="747341C4">
      <w:pPr>
        <w:numPr>
          <w:ilvl w:val="1"/>
          <w:numId w:val="3"/>
        </w:numPr>
        <w:tabs>
          <w:tab w:val="left" w:pos="426"/>
          <w:tab w:val="left" w:pos="993"/>
          <w:tab w:val="clear" w:pos="786"/>
        </w:tabs>
        <w:adjustRightInd w:val="0"/>
        <w:snapToGrid w:val="0"/>
        <w:ind w:left="372" w:leftChars="177" w:firstLine="1"/>
        <w:rPr>
          <w:lang w:eastAsia="zh-TW"/>
        </w:rPr>
      </w:pPr>
      <w:r>
        <w:rPr>
          <w:rFonts w:hint="eastAsia"/>
        </w:rPr>
        <w:t>临床评价方案应由具有医疗器械知识和经验以及熟悉临床知识人员负责编制。</w:t>
      </w:r>
    </w:p>
    <w:p w14:paraId="77A5C534">
      <w:pPr>
        <w:adjustRightInd w:val="0"/>
        <w:snapToGrid w:val="0"/>
        <w:ind w:left="450"/>
        <w:rPr>
          <w:lang w:eastAsia="zh-TW"/>
        </w:rPr>
      </w:pPr>
    </w:p>
    <w:p w14:paraId="1908AFDE">
      <w:pPr>
        <w:numPr>
          <w:ilvl w:val="1"/>
          <w:numId w:val="3"/>
        </w:numPr>
        <w:tabs>
          <w:tab w:val="left" w:pos="993"/>
          <w:tab w:val="clear" w:pos="786"/>
        </w:tabs>
        <w:adjustRightInd w:val="0"/>
        <w:snapToGrid w:val="0"/>
        <w:ind w:left="1080" w:hanging="654"/>
        <w:rPr>
          <w:lang w:eastAsia="zh-TW"/>
        </w:rPr>
      </w:pPr>
      <w:r>
        <w:rPr>
          <w:rFonts w:hint="eastAsia"/>
        </w:rPr>
        <w:t>临床资料分析应由有经验、有技术的人员、组织或团体进行。</w:t>
      </w:r>
    </w:p>
    <w:p w14:paraId="1BE809E4">
      <w:pPr>
        <w:numPr>
          <w:ilvl w:val="0"/>
          <w:numId w:val="1"/>
        </w:numPr>
        <w:tabs>
          <w:tab w:val="left" w:pos="540"/>
          <w:tab w:val="clear" w:pos="420"/>
        </w:tabs>
        <w:adjustRightInd w:val="0"/>
        <w:snapToGrid w:val="0"/>
        <w:rPr>
          <w:b/>
          <w:bCs/>
          <w:lang w:eastAsia="zh-TW"/>
        </w:rPr>
      </w:pPr>
      <w:r>
        <w:rPr>
          <w:rFonts w:hint="eastAsia"/>
          <w:b/>
          <w:bCs/>
        </w:rPr>
        <w:t>程序</w:t>
      </w:r>
    </w:p>
    <w:p w14:paraId="1FB0936A">
      <w:pPr>
        <w:adjustRightInd w:val="0"/>
        <w:snapToGrid w:val="0"/>
        <w:ind w:left="1440"/>
        <w:rPr>
          <w:lang w:eastAsia="zh-TW"/>
        </w:rPr>
      </w:pPr>
    </w:p>
    <w:p w14:paraId="4600D2AE">
      <w:pPr>
        <w:numPr>
          <w:ilvl w:val="1"/>
          <w:numId w:val="4"/>
        </w:numPr>
        <w:adjustRightInd w:val="0"/>
        <w:snapToGrid w:val="0"/>
        <w:ind w:left="1062" w:leftChars="236" w:hanging="566"/>
      </w:pPr>
      <w:r>
        <w:rPr>
          <w:rFonts w:hint="eastAsia"/>
        </w:rPr>
        <w:t>产品项目评审小组根据设计控制程序决定是否需要产品临床评价。所有新产品开发在第二阶段设计评审时确定临床评价策略。</w:t>
      </w:r>
    </w:p>
    <w:p w14:paraId="6FFE099C">
      <w:pPr>
        <w:adjustRightInd w:val="0"/>
        <w:snapToGrid w:val="0"/>
        <w:ind w:left="450"/>
      </w:pPr>
    </w:p>
    <w:p w14:paraId="7FAB6583">
      <w:pPr>
        <w:numPr>
          <w:ilvl w:val="1"/>
          <w:numId w:val="4"/>
        </w:numPr>
        <w:adjustRightInd w:val="0"/>
        <w:snapToGrid w:val="0"/>
        <w:ind w:left="1080" w:hanging="540"/>
      </w:pPr>
      <w:r>
        <w:rPr>
          <w:rFonts w:hint="eastAsia"/>
        </w:rPr>
        <w:t>作为指引方针，应当在下述条件下开展临床评价：</w:t>
      </w:r>
    </w:p>
    <w:p w14:paraId="58995DB2">
      <w:pPr>
        <w:adjustRightInd w:val="0"/>
        <w:snapToGrid w:val="0"/>
      </w:pPr>
    </w:p>
    <w:p w14:paraId="555BCBF4">
      <w:pPr>
        <w:numPr>
          <w:ilvl w:val="2"/>
          <w:numId w:val="4"/>
        </w:numPr>
        <w:adjustRightInd w:val="0"/>
        <w:snapToGrid w:val="0"/>
        <w:ind w:left="1710" w:hanging="630"/>
      </w:pPr>
      <w:r>
        <w:rPr>
          <w:rFonts w:hint="eastAsia"/>
        </w:rPr>
        <w:t>体外测试结果不能确定医疗器械的临床性能</w:t>
      </w:r>
    </w:p>
    <w:p w14:paraId="2D52E271">
      <w:pPr>
        <w:adjustRightInd w:val="0"/>
        <w:snapToGrid w:val="0"/>
        <w:ind w:left="1170" w:firstLine="630" w:firstLineChars="300"/>
      </w:pPr>
    </w:p>
    <w:p w14:paraId="0072BF78">
      <w:pPr>
        <w:numPr>
          <w:ilvl w:val="2"/>
          <w:numId w:val="4"/>
        </w:numPr>
        <w:adjustRightInd w:val="0"/>
        <w:snapToGrid w:val="0"/>
        <w:ind w:left="1710" w:hanging="630"/>
      </w:pPr>
      <w:r>
        <w:rPr>
          <w:rFonts w:hint="eastAsia"/>
        </w:rPr>
        <w:t>有需要确认其独特特征的功能</w:t>
      </w:r>
    </w:p>
    <w:p w14:paraId="0863992D">
      <w:pPr>
        <w:adjustRightInd w:val="0"/>
        <w:snapToGrid w:val="0"/>
        <w:ind w:left="1170" w:firstLine="630" w:firstLineChars="300"/>
      </w:pPr>
    </w:p>
    <w:p w14:paraId="252ECA31">
      <w:pPr>
        <w:numPr>
          <w:ilvl w:val="2"/>
          <w:numId w:val="4"/>
        </w:numPr>
        <w:adjustRightInd w:val="0"/>
        <w:snapToGrid w:val="0"/>
        <w:ind w:left="1710" w:hanging="630"/>
      </w:pPr>
      <w:r>
        <w:rPr>
          <w:rFonts w:hint="eastAsia"/>
        </w:rPr>
        <w:t>法规注册规定要求临床评价</w:t>
      </w:r>
    </w:p>
    <w:p w14:paraId="10CDD995">
      <w:pPr>
        <w:adjustRightInd w:val="0"/>
        <w:snapToGrid w:val="0"/>
        <w:ind w:left="2160"/>
      </w:pPr>
    </w:p>
    <w:p w14:paraId="6111736B">
      <w:pPr>
        <w:spacing w:line="360" w:lineRule="auto"/>
      </w:pPr>
    </w:p>
    <w:p w14:paraId="0A509844">
      <w:pPr>
        <w:numPr>
          <w:ilvl w:val="1"/>
          <w:numId w:val="4"/>
        </w:numPr>
        <w:adjustRightInd w:val="0"/>
        <w:snapToGrid w:val="0"/>
        <w:ind w:left="1063" w:leftChars="236" w:hanging="567"/>
        <w:rPr>
          <w:rFonts w:asciiTheme="minorHAnsi" w:hAnsiTheme="minorHAnsi" w:eastAsiaTheme="minorEastAsia" w:cstheme="minorBidi"/>
        </w:rPr>
      </w:pPr>
      <w:r>
        <w:rPr>
          <w:rFonts w:hint="eastAsia"/>
        </w:rPr>
        <w:t>临床评价可包括以下选择：</w:t>
      </w:r>
    </w:p>
    <w:p w14:paraId="305938FB">
      <w:pPr>
        <w:tabs>
          <w:tab w:val="left" w:pos="1134"/>
        </w:tabs>
        <w:adjustRightInd w:val="0"/>
        <w:snapToGrid w:val="0"/>
        <w:ind w:left="1134"/>
      </w:pPr>
    </w:p>
    <w:p w14:paraId="66A9194E">
      <w:pPr>
        <w:numPr>
          <w:ilvl w:val="2"/>
          <w:numId w:val="4"/>
        </w:numPr>
        <w:tabs>
          <w:tab w:val="left" w:pos="1710"/>
        </w:tabs>
        <w:adjustRightInd w:val="0"/>
        <w:snapToGrid w:val="0"/>
        <w:ind w:hanging="1908"/>
      </w:pPr>
      <w:r>
        <w:rPr>
          <w:rFonts w:hint="eastAsia"/>
        </w:rPr>
        <w:t>临床研究</w:t>
      </w:r>
    </w:p>
    <w:p w14:paraId="727AF88A">
      <w:pPr>
        <w:tabs>
          <w:tab w:val="left" w:pos="1710"/>
        </w:tabs>
        <w:adjustRightInd w:val="0"/>
        <w:snapToGrid w:val="0"/>
      </w:pPr>
    </w:p>
    <w:p w14:paraId="04095FDA">
      <w:pPr>
        <w:numPr>
          <w:ilvl w:val="2"/>
          <w:numId w:val="4"/>
        </w:numPr>
        <w:tabs>
          <w:tab w:val="left" w:pos="1710"/>
        </w:tabs>
        <w:adjustRightInd w:val="0"/>
        <w:snapToGrid w:val="0"/>
        <w:ind w:hanging="1908"/>
      </w:pPr>
      <w:r>
        <w:rPr>
          <w:rFonts w:hint="eastAsia"/>
        </w:rPr>
        <w:t>动物模拟试验</w:t>
      </w:r>
    </w:p>
    <w:p w14:paraId="72C65880">
      <w:pPr>
        <w:tabs>
          <w:tab w:val="left" w:pos="1890"/>
        </w:tabs>
        <w:adjustRightInd w:val="0"/>
        <w:snapToGrid w:val="0"/>
        <w:ind w:left="1170" w:firstLine="630" w:firstLineChars="300"/>
      </w:pPr>
    </w:p>
    <w:p w14:paraId="6C34D5F3">
      <w:pPr>
        <w:numPr>
          <w:ilvl w:val="2"/>
          <w:numId w:val="4"/>
        </w:numPr>
        <w:tabs>
          <w:tab w:val="left" w:pos="1710"/>
        </w:tabs>
        <w:adjustRightInd w:val="0"/>
        <w:snapToGrid w:val="0"/>
        <w:ind w:hanging="1908"/>
      </w:pPr>
      <w:r>
        <w:rPr>
          <w:rFonts w:hint="eastAsia"/>
        </w:rPr>
        <w:t>文献评审</w:t>
      </w:r>
    </w:p>
    <w:p w14:paraId="6854742B">
      <w:pPr>
        <w:tabs>
          <w:tab w:val="left" w:pos="1890"/>
        </w:tabs>
        <w:adjustRightInd w:val="0"/>
        <w:snapToGrid w:val="0"/>
        <w:ind w:left="1170" w:firstLine="630" w:firstLineChars="300"/>
      </w:pPr>
    </w:p>
    <w:p w14:paraId="4C481D60">
      <w:pPr>
        <w:numPr>
          <w:ilvl w:val="2"/>
          <w:numId w:val="4"/>
        </w:numPr>
        <w:tabs>
          <w:tab w:val="left" w:pos="1710"/>
        </w:tabs>
        <w:adjustRightInd w:val="0"/>
        <w:snapToGrid w:val="0"/>
        <w:ind w:hanging="1908"/>
      </w:pPr>
      <w:r>
        <w:rPr>
          <w:rFonts w:hint="eastAsia"/>
        </w:rPr>
        <w:t>与竞争产品比较</w:t>
      </w:r>
    </w:p>
    <w:p w14:paraId="483C3001">
      <w:pPr>
        <w:adjustRightInd w:val="0"/>
        <w:snapToGrid w:val="0"/>
      </w:pPr>
    </w:p>
    <w:p w14:paraId="4307CAC5">
      <w:pPr>
        <w:numPr>
          <w:ilvl w:val="1"/>
          <w:numId w:val="4"/>
        </w:numPr>
        <w:adjustRightInd w:val="0"/>
        <w:snapToGrid w:val="0"/>
        <w:ind w:left="1080" w:hanging="540"/>
      </w:pPr>
      <w:r>
        <w:rPr>
          <w:rFonts w:hint="eastAsia"/>
        </w:rPr>
        <w:t>根据设计控制程序在适当的设计评审阶段对临床评价的范围和具体内容进行记录，评审和批准。</w:t>
      </w:r>
    </w:p>
    <w:p w14:paraId="078603B6">
      <w:pPr>
        <w:adjustRightInd w:val="0"/>
        <w:snapToGrid w:val="0"/>
        <w:ind w:left="1440"/>
      </w:pPr>
    </w:p>
    <w:p w14:paraId="2AF155FA">
      <w:pPr>
        <w:numPr>
          <w:ilvl w:val="1"/>
          <w:numId w:val="4"/>
        </w:numPr>
        <w:adjustRightInd w:val="0"/>
        <w:snapToGrid w:val="0"/>
        <w:ind w:left="1080" w:hanging="540"/>
      </w:pPr>
      <w:r>
        <w:rPr>
          <w:rFonts w:hint="eastAsia"/>
        </w:rPr>
        <w:t>应依照</w:t>
      </w:r>
      <w:r>
        <w:t>6.3</w:t>
      </w:r>
      <w:r>
        <w:rPr>
          <w:rFonts w:hint="eastAsia"/>
        </w:rPr>
        <w:t>项中的选项开展临床评价。相关职责，要求等都应相应地说明和记录。</w:t>
      </w:r>
    </w:p>
    <w:p w14:paraId="1B748BD3">
      <w:pPr>
        <w:pStyle w:val="18"/>
      </w:pPr>
    </w:p>
    <w:p w14:paraId="7E918B72">
      <w:pPr>
        <w:numPr>
          <w:ilvl w:val="1"/>
          <w:numId w:val="4"/>
        </w:numPr>
        <w:adjustRightInd w:val="0"/>
        <w:snapToGrid w:val="0"/>
        <w:ind w:left="1080" w:hanging="540"/>
      </w:pPr>
      <w:r>
        <w:rPr>
          <w:rFonts w:hint="eastAsia"/>
        </w:rPr>
        <w:t>临床评价文件更新频率</w:t>
      </w:r>
    </w:p>
    <w:p w14:paraId="13CA9909">
      <w:pPr>
        <w:pStyle w:val="18"/>
      </w:pPr>
    </w:p>
    <w:p w14:paraId="354A0E8A">
      <w:pPr>
        <w:adjustRightInd w:val="0"/>
        <w:snapToGrid w:val="0"/>
        <w:ind w:left="1080"/>
      </w:pPr>
      <w:r>
        <w:rPr>
          <w:rFonts w:hint="eastAsia"/>
        </w:rPr>
        <w:t>临床评价应根据适当的法规要求进行更新。</w:t>
      </w:r>
    </w:p>
    <w:p w14:paraId="6A6ACF5E">
      <w:pPr>
        <w:spacing w:line="360" w:lineRule="auto"/>
      </w:pPr>
      <w:r>
        <w:rPr>
          <w:rFonts w:hint="eastAsia"/>
        </w:rPr>
        <w:t>根据</w:t>
      </w:r>
      <w:bookmarkStart w:id="3" w:name="OLE_LINK7"/>
      <w:bookmarkStart w:id="4" w:name="OLE_LINK8"/>
      <w:r>
        <w:t>MEDDEV 2.7/1 revision 4</w:t>
      </w:r>
      <w:bookmarkEnd w:id="3"/>
      <w:bookmarkEnd w:id="4"/>
      <w:r>
        <w:rPr>
          <w:rFonts w:hint="eastAsia"/>
        </w:rPr>
        <w:t>，产品取得</w:t>
      </w:r>
      <w:r>
        <w:t>CE</w:t>
      </w:r>
      <w:r>
        <w:rPr>
          <w:rFonts w:hint="eastAsia"/>
        </w:rPr>
        <w:t>标志并批准上市后，收集和评价上市后监督信息的过程随即展开，临床评价将根据上市后监督数据进行更新。此外，在产品上市两年内，临床评价应每年更新。如果上市两年后产品不带有重大风险</w:t>
      </w:r>
    </w:p>
    <w:p w14:paraId="59BD14F5">
      <w:pPr>
        <w:adjustRightInd w:val="0"/>
        <w:snapToGrid w:val="0"/>
        <w:ind w:left="1080"/>
      </w:pPr>
      <w:r>
        <w:rPr>
          <w:rFonts w:hint="eastAsia"/>
        </w:rPr>
        <w:t>且比较成熟，那么临床评价将每隔</w:t>
      </w:r>
      <w:r>
        <w:t>2</w:t>
      </w:r>
      <w:r>
        <w:rPr>
          <w:rFonts w:hint="eastAsia"/>
        </w:rPr>
        <w:t>至</w:t>
      </w:r>
      <w:r>
        <w:t>5</w:t>
      </w:r>
      <w:r>
        <w:rPr>
          <w:rFonts w:hint="eastAsia"/>
        </w:rPr>
        <w:t>年更新一次；若产品带有重大风险或不太成熟，则临床评价仍需每年更新一次。</w:t>
      </w:r>
    </w:p>
    <w:p w14:paraId="22538B59">
      <w:pPr>
        <w:adjustRightInd w:val="0"/>
        <w:snapToGrid w:val="0"/>
      </w:pPr>
    </w:p>
    <w:p w14:paraId="31AC0E6F">
      <w:pPr>
        <w:numPr>
          <w:ilvl w:val="1"/>
          <w:numId w:val="4"/>
        </w:numPr>
        <w:adjustRightInd w:val="0"/>
        <w:snapToGrid w:val="0"/>
        <w:ind w:left="1080" w:hanging="540"/>
      </w:pPr>
      <w:r>
        <w:rPr>
          <w:rFonts w:hint="eastAsia"/>
        </w:rPr>
        <w:t>临床研究</w:t>
      </w:r>
    </w:p>
    <w:p w14:paraId="37AB3D1A">
      <w:pPr>
        <w:adjustRightInd w:val="0"/>
        <w:snapToGrid w:val="0"/>
        <w:ind w:left="1701"/>
      </w:pPr>
    </w:p>
    <w:p w14:paraId="12E02100">
      <w:pPr>
        <w:numPr>
          <w:ilvl w:val="2"/>
          <w:numId w:val="4"/>
        </w:numPr>
        <w:adjustRightInd w:val="0"/>
        <w:snapToGrid w:val="0"/>
        <w:ind w:left="1701"/>
      </w:pPr>
      <w:r>
        <w:rPr>
          <w:rFonts w:hint="eastAsia"/>
        </w:rPr>
        <w:t>如选择进行临床研究以获得临床数据，应在产品上市前实施临床研究，以评价医疗器械的安全性和有效性。如确定不需要进行临床研究，应说明理由并形成文件。</w:t>
      </w:r>
    </w:p>
    <w:p w14:paraId="1FD25CDA">
      <w:pPr>
        <w:adjustRightInd w:val="0"/>
        <w:snapToGrid w:val="0"/>
      </w:pPr>
    </w:p>
    <w:p w14:paraId="72ACF304">
      <w:pPr>
        <w:numPr>
          <w:ilvl w:val="2"/>
          <w:numId w:val="4"/>
        </w:numPr>
        <w:adjustRightInd w:val="0"/>
        <w:snapToGrid w:val="0"/>
        <w:ind w:left="1701"/>
      </w:pPr>
      <w:r>
        <w:t xml:space="preserve"> </w:t>
      </w:r>
      <w:r>
        <w:rPr>
          <w:rFonts w:hint="eastAsia"/>
        </w:rPr>
        <w:t>在中国，进行医疗器械临床试验应当有充分的科学依据和明确的试验目的，并权衡对受试者和公众健康预期的收益以及风险，预期的收益应该超过可能出现的损害。</w:t>
      </w:r>
    </w:p>
    <w:p w14:paraId="73C5C39C">
      <w:pPr>
        <w:pStyle w:val="18"/>
      </w:pPr>
    </w:p>
    <w:p w14:paraId="54F39A97">
      <w:pPr>
        <w:pStyle w:val="18"/>
        <w:numPr>
          <w:ilvl w:val="3"/>
          <w:numId w:val="4"/>
        </w:numPr>
        <w:ind w:left="2552"/>
      </w:pPr>
      <w:r>
        <w:rPr>
          <w:rFonts w:hint="eastAsia"/>
        </w:rPr>
        <w:t>临床试验前，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14:paraId="50B4655E">
      <w:pPr>
        <w:tabs>
          <w:tab w:val="left" w:pos="1710"/>
        </w:tabs>
        <w:adjustRightInd w:val="0"/>
        <w:snapToGrid w:val="0"/>
      </w:pPr>
    </w:p>
    <w:p w14:paraId="129EB111">
      <w:pPr>
        <w:pStyle w:val="18"/>
        <w:numPr>
          <w:ilvl w:val="3"/>
          <w:numId w:val="4"/>
        </w:numPr>
        <w:ind w:left="2552"/>
      </w:pPr>
      <w:r>
        <w:rPr>
          <w:rFonts w:hint="eastAsia"/>
        </w:rPr>
        <w:t>临床试验前，应该准备充足的试验用医疗器械。试验用医疗器械的研制应当符合适用的医疗器械质量管理体系相关要求。</w:t>
      </w:r>
    </w:p>
    <w:p w14:paraId="6D928F27">
      <w:pPr>
        <w:adjustRightInd w:val="0"/>
        <w:snapToGrid w:val="0"/>
        <w:ind w:left="2100"/>
      </w:pPr>
    </w:p>
    <w:p w14:paraId="1D6C003B">
      <w:pPr>
        <w:pStyle w:val="18"/>
        <w:numPr>
          <w:ilvl w:val="3"/>
          <w:numId w:val="4"/>
        </w:numPr>
        <w:ind w:left="2552"/>
      </w:pPr>
      <w:r>
        <w:rPr>
          <w:rFonts w:hint="eastAsia"/>
        </w:rPr>
        <w:t>医疗器械临床试验应当在两个或者两个以上医疗器械临床试验机构中进行。</w:t>
      </w:r>
    </w:p>
    <w:p w14:paraId="076BBD0D">
      <w:pPr>
        <w:autoSpaceDE w:val="0"/>
        <w:autoSpaceDN w:val="0"/>
        <w:adjustRightInd w:val="0"/>
        <w:snapToGrid w:val="0"/>
      </w:pPr>
    </w:p>
    <w:p w14:paraId="7F2694E0">
      <w:pPr>
        <w:autoSpaceDE w:val="0"/>
        <w:autoSpaceDN w:val="0"/>
        <w:adjustRightInd w:val="0"/>
        <w:snapToGrid w:val="0"/>
        <w:rPr>
          <w:rFonts w:asciiTheme="minorHAnsi" w:hAnsiTheme="minorHAnsi" w:eastAsiaTheme="minorEastAsia" w:cstheme="minorBidi"/>
        </w:rPr>
      </w:pPr>
    </w:p>
    <w:p w14:paraId="0E9DDD3A">
      <w:pPr>
        <w:numPr>
          <w:ilvl w:val="2"/>
          <w:numId w:val="4"/>
        </w:numPr>
        <w:adjustRightInd w:val="0"/>
        <w:snapToGrid w:val="0"/>
        <w:ind w:left="1701"/>
      </w:pPr>
      <w:r>
        <w:t xml:space="preserve"> </w:t>
      </w:r>
      <w:r>
        <w:rPr>
          <w:rFonts w:hint="eastAsia"/>
        </w:rPr>
        <w:t>一旦决定开展临床研究，公司或任命的代表将负责启动，实施和监管该临床研究。</w:t>
      </w:r>
    </w:p>
    <w:p w14:paraId="1E5CA91F">
      <w:pPr>
        <w:adjustRightInd w:val="0"/>
        <w:snapToGrid w:val="0"/>
        <w:ind w:left="1418" w:leftChars="675"/>
        <w:rPr>
          <w:color w:val="FF0000"/>
          <w:lang w:eastAsia="zh-TW"/>
        </w:rPr>
      </w:pPr>
    </w:p>
    <w:p w14:paraId="7D087150">
      <w:pPr>
        <w:numPr>
          <w:ilvl w:val="2"/>
          <w:numId w:val="4"/>
        </w:numPr>
        <w:adjustRightInd w:val="0"/>
        <w:snapToGrid w:val="0"/>
        <w:ind w:left="1701"/>
      </w:pPr>
      <w:r>
        <w:t xml:space="preserve"> </w:t>
      </w:r>
      <w:r>
        <w:rPr>
          <w:rFonts w:hint="eastAsia"/>
        </w:rPr>
        <w:t>公司或任命的代表应该依法选择医疗机构作临床研究</w:t>
      </w:r>
    </w:p>
    <w:p w14:paraId="2BEC4E68">
      <w:pPr>
        <w:adjustRightInd w:val="0"/>
        <w:snapToGrid w:val="0"/>
        <w:ind w:left="788" w:leftChars="375" w:firstLine="630" w:firstLineChars="300"/>
        <w:rPr>
          <w:color w:val="FF0000"/>
          <w:lang w:eastAsia="zh-TW"/>
        </w:rPr>
      </w:pPr>
    </w:p>
    <w:p w14:paraId="0F10947F">
      <w:pPr>
        <w:numPr>
          <w:ilvl w:val="2"/>
          <w:numId w:val="4"/>
        </w:numPr>
        <w:adjustRightInd w:val="0"/>
        <w:snapToGrid w:val="0"/>
        <w:ind w:left="1701"/>
      </w:pPr>
      <w:r>
        <w:rPr>
          <w:rFonts w:hint="eastAsia"/>
        </w:rPr>
        <w:t>应该向医疗机构提供临床研究产品介绍资料</w:t>
      </w:r>
    </w:p>
    <w:p w14:paraId="6D841FEB">
      <w:pPr>
        <w:adjustRightInd w:val="0"/>
        <w:snapToGrid w:val="0"/>
        <w:rPr>
          <w:color w:val="FF0000"/>
          <w:lang w:eastAsia="zh-TW"/>
        </w:rPr>
      </w:pPr>
    </w:p>
    <w:p w14:paraId="34B90880">
      <w:pPr>
        <w:numPr>
          <w:ilvl w:val="2"/>
          <w:numId w:val="4"/>
        </w:numPr>
        <w:adjustRightInd w:val="0"/>
        <w:snapToGrid w:val="0"/>
        <w:ind w:left="1701"/>
      </w:pPr>
      <w:r>
        <w:rPr>
          <w:rFonts w:hint="eastAsia"/>
        </w:rPr>
        <w:t>应该对开展临床研究的人员进行培训</w:t>
      </w:r>
    </w:p>
    <w:p w14:paraId="3CF49B81">
      <w:pPr>
        <w:adjustRightInd w:val="0"/>
        <w:snapToGrid w:val="0"/>
        <w:ind w:left="788" w:leftChars="375" w:firstLine="630" w:firstLineChars="300"/>
        <w:rPr>
          <w:color w:val="FF0000"/>
          <w:lang w:eastAsia="zh-TW"/>
        </w:rPr>
      </w:pPr>
    </w:p>
    <w:p w14:paraId="06AEECB0">
      <w:pPr>
        <w:numPr>
          <w:ilvl w:val="2"/>
          <w:numId w:val="4"/>
        </w:numPr>
        <w:adjustRightInd w:val="0"/>
        <w:snapToGrid w:val="0"/>
        <w:ind w:left="1701"/>
      </w:pPr>
      <w:r>
        <w:rPr>
          <w:rFonts w:hint="eastAsia"/>
        </w:rPr>
        <w:t>应该根据相关法规和标准的要求与医疗机构一起设计、制定临床研究方案（</w:t>
      </w:r>
      <w:r>
        <w:t>CIP</w:t>
      </w:r>
      <w:r>
        <w:rPr>
          <w:rFonts w:hint="eastAsia"/>
        </w:rPr>
        <w:t>），并获得相关人员的审核和批准。</w:t>
      </w:r>
    </w:p>
    <w:p w14:paraId="66226B3C">
      <w:pPr>
        <w:adjustRightInd w:val="0"/>
        <w:snapToGrid w:val="0"/>
        <w:ind w:left="900"/>
        <w:rPr>
          <w:color w:val="FF0000"/>
        </w:rPr>
      </w:pPr>
    </w:p>
    <w:p w14:paraId="0E371DCF">
      <w:pPr>
        <w:numPr>
          <w:ilvl w:val="2"/>
          <w:numId w:val="4"/>
        </w:numPr>
        <w:adjustRightInd w:val="0"/>
        <w:snapToGrid w:val="0"/>
        <w:ind w:left="1701"/>
      </w:pPr>
      <w:r>
        <w:rPr>
          <w:rFonts w:hint="eastAsia"/>
        </w:rPr>
        <w:t>应该签署双方都同意的临床研究方案和合同</w:t>
      </w:r>
    </w:p>
    <w:p w14:paraId="20A2D313">
      <w:pPr>
        <w:adjustRightInd w:val="0"/>
        <w:snapToGrid w:val="0"/>
        <w:ind w:left="900"/>
        <w:rPr>
          <w:color w:val="FF0000"/>
          <w:lang w:eastAsia="zh-TW"/>
        </w:rPr>
      </w:pPr>
    </w:p>
    <w:p w14:paraId="4FDA01BC">
      <w:pPr>
        <w:numPr>
          <w:ilvl w:val="2"/>
          <w:numId w:val="4"/>
        </w:numPr>
        <w:adjustRightInd w:val="0"/>
        <w:snapToGrid w:val="0"/>
        <w:ind w:left="1701"/>
      </w:pPr>
      <w:r>
        <w:rPr>
          <w:rFonts w:hint="eastAsia"/>
        </w:rPr>
        <w:t>应该为临床研究提供担保</w:t>
      </w:r>
    </w:p>
    <w:p w14:paraId="04B49235">
      <w:pPr>
        <w:adjustRightInd w:val="0"/>
        <w:snapToGrid w:val="0"/>
        <w:ind w:left="900"/>
        <w:rPr>
          <w:color w:val="FF0000"/>
          <w:lang w:eastAsia="zh-TW"/>
        </w:rPr>
      </w:pPr>
    </w:p>
    <w:p w14:paraId="7439AFC8">
      <w:pPr>
        <w:numPr>
          <w:ilvl w:val="2"/>
          <w:numId w:val="4"/>
        </w:numPr>
        <w:adjustRightInd w:val="0"/>
        <w:snapToGrid w:val="0"/>
        <w:ind w:left="1701"/>
      </w:pPr>
      <w:r>
        <w:rPr>
          <w:rFonts w:hint="eastAsia"/>
        </w:rPr>
        <w:t>如果测试产品对受试者造成任何伤害，公司或任命的代表应该根据临床研究合同给予受试者赔偿</w:t>
      </w:r>
    </w:p>
    <w:p w14:paraId="150D7EF9">
      <w:pPr>
        <w:adjustRightInd w:val="0"/>
        <w:snapToGrid w:val="0"/>
        <w:ind w:left="900"/>
        <w:rPr>
          <w:color w:val="FF0000"/>
          <w:lang w:eastAsia="zh-TW"/>
        </w:rPr>
      </w:pPr>
    </w:p>
    <w:p w14:paraId="6B84A51B">
      <w:pPr>
        <w:numPr>
          <w:ilvl w:val="2"/>
          <w:numId w:val="4"/>
        </w:numPr>
        <w:adjustRightInd w:val="0"/>
        <w:snapToGrid w:val="0"/>
        <w:ind w:left="1701"/>
      </w:pPr>
      <w:r>
        <w:rPr>
          <w:rFonts w:hint="eastAsia"/>
        </w:rPr>
        <w:t>万一发生严重副作用及不良事件，必需立即如实地向有关法规部门和伦理委员会报告，同时告知正在进行该临床试验的其它医疗机构。</w:t>
      </w:r>
    </w:p>
    <w:p w14:paraId="01050539">
      <w:pPr>
        <w:adjustRightInd w:val="0"/>
        <w:snapToGrid w:val="0"/>
        <w:ind w:left="1418" w:leftChars="675"/>
        <w:rPr>
          <w:color w:val="FF0000"/>
          <w:lang w:eastAsia="zh-TW"/>
        </w:rPr>
      </w:pPr>
    </w:p>
    <w:p w14:paraId="1CB52439">
      <w:pPr>
        <w:numPr>
          <w:ilvl w:val="2"/>
          <w:numId w:val="4"/>
        </w:numPr>
        <w:adjustRightInd w:val="0"/>
        <w:snapToGrid w:val="0"/>
        <w:ind w:left="1701"/>
      </w:pPr>
      <w:r>
        <w:rPr>
          <w:rFonts w:hint="eastAsia"/>
        </w:rPr>
        <w:t>公司或任命的代表终止该临床试验前，必须通知该临床医疗机构，伦理委员会和有关法规机构，并解释原因。</w:t>
      </w:r>
    </w:p>
    <w:p w14:paraId="54050CEE">
      <w:pPr>
        <w:pStyle w:val="18"/>
      </w:pPr>
    </w:p>
    <w:p w14:paraId="7FA89581">
      <w:pPr>
        <w:numPr>
          <w:ilvl w:val="2"/>
          <w:numId w:val="4"/>
        </w:numPr>
        <w:adjustRightInd w:val="0"/>
        <w:snapToGrid w:val="0"/>
        <w:ind w:left="1701"/>
      </w:pPr>
      <w:r>
        <w:rPr>
          <w:rFonts w:hint="eastAsia"/>
        </w:rPr>
        <w:t>临床研究方案的设计应能保证获得的结果具有临床意义并科学有效。</w:t>
      </w:r>
    </w:p>
    <w:p w14:paraId="2AA96097">
      <w:pPr>
        <w:pStyle w:val="18"/>
      </w:pPr>
    </w:p>
    <w:p w14:paraId="5C91F13E">
      <w:pPr>
        <w:numPr>
          <w:ilvl w:val="2"/>
          <w:numId w:val="4"/>
        </w:numPr>
        <w:adjustRightInd w:val="0"/>
        <w:snapToGrid w:val="0"/>
        <w:ind w:left="1701"/>
      </w:pPr>
      <w:r>
        <w:rPr>
          <w:rFonts w:hint="eastAsia"/>
        </w:rPr>
        <w:t>临床研究方案应当按照试验用医疗器械的类别、风险、预期用途等组织制定。</w:t>
      </w:r>
    </w:p>
    <w:p w14:paraId="542959A3">
      <w:pPr>
        <w:adjustRightInd w:val="0"/>
        <w:snapToGrid w:val="0"/>
      </w:pPr>
    </w:p>
    <w:p w14:paraId="369BD19D">
      <w:pPr>
        <w:numPr>
          <w:ilvl w:val="2"/>
          <w:numId w:val="4"/>
        </w:numPr>
        <w:adjustRightInd w:val="0"/>
        <w:snapToGrid w:val="0"/>
        <w:ind w:left="1701"/>
      </w:pPr>
      <w:r>
        <w:rPr>
          <w:rFonts w:hint="eastAsia"/>
        </w:rPr>
        <w:t>临床研究方案应根据适当的法规要求进行编写，一般包括：</w:t>
      </w:r>
    </w:p>
    <w:p w14:paraId="2C2570E5">
      <w:pPr>
        <w:adjustRightInd w:val="0"/>
        <w:snapToGrid w:val="0"/>
        <w:ind w:firstLine="1417" w:firstLineChars="675"/>
      </w:pPr>
    </w:p>
    <w:p w14:paraId="43316AEA">
      <w:pPr>
        <w:pStyle w:val="18"/>
        <w:numPr>
          <w:ilvl w:val="3"/>
          <w:numId w:val="4"/>
        </w:numPr>
        <w:ind w:left="2552"/>
      </w:pPr>
      <w:r>
        <w:rPr>
          <w:rFonts w:hint="eastAsia"/>
        </w:rPr>
        <w:t>临床研究的目的、背景和内容</w:t>
      </w:r>
    </w:p>
    <w:p w14:paraId="70955521">
      <w:pPr>
        <w:tabs>
          <w:tab w:val="left" w:pos="2430"/>
        </w:tabs>
        <w:adjustRightInd w:val="0"/>
        <w:snapToGrid w:val="0"/>
        <w:ind w:left="2430"/>
        <w:rPr>
          <w:lang w:eastAsia="zh-TW"/>
        </w:rPr>
      </w:pPr>
    </w:p>
    <w:p w14:paraId="6948D663">
      <w:pPr>
        <w:pStyle w:val="18"/>
        <w:numPr>
          <w:ilvl w:val="3"/>
          <w:numId w:val="4"/>
        </w:numPr>
        <w:ind w:left="2552"/>
        <w:rPr>
          <w:lang w:eastAsia="zh-TW"/>
        </w:rPr>
      </w:pPr>
      <w:r>
        <w:rPr>
          <w:rFonts w:hint="eastAsia"/>
        </w:rPr>
        <w:t>临床评价标准</w:t>
      </w:r>
    </w:p>
    <w:p w14:paraId="2A907571">
      <w:pPr>
        <w:tabs>
          <w:tab w:val="left" w:pos="2430"/>
        </w:tabs>
        <w:adjustRightInd w:val="0"/>
        <w:snapToGrid w:val="0"/>
        <w:ind w:left="1620" w:firstLine="707" w:firstLineChars="337"/>
        <w:rPr>
          <w:lang w:eastAsia="zh-TW"/>
        </w:rPr>
      </w:pPr>
    </w:p>
    <w:p w14:paraId="4D3EAC70">
      <w:pPr>
        <w:pStyle w:val="18"/>
        <w:numPr>
          <w:ilvl w:val="3"/>
          <w:numId w:val="4"/>
        </w:numPr>
        <w:ind w:left="2552"/>
        <w:rPr>
          <w:lang w:eastAsia="zh-TW"/>
        </w:rPr>
      </w:pPr>
      <w:r>
        <w:rPr>
          <w:rFonts w:hint="eastAsia"/>
        </w:rPr>
        <w:t>临床研究的风险与受益分析</w:t>
      </w:r>
    </w:p>
    <w:p w14:paraId="271E4723">
      <w:pPr>
        <w:tabs>
          <w:tab w:val="left" w:pos="2430"/>
        </w:tabs>
        <w:adjustRightInd w:val="0"/>
        <w:snapToGrid w:val="0"/>
        <w:ind w:left="1620" w:firstLine="707" w:firstLineChars="337"/>
        <w:rPr>
          <w:lang w:eastAsia="zh-TW"/>
        </w:rPr>
      </w:pPr>
    </w:p>
    <w:p w14:paraId="5B7C522C">
      <w:pPr>
        <w:pStyle w:val="18"/>
        <w:numPr>
          <w:ilvl w:val="3"/>
          <w:numId w:val="4"/>
        </w:numPr>
        <w:ind w:left="2552"/>
      </w:pPr>
      <w:r>
        <w:rPr>
          <w:rFonts w:hint="eastAsia"/>
        </w:rPr>
        <w:t>进行临床研究的医疗机构</w:t>
      </w:r>
    </w:p>
    <w:p w14:paraId="0F9AD443">
      <w:pPr>
        <w:tabs>
          <w:tab w:val="left" w:pos="2430"/>
        </w:tabs>
        <w:adjustRightInd w:val="0"/>
        <w:snapToGrid w:val="0"/>
        <w:ind w:left="1620" w:firstLine="707" w:firstLineChars="337"/>
        <w:rPr>
          <w:lang w:eastAsia="zh-TW"/>
        </w:rPr>
      </w:pPr>
    </w:p>
    <w:p w14:paraId="4A62D546">
      <w:pPr>
        <w:pStyle w:val="18"/>
        <w:numPr>
          <w:ilvl w:val="3"/>
          <w:numId w:val="4"/>
        </w:numPr>
        <w:ind w:left="2552"/>
      </w:pPr>
      <w:r>
        <w:t xml:space="preserve"> </w:t>
      </w:r>
      <w:r>
        <w:rPr>
          <w:rFonts w:hint="eastAsia"/>
        </w:rPr>
        <w:t>选择对象范围、数量，必要时对照组的设置</w:t>
      </w:r>
    </w:p>
    <w:p w14:paraId="3B56023B">
      <w:pPr>
        <w:tabs>
          <w:tab w:val="left" w:pos="2552"/>
        </w:tabs>
        <w:adjustRightInd w:val="0"/>
        <w:snapToGrid w:val="0"/>
        <w:ind w:left="-2" w:leftChars="-1" w:firstLine="2606" w:firstLineChars="1241"/>
        <w:rPr>
          <w:lang w:eastAsia="zh-TW"/>
        </w:rPr>
      </w:pPr>
    </w:p>
    <w:p w14:paraId="610E4356">
      <w:pPr>
        <w:pStyle w:val="18"/>
        <w:numPr>
          <w:ilvl w:val="3"/>
          <w:numId w:val="4"/>
        </w:numPr>
        <w:ind w:left="2552"/>
      </w:pPr>
      <w:r>
        <w:rPr>
          <w:rFonts w:hint="eastAsia"/>
        </w:rPr>
        <w:t>总体设计，包括成功或失败的可能性分析</w:t>
      </w:r>
    </w:p>
    <w:p w14:paraId="5FFACFF0">
      <w:pPr>
        <w:tabs>
          <w:tab w:val="left" w:pos="2430"/>
        </w:tabs>
        <w:adjustRightInd w:val="0"/>
        <w:snapToGrid w:val="0"/>
        <w:ind w:left="1620" w:firstLine="707" w:firstLineChars="337"/>
        <w:rPr>
          <w:lang w:eastAsia="zh-TW"/>
        </w:rPr>
      </w:pPr>
    </w:p>
    <w:p w14:paraId="0F67910A">
      <w:pPr>
        <w:pStyle w:val="18"/>
        <w:numPr>
          <w:ilvl w:val="3"/>
          <w:numId w:val="4"/>
        </w:numPr>
        <w:ind w:left="2552"/>
        <w:rPr>
          <w:rFonts w:eastAsia="PMingLiU"/>
          <w:lang w:eastAsia="zh-TW"/>
        </w:rPr>
      </w:pPr>
      <w:r>
        <w:rPr>
          <w:rFonts w:hint="eastAsia"/>
        </w:rPr>
        <w:t>临床研究持续时间及其确定理由</w:t>
      </w:r>
    </w:p>
    <w:p w14:paraId="0BC5F998">
      <w:pPr>
        <w:tabs>
          <w:tab w:val="left" w:pos="2430"/>
        </w:tabs>
        <w:adjustRightInd w:val="0"/>
        <w:snapToGrid w:val="0"/>
        <w:ind w:left="1620" w:firstLine="707" w:firstLineChars="337"/>
        <w:rPr>
          <w:rFonts w:eastAsiaTheme="minorEastAsia"/>
          <w:lang w:eastAsia="zh-TW"/>
        </w:rPr>
      </w:pPr>
    </w:p>
    <w:p w14:paraId="34005A86">
      <w:pPr>
        <w:pStyle w:val="18"/>
        <w:numPr>
          <w:ilvl w:val="3"/>
          <w:numId w:val="4"/>
        </w:numPr>
        <w:ind w:left="2552"/>
        <w:rPr>
          <w:color w:val="000000"/>
        </w:rPr>
      </w:pPr>
      <w:r>
        <w:rPr>
          <w:rFonts w:hint="eastAsia"/>
        </w:rPr>
        <w:t>适应症或适用范围</w:t>
      </w:r>
    </w:p>
    <w:p w14:paraId="15529DF5">
      <w:pPr>
        <w:tabs>
          <w:tab w:val="left" w:pos="2430"/>
        </w:tabs>
        <w:adjustRightInd w:val="0"/>
        <w:snapToGrid w:val="0"/>
        <w:ind w:left="1620" w:firstLine="787" w:firstLineChars="375"/>
        <w:rPr>
          <w:lang w:eastAsia="zh-TW"/>
        </w:rPr>
      </w:pPr>
    </w:p>
    <w:p w14:paraId="25EA507D">
      <w:pPr>
        <w:pStyle w:val="18"/>
        <w:numPr>
          <w:ilvl w:val="3"/>
          <w:numId w:val="4"/>
        </w:numPr>
        <w:ind w:left="2552"/>
        <w:rPr>
          <w:lang w:eastAsia="zh-TW"/>
        </w:rPr>
      </w:pPr>
      <w:r>
        <w:rPr>
          <w:rFonts w:hint="eastAsia"/>
        </w:rPr>
        <w:t>临床性能的评价方法和统计处理方法</w:t>
      </w:r>
    </w:p>
    <w:p w14:paraId="4ABD10C5">
      <w:pPr>
        <w:tabs>
          <w:tab w:val="left" w:pos="2430"/>
        </w:tabs>
        <w:adjustRightInd w:val="0"/>
        <w:snapToGrid w:val="0"/>
        <w:ind w:left="1620" w:firstLine="707" w:firstLineChars="337"/>
        <w:rPr>
          <w:rFonts w:asciiTheme="minorHAnsi" w:hAnsiTheme="minorHAnsi" w:eastAsiaTheme="minorEastAsia" w:cstheme="minorBidi"/>
          <w:lang w:eastAsia="zh-TW"/>
        </w:rPr>
      </w:pPr>
    </w:p>
    <w:p w14:paraId="229B241E">
      <w:pPr>
        <w:pStyle w:val="18"/>
        <w:numPr>
          <w:ilvl w:val="3"/>
          <w:numId w:val="4"/>
        </w:numPr>
        <w:ind w:left="2552"/>
      </w:pPr>
      <w:r>
        <w:rPr>
          <w:rFonts w:hint="eastAsia"/>
        </w:rPr>
        <w:t>副作用</w:t>
      </w:r>
      <w:r>
        <w:t>/</w:t>
      </w:r>
      <w:r>
        <w:rPr>
          <w:rFonts w:hint="eastAsia"/>
        </w:rPr>
        <w:t>不良事件预测及应当采取的措施</w:t>
      </w:r>
    </w:p>
    <w:p w14:paraId="1CA7BD81">
      <w:pPr>
        <w:tabs>
          <w:tab w:val="left" w:pos="2430"/>
        </w:tabs>
        <w:adjustRightInd w:val="0"/>
        <w:snapToGrid w:val="0"/>
      </w:pPr>
    </w:p>
    <w:p w14:paraId="0D03AD74">
      <w:pPr>
        <w:pStyle w:val="18"/>
        <w:numPr>
          <w:ilvl w:val="3"/>
          <w:numId w:val="4"/>
        </w:numPr>
        <w:ind w:left="2552"/>
      </w:pPr>
      <w:r>
        <w:rPr>
          <w:rFonts w:hint="eastAsia"/>
        </w:rPr>
        <w:t>受试者《知情同意书》</w:t>
      </w:r>
    </w:p>
    <w:p w14:paraId="7BD29FBB">
      <w:pPr>
        <w:tabs>
          <w:tab w:val="left" w:pos="2430"/>
        </w:tabs>
        <w:adjustRightInd w:val="0"/>
        <w:snapToGrid w:val="0"/>
        <w:ind w:left="1620" w:firstLine="707" w:firstLineChars="337"/>
      </w:pPr>
    </w:p>
    <w:p w14:paraId="0BE140F5">
      <w:pPr>
        <w:pStyle w:val="18"/>
        <w:numPr>
          <w:ilvl w:val="3"/>
          <w:numId w:val="4"/>
        </w:numPr>
        <w:ind w:left="2552"/>
      </w:pPr>
      <w:r>
        <w:rPr>
          <w:rFonts w:hint="eastAsia"/>
        </w:rPr>
        <w:t>各方职责</w:t>
      </w:r>
    </w:p>
    <w:p w14:paraId="677576CF">
      <w:pPr>
        <w:adjustRightInd w:val="0"/>
        <w:snapToGrid w:val="0"/>
      </w:pPr>
    </w:p>
    <w:p w14:paraId="51050002">
      <w:pPr>
        <w:numPr>
          <w:ilvl w:val="2"/>
          <w:numId w:val="4"/>
        </w:numPr>
        <w:adjustRightInd w:val="0"/>
        <w:snapToGrid w:val="0"/>
        <w:ind w:left="1701"/>
      </w:pPr>
      <w:r>
        <w:rPr>
          <w:rFonts w:hint="eastAsia"/>
        </w:rPr>
        <w:t>开展临床研究前，应获得伦理委员会和适当的法规批准。</w:t>
      </w:r>
    </w:p>
    <w:p w14:paraId="24EF6433">
      <w:pPr>
        <w:adjustRightInd w:val="0"/>
        <w:snapToGrid w:val="0"/>
        <w:ind w:left="900"/>
        <w:rPr>
          <w:lang w:eastAsia="zh-TW"/>
        </w:rPr>
      </w:pPr>
    </w:p>
    <w:p w14:paraId="0D89EC72">
      <w:pPr>
        <w:numPr>
          <w:ilvl w:val="2"/>
          <w:numId w:val="4"/>
        </w:numPr>
        <w:adjustRightInd w:val="0"/>
        <w:snapToGrid w:val="0"/>
        <w:ind w:left="1701"/>
      </w:pPr>
      <w:r>
        <w:t xml:space="preserve"> </w:t>
      </w:r>
      <w:r>
        <w:rPr>
          <w:rFonts w:hint="eastAsia"/>
        </w:rPr>
        <w:t>一旦取得批准，可以按照临床研究方案开展临床研究。</w:t>
      </w:r>
    </w:p>
    <w:p w14:paraId="30619AC1">
      <w:pPr>
        <w:adjustRightInd w:val="0"/>
        <w:snapToGrid w:val="0"/>
        <w:ind w:left="900"/>
        <w:rPr>
          <w:lang w:eastAsia="zh-TW"/>
        </w:rPr>
      </w:pPr>
    </w:p>
    <w:p w14:paraId="04C274C8">
      <w:pPr>
        <w:numPr>
          <w:ilvl w:val="2"/>
          <w:numId w:val="4"/>
        </w:numPr>
        <w:adjustRightInd w:val="0"/>
        <w:snapToGrid w:val="0"/>
        <w:ind w:left="1701"/>
      </w:pPr>
      <w:r>
        <w:t xml:space="preserve"> </w:t>
      </w:r>
      <w:r>
        <w:rPr>
          <w:rFonts w:hint="eastAsia"/>
        </w:rPr>
        <w:t>受试者必须是自愿参加临床研究，并可以在任何阶段退出。在充分理解临床研究的内容后，受试者应该签署并获得一份已签署的</w:t>
      </w:r>
      <w:r>
        <w:t>“</w:t>
      </w:r>
      <w:r>
        <w:rPr>
          <w:rFonts w:hint="eastAsia"/>
        </w:rPr>
        <w:t>知情同意书</w:t>
      </w:r>
      <w:r>
        <w:t>”</w:t>
      </w:r>
      <w:r>
        <w:rPr>
          <w:rFonts w:hint="eastAsia"/>
        </w:rPr>
        <w:t>。</w:t>
      </w:r>
    </w:p>
    <w:p w14:paraId="11B902AF">
      <w:pPr>
        <w:adjustRightInd w:val="0"/>
        <w:snapToGrid w:val="0"/>
        <w:ind w:left="900"/>
        <w:rPr>
          <w:lang w:eastAsia="zh-TW"/>
        </w:rPr>
      </w:pPr>
    </w:p>
    <w:p w14:paraId="120BA0D0">
      <w:pPr>
        <w:numPr>
          <w:ilvl w:val="2"/>
          <w:numId w:val="4"/>
        </w:numPr>
        <w:adjustRightInd w:val="0"/>
        <w:snapToGrid w:val="0"/>
        <w:ind w:left="1701"/>
      </w:pPr>
      <w:r>
        <w:rPr>
          <w:rFonts w:hint="eastAsia"/>
        </w:rPr>
        <w:t>受试者的个人资料及其数据应该保密。伦理委员会，有关法规机构和公司任命的代表可以查阅受试者的资料和数据，但不得对外披露。</w:t>
      </w:r>
    </w:p>
    <w:p w14:paraId="7E0546AF">
      <w:pPr>
        <w:numPr>
          <w:ilvl w:val="2"/>
          <w:numId w:val="4"/>
        </w:numPr>
        <w:adjustRightInd w:val="0"/>
        <w:snapToGrid w:val="0"/>
        <w:ind w:left="1701"/>
      </w:pPr>
      <w:r>
        <w:rPr>
          <w:rFonts w:hint="eastAsia"/>
        </w:rPr>
        <w:t>临床研究过程中，涉及公司生产的医疗器械发生的任何不良事件或产品抱怨应根据临床研究协议，抱怨处理程序和不良事件呈报程序进行处理。</w:t>
      </w:r>
    </w:p>
    <w:p w14:paraId="2095FC7E">
      <w:pPr>
        <w:adjustRightInd w:val="0"/>
        <w:snapToGrid w:val="0"/>
        <w:rPr>
          <w:lang w:eastAsia="zh-TW"/>
        </w:rPr>
      </w:pPr>
    </w:p>
    <w:p w14:paraId="400D6EF6">
      <w:pPr>
        <w:numPr>
          <w:ilvl w:val="2"/>
          <w:numId w:val="4"/>
        </w:numPr>
        <w:adjustRightInd w:val="0"/>
        <w:snapToGrid w:val="0"/>
        <w:ind w:left="1701"/>
      </w:pPr>
      <w:r>
        <w:rPr>
          <w:rFonts w:hint="eastAsia"/>
        </w:rPr>
        <w:t>临床研究报告</w:t>
      </w:r>
    </w:p>
    <w:p w14:paraId="3EAB14BF">
      <w:pPr>
        <w:adjustRightInd w:val="0"/>
        <w:snapToGrid w:val="0"/>
        <w:ind w:left="450"/>
        <w:rPr>
          <w:lang w:eastAsia="zh-TW"/>
        </w:rPr>
      </w:pPr>
    </w:p>
    <w:p w14:paraId="26B96FEB">
      <w:pPr>
        <w:pStyle w:val="18"/>
        <w:numPr>
          <w:ilvl w:val="3"/>
          <w:numId w:val="4"/>
        </w:numPr>
        <w:tabs>
          <w:tab w:val="left" w:pos="2127"/>
        </w:tabs>
        <w:ind w:left="2552" w:hanging="851"/>
      </w:pPr>
      <w:r>
        <w:rPr>
          <w:rFonts w:hint="eastAsia"/>
        </w:rPr>
        <w:t>公司或指定代表将配合临床研究人员、经验丰富的专家和组织，基于分析的结果准备临床研究报告。</w:t>
      </w:r>
    </w:p>
    <w:p w14:paraId="395768E5">
      <w:pPr>
        <w:adjustRightInd w:val="0"/>
        <w:snapToGrid w:val="0"/>
        <w:ind w:left="900"/>
        <w:rPr>
          <w:lang w:eastAsia="zh-TW"/>
        </w:rPr>
      </w:pPr>
    </w:p>
    <w:p w14:paraId="0A22C7CC">
      <w:pPr>
        <w:pStyle w:val="18"/>
        <w:numPr>
          <w:ilvl w:val="3"/>
          <w:numId w:val="4"/>
        </w:numPr>
        <w:tabs>
          <w:tab w:val="left" w:pos="2127"/>
        </w:tabs>
        <w:ind w:left="2552" w:hanging="851"/>
      </w:pPr>
      <w:r>
        <w:rPr>
          <w:rFonts w:hint="eastAsia"/>
        </w:rPr>
        <w:t>临床研究报告主要包括：</w:t>
      </w:r>
    </w:p>
    <w:p w14:paraId="66E250F0">
      <w:pPr>
        <w:adjustRightInd w:val="0"/>
        <w:snapToGrid w:val="0"/>
        <w:ind w:left="900" w:firstLine="630" w:firstLineChars="300"/>
        <w:rPr>
          <w:lang w:eastAsia="zh-TW"/>
        </w:rPr>
      </w:pPr>
    </w:p>
    <w:p w14:paraId="35CA083C">
      <w:pPr>
        <w:pStyle w:val="18"/>
        <w:numPr>
          <w:ilvl w:val="0"/>
          <w:numId w:val="5"/>
        </w:numPr>
        <w:tabs>
          <w:tab w:val="left" w:pos="2127"/>
        </w:tabs>
        <w:rPr>
          <w:lang w:eastAsia="zh-TW"/>
        </w:rPr>
      </w:pPr>
      <w:r>
        <w:rPr>
          <w:rFonts w:hint="eastAsia"/>
        </w:rPr>
        <w:t>研究方法</w:t>
      </w:r>
    </w:p>
    <w:p w14:paraId="4FBFF6E3">
      <w:pPr>
        <w:tabs>
          <w:tab w:val="left" w:pos="2340"/>
        </w:tabs>
        <w:adjustRightInd w:val="0"/>
        <w:snapToGrid w:val="0"/>
        <w:ind w:left="2552"/>
      </w:pPr>
    </w:p>
    <w:p w14:paraId="0D4C4971">
      <w:pPr>
        <w:pStyle w:val="18"/>
        <w:numPr>
          <w:ilvl w:val="0"/>
          <w:numId w:val="5"/>
        </w:numPr>
        <w:tabs>
          <w:tab w:val="left" w:pos="2127"/>
        </w:tabs>
      </w:pPr>
      <w:r>
        <w:rPr>
          <w:rFonts w:hint="eastAsia"/>
        </w:rPr>
        <w:t>采用的统计方法</w:t>
      </w:r>
    </w:p>
    <w:p w14:paraId="0C2CA94E">
      <w:pPr>
        <w:tabs>
          <w:tab w:val="left" w:pos="2340"/>
        </w:tabs>
        <w:adjustRightInd w:val="0"/>
        <w:snapToGrid w:val="0"/>
        <w:ind w:left="2552"/>
        <w:rPr>
          <w:lang w:eastAsia="zh-TW"/>
        </w:rPr>
      </w:pPr>
    </w:p>
    <w:p w14:paraId="729DBCB3">
      <w:pPr>
        <w:pStyle w:val="18"/>
        <w:numPr>
          <w:ilvl w:val="0"/>
          <w:numId w:val="5"/>
        </w:numPr>
        <w:tabs>
          <w:tab w:val="left" w:pos="2127"/>
        </w:tabs>
        <w:rPr>
          <w:lang w:eastAsia="zh-TW"/>
        </w:rPr>
      </w:pPr>
      <w:r>
        <w:rPr>
          <w:rFonts w:hint="eastAsia"/>
        </w:rPr>
        <w:t>评价标准</w:t>
      </w:r>
    </w:p>
    <w:p w14:paraId="27B1AE81">
      <w:pPr>
        <w:tabs>
          <w:tab w:val="left" w:pos="2340"/>
        </w:tabs>
        <w:adjustRightInd w:val="0"/>
        <w:snapToGrid w:val="0"/>
        <w:ind w:left="2552"/>
        <w:rPr>
          <w:lang w:eastAsia="zh-TW"/>
        </w:rPr>
      </w:pPr>
    </w:p>
    <w:p w14:paraId="3E3D5545">
      <w:pPr>
        <w:pStyle w:val="18"/>
        <w:numPr>
          <w:ilvl w:val="0"/>
          <w:numId w:val="5"/>
        </w:numPr>
        <w:tabs>
          <w:tab w:val="left" w:pos="2127"/>
        </w:tabs>
        <w:rPr>
          <w:lang w:eastAsia="zh-TW"/>
        </w:rPr>
      </w:pPr>
      <w:r>
        <w:rPr>
          <w:rFonts w:hint="eastAsia"/>
        </w:rPr>
        <w:t>临床研究结果及结论</w:t>
      </w:r>
    </w:p>
    <w:p w14:paraId="5590AA89">
      <w:pPr>
        <w:tabs>
          <w:tab w:val="left" w:pos="2340"/>
        </w:tabs>
        <w:adjustRightInd w:val="0"/>
        <w:snapToGrid w:val="0"/>
        <w:ind w:left="2552"/>
        <w:rPr>
          <w:lang w:eastAsia="zh-TW"/>
        </w:rPr>
      </w:pPr>
    </w:p>
    <w:p w14:paraId="6B6ED07E">
      <w:pPr>
        <w:pStyle w:val="18"/>
        <w:numPr>
          <w:ilvl w:val="0"/>
          <w:numId w:val="5"/>
        </w:numPr>
        <w:tabs>
          <w:tab w:val="left" w:pos="2127"/>
        </w:tabs>
      </w:pPr>
      <w:r>
        <w:rPr>
          <w:rFonts w:hint="eastAsia"/>
        </w:rPr>
        <w:t>临床研究中发现的不良事件和副作用及其处理情况</w:t>
      </w:r>
    </w:p>
    <w:p w14:paraId="272AB53B">
      <w:pPr>
        <w:tabs>
          <w:tab w:val="left" w:pos="2340"/>
        </w:tabs>
        <w:adjustRightInd w:val="0"/>
        <w:snapToGrid w:val="0"/>
        <w:ind w:left="2552"/>
        <w:rPr>
          <w:lang w:eastAsia="zh-TW"/>
        </w:rPr>
      </w:pPr>
    </w:p>
    <w:p w14:paraId="3116E737">
      <w:pPr>
        <w:pStyle w:val="18"/>
        <w:numPr>
          <w:ilvl w:val="0"/>
          <w:numId w:val="5"/>
        </w:numPr>
        <w:tabs>
          <w:tab w:val="left" w:pos="2127"/>
        </w:tabs>
      </w:pPr>
      <w:r>
        <w:rPr>
          <w:rFonts w:hint="eastAsia"/>
        </w:rPr>
        <w:t>临床研究效果分析</w:t>
      </w:r>
    </w:p>
    <w:p w14:paraId="55E6F8B6">
      <w:pPr>
        <w:tabs>
          <w:tab w:val="left" w:pos="2552"/>
        </w:tabs>
        <w:adjustRightInd w:val="0"/>
        <w:snapToGrid w:val="0"/>
        <w:ind w:left="2552"/>
        <w:rPr>
          <w:lang w:eastAsia="zh-TW"/>
        </w:rPr>
      </w:pPr>
    </w:p>
    <w:p w14:paraId="74F530B2">
      <w:pPr>
        <w:pStyle w:val="18"/>
        <w:numPr>
          <w:ilvl w:val="0"/>
          <w:numId w:val="5"/>
        </w:numPr>
        <w:tabs>
          <w:tab w:val="left" w:pos="2127"/>
        </w:tabs>
      </w:pPr>
      <w:r>
        <w:rPr>
          <w:rFonts w:hint="eastAsia"/>
        </w:rPr>
        <w:t>适应症、适用范围、禁忌症和注意事项</w:t>
      </w:r>
    </w:p>
    <w:p w14:paraId="6E961113">
      <w:pPr>
        <w:tabs>
          <w:tab w:val="left" w:pos="2340"/>
        </w:tabs>
        <w:adjustRightInd w:val="0"/>
        <w:snapToGrid w:val="0"/>
        <w:ind w:left="2552"/>
        <w:rPr>
          <w:lang w:eastAsia="zh-TW"/>
        </w:rPr>
      </w:pPr>
    </w:p>
    <w:p w14:paraId="4D59A936">
      <w:pPr>
        <w:pStyle w:val="18"/>
        <w:numPr>
          <w:ilvl w:val="0"/>
          <w:numId w:val="5"/>
        </w:numPr>
        <w:tabs>
          <w:tab w:val="left" w:pos="2694"/>
        </w:tabs>
      </w:pPr>
      <w:r>
        <w:rPr>
          <w:rFonts w:hint="eastAsia"/>
        </w:rPr>
        <w:t>存在的问题或改进建议</w:t>
      </w:r>
    </w:p>
    <w:p w14:paraId="51C71E7D">
      <w:pPr>
        <w:adjustRightInd w:val="0"/>
        <w:snapToGrid w:val="0"/>
        <w:rPr>
          <w:lang w:eastAsia="zh-TW"/>
        </w:rPr>
      </w:pPr>
    </w:p>
    <w:p w14:paraId="080313C9">
      <w:pPr>
        <w:numPr>
          <w:ilvl w:val="1"/>
          <w:numId w:val="4"/>
        </w:numPr>
        <w:adjustRightInd w:val="0"/>
        <w:snapToGrid w:val="0"/>
        <w:ind w:left="1080" w:hanging="540"/>
        <w:rPr>
          <w:rFonts w:eastAsia="PMingLiU"/>
          <w:lang w:eastAsia="zh-HK"/>
        </w:rPr>
      </w:pPr>
      <w:r>
        <w:rPr>
          <w:rFonts w:hint="eastAsia"/>
        </w:rPr>
        <w:t>完成所选择临床评价方式的结果应形成临床评价报告</w:t>
      </w:r>
    </w:p>
    <w:p w14:paraId="6F700B1A">
      <w:pPr>
        <w:adjustRightInd w:val="0"/>
        <w:snapToGrid w:val="0"/>
        <w:ind w:left="395" w:leftChars="188" w:firstLine="420" w:firstLineChars="200"/>
        <w:rPr>
          <w:rFonts w:eastAsia="PMingLiU"/>
          <w:lang w:eastAsia="zh-HK"/>
        </w:rPr>
      </w:pPr>
    </w:p>
    <w:p w14:paraId="34A61ABF">
      <w:pPr>
        <w:numPr>
          <w:ilvl w:val="1"/>
          <w:numId w:val="4"/>
        </w:numPr>
        <w:adjustRightInd w:val="0"/>
        <w:snapToGrid w:val="0"/>
        <w:ind w:left="1080" w:hanging="540"/>
        <w:rPr>
          <w:rFonts w:eastAsiaTheme="minorEastAsia"/>
          <w:lang w:eastAsia="zh-TW"/>
        </w:rPr>
      </w:pPr>
      <w:r>
        <w:rPr>
          <w:rFonts w:hint="eastAsia"/>
        </w:rPr>
        <w:t>项目组长应依照设计控制程序公司的相关规定，在设计评审会议上对临床评价报告进行评审。任何有关进一步研究或其它方面的结论、讨论争议和建议应视为设计评审会议纪要并形成文件。</w:t>
      </w:r>
    </w:p>
    <w:p w14:paraId="76820A44">
      <w:pPr>
        <w:adjustRightInd w:val="0"/>
        <w:snapToGrid w:val="0"/>
        <w:ind w:left="450"/>
        <w:rPr>
          <w:lang w:eastAsia="zh-TW"/>
        </w:rPr>
      </w:pPr>
    </w:p>
    <w:p w14:paraId="7D1768E9">
      <w:pPr>
        <w:numPr>
          <w:ilvl w:val="1"/>
          <w:numId w:val="4"/>
        </w:numPr>
        <w:adjustRightInd w:val="0"/>
        <w:snapToGrid w:val="0"/>
        <w:spacing w:line="360" w:lineRule="auto"/>
        <w:ind w:left="1080" w:hanging="540"/>
      </w:pPr>
      <w:r>
        <w:rPr>
          <w:rFonts w:hint="eastAsia"/>
        </w:rPr>
        <w:t>临床评价及其文件必须根据上市后监督获得的资料积极更新。质量部和研发部</w:t>
      </w:r>
    </w:p>
    <w:p w14:paraId="3E66DB37">
      <w:pPr>
        <w:adjustRightInd w:val="0"/>
        <w:snapToGrid w:val="0"/>
        <w:spacing w:line="360" w:lineRule="auto"/>
        <w:ind w:left="540"/>
        <w:rPr>
          <w:rFonts w:asciiTheme="minorHAnsi" w:hAnsiTheme="minorHAnsi" w:eastAsiaTheme="minorEastAsia" w:cstheme="minorBidi"/>
          <w:lang w:eastAsia="zh-TW"/>
        </w:rPr>
      </w:pPr>
      <w:r>
        <w:rPr>
          <w:rFonts w:hint="eastAsia"/>
        </w:rPr>
        <w:t>应对上市后监督系统获得的经验或回馈进行评审，对信息中可能与安全性有关的问题进行评价，确定是否需要进行上市后临床随访。如不需要，应说明理由并形成文件。</w:t>
      </w:r>
    </w:p>
    <w:p w14:paraId="24CB9ACF">
      <w:pPr>
        <w:adjustRightInd w:val="0"/>
        <w:snapToGrid w:val="0"/>
        <w:spacing w:line="360" w:lineRule="auto"/>
        <w:rPr>
          <w:lang w:eastAsia="zh-TW"/>
        </w:rPr>
      </w:pPr>
    </w:p>
    <w:p w14:paraId="6648FC8C">
      <w:pPr>
        <w:numPr>
          <w:ilvl w:val="1"/>
          <w:numId w:val="4"/>
        </w:numPr>
        <w:adjustRightInd w:val="0"/>
        <w:snapToGrid w:val="0"/>
        <w:spacing w:line="360" w:lineRule="auto"/>
        <w:ind w:left="1080" w:hanging="540"/>
        <w:rPr>
          <w:lang w:eastAsia="zh-TW"/>
        </w:rPr>
      </w:pPr>
      <w:r>
        <w:rPr>
          <w:rFonts w:hint="eastAsia"/>
        </w:rPr>
        <w:t>整个临床评价活动过程中形成的文件和记录应按照记录控制程序的规定妥善保存。</w:t>
      </w:r>
    </w:p>
    <w:p w14:paraId="5C44E5B4">
      <w:pPr>
        <w:pStyle w:val="18"/>
        <w:spacing w:line="360" w:lineRule="auto"/>
        <w:rPr>
          <w:lang w:eastAsia="zh-TW"/>
        </w:rPr>
      </w:pPr>
    </w:p>
    <w:p w14:paraId="2A0F03C3">
      <w:pPr>
        <w:numPr>
          <w:ilvl w:val="0"/>
          <w:numId w:val="1"/>
        </w:numPr>
        <w:tabs>
          <w:tab w:val="left" w:pos="567"/>
          <w:tab w:val="clear" w:pos="420"/>
        </w:tabs>
        <w:adjustRightInd w:val="0"/>
        <w:snapToGrid w:val="0"/>
        <w:spacing w:line="360" w:lineRule="auto"/>
        <w:rPr>
          <w:b/>
          <w:color w:val="000000"/>
          <w:lang w:eastAsia="zh-TW"/>
        </w:rPr>
      </w:pPr>
      <w:r>
        <w:rPr>
          <w:rFonts w:hint="eastAsia"/>
          <w:b/>
          <w:color w:val="000000"/>
        </w:rPr>
        <w:t>参考文件</w:t>
      </w:r>
    </w:p>
    <w:p w14:paraId="311D8B29">
      <w:pPr>
        <w:adjustRightInd w:val="0"/>
        <w:snapToGrid w:val="0"/>
        <w:spacing w:line="360" w:lineRule="auto"/>
        <w:ind w:left="1080"/>
      </w:pPr>
    </w:p>
    <w:p w14:paraId="29EF411D">
      <w:pPr>
        <w:numPr>
          <w:ilvl w:val="1"/>
          <w:numId w:val="6"/>
        </w:numPr>
        <w:tabs>
          <w:tab w:val="left" w:pos="990"/>
          <w:tab w:val="clear" w:pos="810"/>
        </w:tabs>
        <w:adjustRightInd w:val="0"/>
        <w:snapToGrid w:val="0"/>
        <w:spacing w:line="360" w:lineRule="auto"/>
        <w:ind w:left="1080" w:hanging="540"/>
      </w:pPr>
      <w:r>
        <w:rPr>
          <w:rFonts w:hint="eastAsia"/>
        </w:rPr>
        <w:t>公司</w:t>
      </w:r>
      <w:r>
        <w:t xml:space="preserve"> </w:t>
      </w:r>
      <w:r>
        <w:rPr>
          <w:rFonts w:hint="eastAsia"/>
        </w:rPr>
        <w:t>设计控制</w:t>
      </w:r>
    </w:p>
    <w:p w14:paraId="30B41AFB">
      <w:pPr>
        <w:numPr>
          <w:ilvl w:val="1"/>
          <w:numId w:val="6"/>
        </w:numPr>
        <w:tabs>
          <w:tab w:val="left" w:pos="990"/>
          <w:tab w:val="clear" w:pos="810"/>
        </w:tabs>
        <w:adjustRightInd w:val="0"/>
        <w:snapToGrid w:val="0"/>
        <w:spacing w:line="360" w:lineRule="auto"/>
        <w:ind w:left="990" w:hanging="450"/>
      </w:pPr>
      <w:r>
        <w:t>ISO 14155 : 2011 Clinical investigation of medical devices for human subjects — Goodclinical Practice/</w:t>
      </w:r>
      <w:r>
        <w:rPr>
          <w:rFonts w:hint="eastAsia"/>
        </w:rPr>
        <w:t>人类用医疗器械临床研究</w:t>
      </w:r>
      <w:r>
        <w:t>-</w:t>
      </w:r>
      <w:r>
        <w:rPr>
          <w:rFonts w:hint="eastAsia"/>
        </w:rPr>
        <w:t>良好临床规范</w:t>
      </w:r>
    </w:p>
    <w:p w14:paraId="14A42A03">
      <w:pPr>
        <w:numPr>
          <w:ilvl w:val="1"/>
          <w:numId w:val="6"/>
        </w:numPr>
        <w:tabs>
          <w:tab w:val="left" w:pos="990"/>
          <w:tab w:val="clear" w:pos="810"/>
        </w:tabs>
        <w:adjustRightInd w:val="0"/>
        <w:snapToGrid w:val="0"/>
        <w:spacing w:line="360" w:lineRule="auto"/>
        <w:ind w:left="990" w:hanging="450"/>
      </w:pPr>
      <w:r>
        <w:t>Global Harmonization Task Force, Clinical Investigations (GHTF/SG5/N3:2010)/</w:t>
      </w:r>
      <w:r>
        <w:rPr>
          <w:rFonts w:hint="eastAsia"/>
        </w:rPr>
        <w:t>医疗器械全球协调行动力量，临床研究</w:t>
      </w:r>
      <w:r>
        <w:t>(GHTF/SG5/N3:2010)</w:t>
      </w:r>
    </w:p>
    <w:p w14:paraId="7C1A9092">
      <w:pPr>
        <w:numPr>
          <w:ilvl w:val="1"/>
          <w:numId w:val="6"/>
        </w:numPr>
        <w:tabs>
          <w:tab w:val="left" w:pos="990"/>
          <w:tab w:val="clear" w:pos="810"/>
        </w:tabs>
        <w:adjustRightInd w:val="0"/>
        <w:snapToGrid w:val="0"/>
        <w:spacing w:line="360" w:lineRule="auto"/>
        <w:ind w:left="990" w:hanging="450"/>
      </w:pPr>
      <w:r>
        <w:t>Global Harmonization Task Force, Essential Principles of Safety and Performance of Medical Devices (GHTF/SG1/N68:2012)/</w:t>
      </w:r>
      <w:r>
        <w:rPr>
          <w:rFonts w:hint="eastAsia"/>
        </w:rPr>
        <w:t>医疗器械全球协调行动力量，医疗器械安全性和功能性的基本原则</w:t>
      </w:r>
      <w:r>
        <w:t>(GHTF/SG1/N68:2012)</w:t>
      </w:r>
    </w:p>
    <w:p w14:paraId="5284827E">
      <w:pPr>
        <w:numPr>
          <w:ilvl w:val="1"/>
          <w:numId w:val="6"/>
        </w:numPr>
        <w:tabs>
          <w:tab w:val="left" w:pos="990"/>
          <w:tab w:val="clear" w:pos="810"/>
        </w:tabs>
        <w:adjustRightInd w:val="0"/>
        <w:snapToGrid w:val="0"/>
        <w:spacing w:line="360" w:lineRule="auto"/>
        <w:ind w:left="990" w:hanging="450"/>
      </w:pPr>
      <w:r>
        <w:t>MEDDEV.2.7/1 Rev4, Guidelines on Medical Devices, Clinical Evaluation: A Guide for Manufacturers and Notified Bodies; June 2016/</w:t>
      </w:r>
      <w:r>
        <w:rPr>
          <w:rFonts w:hint="eastAsia"/>
        </w:rPr>
        <w:t>医疗器械临床评价指引：医疗器械制造商和公告机构的指引</w:t>
      </w:r>
      <w:r>
        <w:t>MEDDEV.2.7/1 Rev4</w:t>
      </w:r>
      <w:r>
        <w:rPr>
          <w:rFonts w:hint="eastAsia"/>
        </w:rPr>
        <w:t>，</w:t>
      </w:r>
      <w:r>
        <w:t>2016</w:t>
      </w:r>
      <w:r>
        <w:rPr>
          <w:rFonts w:hint="eastAsia"/>
        </w:rPr>
        <w:t>年，</w:t>
      </w:r>
      <w:r>
        <w:t>6</w:t>
      </w:r>
      <w:r>
        <w:rPr>
          <w:rFonts w:hint="eastAsia"/>
        </w:rPr>
        <w:t>月</w:t>
      </w:r>
    </w:p>
    <w:p w14:paraId="6664410B">
      <w:pPr>
        <w:numPr>
          <w:ilvl w:val="1"/>
          <w:numId w:val="6"/>
        </w:numPr>
        <w:tabs>
          <w:tab w:val="left" w:pos="990"/>
          <w:tab w:val="clear" w:pos="810"/>
        </w:tabs>
        <w:adjustRightInd w:val="0"/>
        <w:snapToGrid w:val="0"/>
        <w:spacing w:line="360" w:lineRule="auto"/>
        <w:ind w:left="990" w:hanging="450"/>
      </w:pPr>
      <w:r>
        <w:t>World Medical Association Declaration of Helsinki/</w:t>
      </w:r>
      <w:r>
        <w:rPr>
          <w:rFonts w:hint="eastAsia"/>
        </w:rPr>
        <w:t>世界医疗委员会赫尔辛基宣言</w:t>
      </w:r>
    </w:p>
    <w:p w14:paraId="5385B6BB">
      <w:pPr>
        <w:numPr>
          <w:ilvl w:val="1"/>
          <w:numId w:val="6"/>
        </w:numPr>
        <w:tabs>
          <w:tab w:val="left" w:pos="990"/>
          <w:tab w:val="clear" w:pos="810"/>
        </w:tabs>
        <w:adjustRightInd w:val="0"/>
        <w:snapToGrid w:val="0"/>
        <w:spacing w:line="360" w:lineRule="auto"/>
        <w:ind w:left="1080" w:hanging="540"/>
      </w:pPr>
      <w:r>
        <w:t xml:space="preserve">YY/T 0297-1997 </w:t>
      </w:r>
      <w:r>
        <w:rPr>
          <w:rFonts w:hint="eastAsia"/>
        </w:rPr>
        <w:t>医疗器械临床研究</w:t>
      </w:r>
    </w:p>
    <w:p w14:paraId="789BF8CF">
      <w:pPr>
        <w:numPr>
          <w:ilvl w:val="1"/>
          <w:numId w:val="6"/>
        </w:numPr>
        <w:tabs>
          <w:tab w:val="left" w:pos="990"/>
          <w:tab w:val="clear" w:pos="810"/>
        </w:tabs>
        <w:adjustRightInd w:val="0"/>
        <w:snapToGrid w:val="0"/>
        <w:spacing w:line="360" w:lineRule="auto"/>
        <w:ind w:left="1080" w:hanging="540"/>
      </w:pPr>
      <w:r>
        <w:rPr>
          <w:rFonts w:hint="eastAsia"/>
        </w:rPr>
        <w:t>《医疗器械临床试验质量管理规范》，</w:t>
      </w:r>
      <w:r>
        <w:t>2016</w:t>
      </w:r>
      <w:r>
        <w:rPr>
          <w:rFonts w:hint="eastAsia"/>
        </w:rPr>
        <w:t>年</w:t>
      </w:r>
      <w:r>
        <w:t>3</w:t>
      </w:r>
      <w:r>
        <w:rPr>
          <w:rFonts w:hint="eastAsia"/>
        </w:rPr>
        <w:t>月</w:t>
      </w:r>
      <w:r>
        <w:t>23</w:t>
      </w:r>
      <w:r>
        <w:rPr>
          <w:rFonts w:hint="eastAsia"/>
        </w:rPr>
        <w:t>日发布（中国）</w:t>
      </w:r>
    </w:p>
    <w:p w14:paraId="061ADF36">
      <w:pPr>
        <w:numPr>
          <w:ilvl w:val="1"/>
          <w:numId w:val="6"/>
        </w:numPr>
        <w:tabs>
          <w:tab w:val="left" w:pos="990"/>
          <w:tab w:val="clear" w:pos="810"/>
        </w:tabs>
        <w:adjustRightInd w:val="0"/>
        <w:snapToGrid w:val="0"/>
        <w:spacing w:line="360" w:lineRule="auto"/>
        <w:ind w:left="990" w:hanging="450"/>
      </w:pPr>
      <w:r>
        <w:t>Council Directive 93/42/EEC of 14 June 1993 concerning medical devices, amended by directive 2007/47/EC/</w:t>
      </w:r>
      <w:r>
        <w:rPr>
          <w:rFonts w:hint="eastAsia"/>
        </w:rPr>
        <w:t>医疗器械指令，</w:t>
      </w:r>
      <w:r>
        <w:t>2007/47/EC</w:t>
      </w:r>
      <w:r>
        <w:rPr>
          <w:rFonts w:hint="eastAsia"/>
        </w:rPr>
        <w:t>指令修订版</w:t>
      </w:r>
    </w:p>
    <w:p w14:paraId="5116B05B">
      <w:pPr>
        <w:numPr>
          <w:ilvl w:val="1"/>
          <w:numId w:val="6"/>
        </w:numPr>
        <w:tabs>
          <w:tab w:val="left" w:pos="990"/>
          <w:tab w:val="clear" w:pos="810"/>
        </w:tabs>
        <w:adjustRightInd w:val="0"/>
        <w:snapToGrid w:val="0"/>
        <w:spacing w:line="360" w:lineRule="auto"/>
        <w:ind w:left="1080" w:hanging="540"/>
      </w:pPr>
      <w:r>
        <w:rPr>
          <w:rFonts w:hint="eastAsia"/>
        </w:rPr>
        <w:t>记录控制程序</w:t>
      </w:r>
    </w:p>
    <w:p w14:paraId="345D1B8F">
      <w:pPr>
        <w:adjustRightInd w:val="0"/>
        <w:snapToGrid w:val="0"/>
        <w:spacing w:line="360" w:lineRule="auto"/>
      </w:pPr>
    </w:p>
    <w:p w14:paraId="479F2D50">
      <w:pPr>
        <w:adjustRightInd w:val="0"/>
        <w:snapToGrid w:val="0"/>
        <w:ind w:left="981"/>
      </w:pPr>
    </w:p>
    <w:p w14:paraId="618A1527">
      <w:pPr>
        <w:adjustRightInd w:val="0"/>
        <w:snapToGrid w:val="0"/>
      </w:pPr>
    </w:p>
    <w:p w14:paraId="24EFAB5E">
      <w:pPr>
        <w:spacing w:line="360" w:lineRule="auto"/>
      </w:pPr>
    </w:p>
    <w:p w14:paraId="255E3B5B">
      <w:pPr>
        <w:pStyle w:val="5"/>
        <w:rPr>
          <w:rFonts w:hint="eastAsia" w:hAnsi="宋体"/>
          <w:sz w:val="22"/>
          <w:szCs w:val="22"/>
        </w:rPr>
      </w:pPr>
    </w:p>
    <w:p w14:paraId="1114F789">
      <w:pPr>
        <w:tabs>
          <w:tab w:val="left" w:pos="709"/>
        </w:tabs>
        <w:spacing w:line="360" w:lineRule="auto"/>
        <w:jc w:val="center"/>
        <w:rPr>
          <w:rFonts w:hint="eastAsia" w:eastAsia="等线"/>
          <w:lang w:eastAsia="zh-CN"/>
        </w:rPr>
      </w:pPr>
    </w:p>
    <w:p w14:paraId="66B8A28C">
      <w:pPr>
        <w:tabs>
          <w:tab w:val="left" w:pos="709"/>
        </w:tabs>
        <w:spacing w:line="360" w:lineRule="auto"/>
        <w:jc w:val="center"/>
        <w:rPr>
          <w:rFonts w:hint="eastAsia" w:eastAsia="等线"/>
          <w:lang w:eastAsia="zh-CN"/>
        </w:rPr>
      </w:pPr>
    </w:p>
    <w:p w14:paraId="703BF866">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4C308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E09CA06">
          <w:pPr>
            <w:tabs>
              <w:tab w:val="left" w:pos="709"/>
            </w:tabs>
            <w:rPr>
              <w:rFonts w:ascii="Cambria" w:hAnsi="Cambria"/>
              <w:sz w:val="20"/>
            </w:rPr>
          </w:pPr>
        </w:p>
      </w:tc>
    </w:tr>
  </w:tbl>
  <w:p w14:paraId="5A7F826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BEE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7315F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7AC436A3">
          <w:pPr>
            <w:tabs>
              <w:tab w:val="left" w:pos="709"/>
            </w:tabs>
            <w:rPr>
              <w:rFonts w:ascii="Cambria" w:hAnsi="Cambria"/>
              <w:sz w:val="20"/>
            </w:rPr>
          </w:pPr>
        </w:p>
      </w:tc>
    </w:tr>
  </w:tbl>
  <w:p w14:paraId="0D138B4D">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701F3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4902E450">
          <w:pPr>
            <w:tabs>
              <w:tab w:val="left" w:pos="461"/>
            </w:tabs>
            <w:jc w:val="center"/>
            <w:rPr>
              <w:b/>
              <w:lang w:val="zh-CN"/>
            </w:rPr>
          </w:pPr>
        </w:p>
      </w:tc>
      <w:tc>
        <w:tcPr>
          <w:tcW w:w="5379" w:type="dxa"/>
          <w:vMerge w:val="restart"/>
          <w:tcBorders>
            <w:left w:val="single" w:color="auto" w:sz="4" w:space="0"/>
          </w:tcBorders>
          <w:vAlign w:val="center"/>
        </w:tcPr>
        <w:p w14:paraId="02AFA4DE">
          <w:pPr>
            <w:tabs>
              <w:tab w:val="left" w:pos="461"/>
            </w:tabs>
            <w:jc w:val="center"/>
            <w:rPr>
              <w:b/>
              <w:lang w:val="zh-CN"/>
            </w:rPr>
          </w:pPr>
          <w:r>
            <w:rPr>
              <w:rFonts w:hint="eastAsia"/>
              <w:b/>
              <w:sz w:val="32"/>
              <w:szCs w:val="32"/>
            </w:rPr>
            <w:t>临床评价指南</w:t>
          </w:r>
        </w:p>
      </w:tc>
      <w:tc>
        <w:tcPr>
          <w:tcW w:w="1418" w:type="dxa"/>
          <w:vAlign w:val="center"/>
        </w:tcPr>
        <w:p w14:paraId="6FB596ED">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52C7D47C">
          <w:pPr>
            <w:jc w:val="center"/>
            <w:rPr>
              <w:szCs w:val="22"/>
            </w:rPr>
          </w:pPr>
          <w:r>
            <w:rPr>
              <w:sz w:val="22"/>
              <w:szCs w:val="22"/>
            </w:rPr>
            <w:t>RD-OP-006</w:t>
          </w:r>
        </w:p>
      </w:tc>
    </w:tr>
    <w:tr w14:paraId="0C1EF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4ECAFABF">
          <w:pPr>
            <w:jc w:val="center"/>
          </w:pPr>
        </w:p>
      </w:tc>
      <w:tc>
        <w:tcPr>
          <w:tcW w:w="5379" w:type="dxa"/>
          <w:vMerge w:val="continue"/>
          <w:tcBorders>
            <w:left w:val="single" w:color="auto" w:sz="4" w:space="0"/>
          </w:tcBorders>
          <w:vAlign w:val="center"/>
        </w:tcPr>
        <w:p w14:paraId="0D6EBADB">
          <w:pPr>
            <w:jc w:val="center"/>
          </w:pPr>
        </w:p>
      </w:tc>
      <w:tc>
        <w:tcPr>
          <w:tcW w:w="1418" w:type="dxa"/>
          <w:vAlign w:val="center"/>
        </w:tcPr>
        <w:p w14:paraId="24070C0A">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7D743390">
          <w:pPr>
            <w:jc w:val="center"/>
            <w:rPr>
              <w:szCs w:val="22"/>
            </w:rPr>
          </w:pPr>
          <w:r>
            <w:rPr>
              <w:sz w:val="22"/>
              <w:szCs w:val="22"/>
            </w:rPr>
            <w:t>01</w:t>
          </w:r>
        </w:p>
      </w:tc>
    </w:tr>
    <w:tr w14:paraId="12283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2549E2C9">
          <w:pPr>
            <w:jc w:val="center"/>
            <w:rPr>
              <w:b/>
              <w:sz w:val="32"/>
              <w:lang w:val="zh-CN"/>
            </w:rPr>
          </w:pPr>
        </w:p>
      </w:tc>
      <w:tc>
        <w:tcPr>
          <w:tcW w:w="5379" w:type="dxa"/>
          <w:vMerge w:val="continue"/>
          <w:tcBorders>
            <w:left w:val="single" w:color="auto" w:sz="4" w:space="0"/>
          </w:tcBorders>
          <w:vAlign w:val="center"/>
        </w:tcPr>
        <w:p w14:paraId="60143BD8">
          <w:pPr>
            <w:jc w:val="center"/>
            <w:rPr>
              <w:b/>
              <w:sz w:val="32"/>
              <w:lang w:val="zh-CN"/>
            </w:rPr>
          </w:pPr>
        </w:p>
      </w:tc>
      <w:tc>
        <w:tcPr>
          <w:tcW w:w="1418" w:type="dxa"/>
          <w:vAlign w:val="center"/>
        </w:tcPr>
        <w:p w14:paraId="323FD7CD">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3140CB4E">
          <w:pPr>
            <w:jc w:val="center"/>
            <w:rPr>
              <w:szCs w:val="22"/>
            </w:rPr>
          </w:pPr>
          <w:r>
            <w:rPr>
              <w:sz w:val="22"/>
              <w:szCs w:val="22"/>
              <w:lang w:eastAsia="zh-TW"/>
            </w:rPr>
            <w:t>2020年02月01日</w:t>
          </w:r>
        </w:p>
      </w:tc>
    </w:tr>
    <w:tr w14:paraId="45D9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527E5D3D">
          <w:pPr>
            <w:jc w:val="center"/>
            <w:rPr>
              <w:b/>
            </w:rPr>
          </w:pPr>
        </w:p>
      </w:tc>
      <w:tc>
        <w:tcPr>
          <w:tcW w:w="5379" w:type="dxa"/>
          <w:vMerge w:val="continue"/>
          <w:tcBorders>
            <w:left w:val="single" w:color="auto" w:sz="4" w:space="0"/>
          </w:tcBorders>
          <w:vAlign w:val="center"/>
        </w:tcPr>
        <w:p w14:paraId="5D20EB47">
          <w:pPr>
            <w:jc w:val="center"/>
            <w:rPr>
              <w:b/>
            </w:rPr>
          </w:pPr>
        </w:p>
      </w:tc>
      <w:tc>
        <w:tcPr>
          <w:tcW w:w="1418" w:type="dxa"/>
          <w:vAlign w:val="center"/>
        </w:tcPr>
        <w:p w14:paraId="05576F34">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35B9ADA1">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7C515E0E">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469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5A330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2E7EBC49">
          <w:pPr>
            <w:jc w:val="center"/>
          </w:pPr>
        </w:p>
      </w:tc>
      <w:tc>
        <w:tcPr>
          <w:tcW w:w="5620" w:type="dxa"/>
          <w:vMerge w:val="restart"/>
          <w:tcBorders>
            <w:left w:val="single" w:color="auto" w:sz="4" w:space="0"/>
          </w:tcBorders>
          <w:vAlign w:val="center"/>
        </w:tcPr>
        <w:p w14:paraId="39044AD2">
          <w:pPr>
            <w:jc w:val="center"/>
            <w:rPr>
              <w:rFonts w:ascii="宋体" w:hAnsi="宋体"/>
            </w:rPr>
          </w:pPr>
          <w:r>
            <w:rPr>
              <w:rFonts w:hint="eastAsia"/>
              <w:b/>
              <w:sz w:val="32"/>
              <w:szCs w:val="32"/>
            </w:rPr>
            <w:t>临床评价指南</w:t>
          </w:r>
        </w:p>
      </w:tc>
      <w:tc>
        <w:tcPr>
          <w:tcW w:w="1459" w:type="dxa"/>
          <w:vAlign w:val="center"/>
        </w:tcPr>
        <w:p w14:paraId="7A1E42F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51454042">
          <w:pPr>
            <w:jc w:val="center"/>
            <w:rPr>
              <w:szCs w:val="22"/>
            </w:rPr>
          </w:pPr>
          <w:r>
            <w:rPr>
              <w:sz w:val="22"/>
              <w:szCs w:val="22"/>
            </w:rPr>
            <w:t>RD-OP-006</w:t>
          </w:r>
        </w:p>
      </w:tc>
    </w:tr>
    <w:tr w14:paraId="5ACF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26C38CCB">
          <w:pPr>
            <w:jc w:val="center"/>
            <w:rPr>
              <w:b/>
            </w:rPr>
          </w:pPr>
        </w:p>
      </w:tc>
      <w:tc>
        <w:tcPr>
          <w:tcW w:w="5620" w:type="dxa"/>
          <w:vMerge w:val="continue"/>
          <w:tcBorders>
            <w:left w:val="single" w:color="auto" w:sz="4" w:space="0"/>
          </w:tcBorders>
          <w:vAlign w:val="center"/>
        </w:tcPr>
        <w:p w14:paraId="4E82EA8C">
          <w:pPr>
            <w:jc w:val="center"/>
            <w:rPr>
              <w:b/>
            </w:rPr>
          </w:pPr>
        </w:p>
      </w:tc>
      <w:tc>
        <w:tcPr>
          <w:tcW w:w="1459" w:type="dxa"/>
          <w:vAlign w:val="center"/>
        </w:tcPr>
        <w:p w14:paraId="61ED1A16">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1E56DF78">
          <w:pPr>
            <w:jc w:val="center"/>
            <w:rPr>
              <w:szCs w:val="22"/>
            </w:rPr>
          </w:pPr>
          <w:r>
            <w:rPr>
              <w:sz w:val="22"/>
              <w:szCs w:val="22"/>
            </w:rPr>
            <w:t>01</w:t>
          </w:r>
        </w:p>
      </w:tc>
      <w:tc>
        <w:tcPr>
          <w:tcW w:w="1201" w:type="dxa"/>
          <w:vAlign w:val="center"/>
        </w:tcPr>
        <w:p w14:paraId="6D5750D0">
          <w:pPr>
            <w:jc w:val="center"/>
            <w:rPr>
              <w:szCs w:val="22"/>
            </w:rPr>
          </w:pPr>
          <w:r>
            <w:rPr>
              <w:sz w:val="22"/>
              <w:szCs w:val="22"/>
            </w:rPr>
            <w:t>修改次数</w:t>
          </w:r>
        </w:p>
      </w:tc>
      <w:tc>
        <w:tcPr>
          <w:tcW w:w="401" w:type="dxa"/>
          <w:vAlign w:val="center"/>
        </w:tcPr>
        <w:p w14:paraId="0ED12E79">
          <w:pPr>
            <w:jc w:val="center"/>
            <w:rPr>
              <w:szCs w:val="22"/>
            </w:rPr>
          </w:pPr>
          <w:r>
            <w:rPr>
              <w:szCs w:val="22"/>
            </w:rPr>
            <w:t>0</w:t>
          </w:r>
        </w:p>
      </w:tc>
    </w:tr>
    <w:tr w14:paraId="4F56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7623FD44">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015A95BF">
          <w:pPr>
            <w:jc w:val="left"/>
          </w:pPr>
        </w:p>
      </w:tc>
      <w:tc>
        <w:tcPr>
          <w:tcW w:w="1459" w:type="dxa"/>
          <w:tcBorders>
            <w:bottom w:val="single" w:color="auto" w:sz="4" w:space="0"/>
          </w:tcBorders>
          <w:vAlign w:val="center"/>
        </w:tcPr>
        <w:p w14:paraId="1E1FA82B">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2DC03B6C">
          <w:pPr>
            <w:jc w:val="center"/>
            <w:rPr>
              <w:szCs w:val="22"/>
            </w:rPr>
          </w:pPr>
          <w:r>
            <w:rPr>
              <w:sz w:val="22"/>
              <w:szCs w:val="22"/>
              <w:lang w:eastAsia="zh-TW"/>
            </w:rPr>
            <w:t>2020年02月01日</w:t>
          </w:r>
        </w:p>
      </w:tc>
    </w:tr>
    <w:tr w14:paraId="328C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7829A09E">
          <w:pPr>
            <w:jc w:val="center"/>
          </w:pPr>
          <w:r>
            <w:rPr>
              <w:sz w:val="22"/>
              <w:szCs w:val="22"/>
            </w:rPr>
            <w:t>审核/</w:t>
          </w:r>
          <w:r>
            <w:rPr>
              <w:sz w:val="22"/>
              <w:szCs w:val="22"/>
              <w:lang w:eastAsia="zh-HK"/>
            </w:rPr>
            <w:t>日期</w:t>
          </w:r>
        </w:p>
      </w:tc>
      <w:tc>
        <w:tcPr>
          <w:tcW w:w="5620" w:type="dxa"/>
          <w:vAlign w:val="center"/>
        </w:tcPr>
        <w:p w14:paraId="407C2CCB">
          <w:pPr>
            <w:jc w:val="left"/>
          </w:pPr>
        </w:p>
      </w:tc>
      <w:tc>
        <w:tcPr>
          <w:tcW w:w="1459" w:type="dxa"/>
          <w:tcBorders>
            <w:top w:val="single" w:color="auto" w:sz="4" w:space="0"/>
            <w:bottom w:val="single" w:color="auto" w:sz="4" w:space="0"/>
          </w:tcBorders>
          <w:vAlign w:val="center"/>
        </w:tcPr>
        <w:p w14:paraId="4ADBF7A1">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7D9A003B">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5F5B2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28C7B9CA">
          <w:pPr>
            <w:jc w:val="center"/>
            <w:rPr>
              <w:lang w:eastAsia="zh-HK"/>
            </w:rPr>
          </w:pPr>
          <w:r>
            <w:rPr>
              <w:sz w:val="22"/>
              <w:szCs w:val="22"/>
            </w:rPr>
            <w:t>批准/</w:t>
          </w:r>
          <w:r>
            <w:rPr>
              <w:sz w:val="22"/>
              <w:szCs w:val="22"/>
              <w:lang w:eastAsia="zh-HK"/>
            </w:rPr>
            <w:t>日期</w:t>
          </w:r>
        </w:p>
      </w:tc>
      <w:tc>
        <w:tcPr>
          <w:tcW w:w="5620" w:type="dxa"/>
          <w:vAlign w:val="center"/>
        </w:tcPr>
        <w:p w14:paraId="5E363FF1">
          <w:pPr>
            <w:jc w:val="left"/>
          </w:pPr>
        </w:p>
      </w:tc>
      <w:tc>
        <w:tcPr>
          <w:tcW w:w="1459" w:type="dxa"/>
          <w:tcBorders>
            <w:top w:val="single" w:color="auto" w:sz="4" w:space="0"/>
          </w:tcBorders>
          <w:vAlign w:val="center"/>
        </w:tcPr>
        <w:p w14:paraId="2C7848E1">
          <w:pPr>
            <w:jc w:val="center"/>
            <w:rPr>
              <w:szCs w:val="22"/>
            </w:rPr>
          </w:pPr>
          <w:r>
            <w:rPr>
              <w:sz w:val="22"/>
              <w:szCs w:val="22"/>
            </w:rPr>
            <w:t>受控状态</w:t>
          </w:r>
        </w:p>
      </w:tc>
      <w:tc>
        <w:tcPr>
          <w:tcW w:w="2157" w:type="dxa"/>
          <w:gridSpan w:val="3"/>
          <w:tcBorders>
            <w:top w:val="single" w:color="auto" w:sz="4" w:space="0"/>
          </w:tcBorders>
          <w:vAlign w:val="center"/>
        </w:tcPr>
        <w:p w14:paraId="41F2521D">
          <w:pPr>
            <w:jc w:val="center"/>
            <w:rPr>
              <w:szCs w:val="22"/>
            </w:rPr>
          </w:pPr>
          <w:r>
            <w:rPr>
              <w:sz w:val="22"/>
              <w:szCs w:val="22"/>
            </w:rPr>
            <w:t>受控</w:t>
          </w:r>
        </w:p>
      </w:tc>
    </w:tr>
  </w:tbl>
  <w:p w14:paraId="319316C5">
    <w:pPr>
      <w:pStyle w:val="9"/>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3080C"/>
    <w:multiLevelType w:val="multilevel"/>
    <w:tmpl w:val="0773080C"/>
    <w:lvl w:ilvl="0" w:tentative="0">
      <w:start w:val="1"/>
      <w:numFmt w:val="decimal"/>
      <w:lvlText w:val="%1.0"/>
      <w:lvlJc w:val="left"/>
      <w:pPr>
        <w:tabs>
          <w:tab w:val="left" w:pos="420"/>
        </w:tabs>
        <w:ind w:left="420" w:hanging="420"/>
      </w:pPr>
    </w:lvl>
    <w:lvl w:ilvl="1" w:tentative="0">
      <w:start w:val="5"/>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4C7DA4"/>
    <w:multiLevelType w:val="multilevel"/>
    <w:tmpl w:val="134C7DA4"/>
    <w:lvl w:ilvl="0" w:tentative="0">
      <w:start w:val="7"/>
      <w:numFmt w:val="decimal"/>
      <w:lvlText w:val="%1"/>
      <w:lvlJc w:val="left"/>
      <w:pPr>
        <w:tabs>
          <w:tab w:val="left" w:pos="360"/>
        </w:tabs>
        <w:ind w:left="360" w:hanging="360"/>
      </w:pPr>
    </w:lvl>
    <w:lvl w:ilvl="1" w:tentative="0">
      <w:start w:val="1"/>
      <w:numFmt w:val="decimal"/>
      <w:lvlText w:val="%1.%2"/>
      <w:lvlJc w:val="left"/>
      <w:pPr>
        <w:tabs>
          <w:tab w:val="left" w:pos="810"/>
        </w:tabs>
        <w:ind w:left="810" w:hanging="360"/>
      </w:pPr>
      <w:rPr>
        <w:rFonts w:hint="default" w:ascii="Times New Roman" w:hAnsi="Times New Roman" w:cs="Times New Roman"/>
        <w:color w:val="auto"/>
      </w:rPr>
    </w:lvl>
    <w:lvl w:ilvl="2" w:tentative="0">
      <w:start w:val="1"/>
      <w:numFmt w:val="decimal"/>
      <w:lvlText w:val="%1.%2.%3"/>
      <w:lvlJc w:val="left"/>
      <w:pPr>
        <w:tabs>
          <w:tab w:val="left" w:pos="1620"/>
        </w:tabs>
        <w:ind w:left="1620" w:hanging="720"/>
      </w:pPr>
    </w:lvl>
    <w:lvl w:ilvl="3" w:tentative="0">
      <w:start w:val="1"/>
      <w:numFmt w:val="decimal"/>
      <w:lvlText w:val="%1.%2.%3.%4"/>
      <w:lvlJc w:val="left"/>
      <w:pPr>
        <w:tabs>
          <w:tab w:val="left" w:pos="2070"/>
        </w:tabs>
        <w:ind w:left="2070" w:hanging="720"/>
      </w:pPr>
    </w:lvl>
    <w:lvl w:ilvl="4" w:tentative="0">
      <w:start w:val="1"/>
      <w:numFmt w:val="decimal"/>
      <w:lvlText w:val="%1.%2.%3.%4.%5"/>
      <w:lvlJc w:val="left"/>
      <w:pPr>
        <w:tabs>
          <w:tab w:val="left" w:pos="2880"/>
        </w:tabs>
        <w:ind w:left="2880" w:hanging="1080"/>
      </w:pPr>
    </w:lvl>
    <w:lvl w:ilvl="5" w:tentative="0">
      <w:start w:val="1"/>
      <w:numFmt w:val="decimal"/>
      <w:lvlText w:val="%1.%2.%3.%4.%5.%6"/>
      <w:lvlJc w:val="left"/>
      <w:pPr>
        <w:tabs>
          <w:tab w:val="left" w:pos="3330"/>
        </w:tabs>
        <w:ind w:left="3330" w:hanging="1080"/>
      </w:pPr>
    </w:lvl>
    <w:lvl w:ilvl="6" w:tentative="0">
      <w:start w:val="1"/>
      <w:numFmt w:val="decimal"/>
      <w:lvlText w:val="%1.%2.%3.%4.%5.%6.%7"/>
      <w:lvlJc w:val="left"/>
      <w:pPr>
        <w:tabs>
          <w:tab w:val="left" w:pos="4140"/>
        </w:tabs>
        <w:ind w:left="4140" w:hanging="1440"/>
      </w:pPr>
    </w:lvl>
    <w:lvl w:ilvl="7" w:tentative="0">
      <w:start w:val="1"/>
      <w:numFmt w:val="decimal"/>
      <w:lvlText w:val="%1.%2.%3.%4.%5.%6.%7.%8"/>
      <w:lvlJc w:val="left"/>
      <w:pPr>
        <w:tabs>
          <w:tab w:val="left" w:pos="4590"/>
        </w:tabs>
        <w:ind w:left="4590" w:hanging="1440"/>
      </w:pPr>
    </w:lvl>
    <w:lvl w:ilvl="8" w:tentative="0">
      <w:start w:val="1"/>
      <w:numFmt w:val="decimal"/>
      <w:lvlText w:val="%1.%2.%3.%4.%5.%6.%7.%8.%9"/>
      <w:lvlJc w:val="left"/>
      <w:pPr>
        <w:tabs>
          <w:tab w:val="left" w:pos="5400"/>
        </w:tabs>
        <w:ind w:left="5400" w:hanging="1800"/>
      </w:pPr>
    </w:lvl>
  </w:abstractNum>
  <w:abstractNum w:abstractNumId="2">
    <w:nsid w:val="2C8C3AB3"/>
    <w:multiLevelType w:val="multilevel"/>
    <w:tmpl w:val="2C8C3AB3"/>
    <w:lvl w:ilvl="0" w:tentative="0">
      <w:start w:val="1"/>
      <w:numFmt w:val="bullet"/>
      <w:lvlText w:val=""/>
      <w:lvlJc w:val="left"/>
      <w:pPr>
        <w:ind w:left="2972" w:hanging="420"/>
      </w:pPr>
      <w:rPr>
        <w:rFonts w:hint="default" w:ascii="Wingdings" w:hAnsi="Wingdings"/>
      </w:rPr>
    </w:lvl>
    <w:lvl w:ilvl="1" w:tentative="0">
      <w:start w:val="1"/>
      <w:numFmt w:val="bullet"/>
      <w:lvlText w:val=""/>
      <w:lvlJc w:val="left"/>
      <w:pPr>
        <w:ind w:left="3392" w:hanging="420"/>
      </w:pPr>
      <w:rPr>
        <w:rFonts w:hint="default" w:ascii="Wingdings" w:hAnsi="Wingdings"/>
      </w:rPr>
    </w:lvl>
    <w:lvl w:ilvl="2" w:tentative="0">
      <w:start w:val="1"/>
      <w:numFmt w:val="bullet"/>
      <w:lvlText w:val=""/>
      <w:lvlJc w:val="left"/>
      <w:pPr>
        <w:ind w:left="3812" w:hanging="420"/>
      </w:pPr>
      <w:rPr>
        <w:rFonts w:hint="default" w:ascii="Wingdings" w:hAnsi="Wingdings"/>
      </w:rPr>
    </w:lvl>
    <w:lvl w:ilvl="3" w:tentative="0">
      <w:start w:val="1"/>
      <w:numFmt w:val="bullet"/>
      <w:lvlText w:val=""/>
      <w:lvlJc w:val="left"/>
      <w:pPr>
        <w:ind w:left="4232" w:hanging="420"/>
      </w:pPr>
      <w:rPr>
        <w:rFonts w:hint="default" w:ascii="Wingdings" w:hAnsi="Wingdings"/>
      </w:rPr>
    </w:lvl>
    <w:lvl w:ilvl="4" w:tentative="0">
      <w:start w:val="1"/>
      <w:numFmt w:val="bullet"/>
      <w:lvlText w:val=""/>
      <w:lvlJc w:val="left"/>
      <w:pPr>
        <w:ind w:left="4652" w:hanging="420"/>
      </w:pPr>
      <w:rPr>
        <w:rFonts w:hint="default" w:ascii="Wingdings" w:hAnsi="Wingdings"/>
      </w:rPr>
    </w:lvl>
    <w:lvl w:ilvl="5" w:tentative="0">
      <w:start w:val="1"/>
      <w:numFmt w:val="bullet"/>
      <w:lvlText w:val=""/>
      <w:lvlJc w:val="left"/>
      <w:pPr>
        <w:ind w:left="5072" w:hanging="420"/>
      </w:pPr>
      <w:rPr>
        <w:rFonts w:hint="default" w:ascii="Wingdings" w:hAnsi="Wingdings"/>
      </w:rPr>
    </w:lvl>
    <w:lvl w:ilvl="6" w:tentative="0">
      <w:start w:val="1"/>
      <w:numFmt w:val="bullet"/>
      <w:lvlText w:val=""/>
      <w:lvlJc w:val="left"/>
      <w:pPr>
        <w:ind w:left="5492" w:hanging="420"/>
      </w:pPr>
      <w:rPr>
        <w:rFonts w:hint="default" w:ascii="Wingdings" w:hAnsi="Wingdings"/>
      </w:rPr>
    </w:lvl>
    <w:lvl w:ilvl="7" w:tentative="0">
      <w:start w:val="1"/>
      <w:numFmt w:val="bullet"/>
      <w:lvlText w:val=""/>
      <w:lvlJc w:val="left"/>
      <w:pPr>
        <w:ind w:left="5912" w:hanging="420"/>
      </w:pPr>
      <w:rPr>
        <w:rFonts w:hint="default" w:ascii="Wingdings" w:hAnsi="Wingdings"/>
      </w:rPr>
    </w:lvl>
    <w:lvl w:ilvl="8" w:tentative="0">
      <w:start w:val="1"/>
      <w:numFmt w:val="bullet"/>
      <w:lvlText w:val=""/>
      <w:lvlJc w:val="left"/>
      <w:pPr>
        <w:ind w:left="6332" w:hanging="420"/>
      </w:pPr>
      <w:rPr>
        <w:rFonts w:hint="default" w:ascii="Wingdings" w:hAnsi="Wingdings"/>
      </w:rPr>
    </w:lvl>
  </w:abstractNum>
  <w:abstractNum w:abstractNumId="3">
    <w:nsid w:val="4DE80EDD"/>
    <w:multiLevelType w:val="multilevel"/>
    <w:tmpl w:val="4DE80EDD"/>
    <w:lvl w:ilvl="0" w:tentative="0">
      <w:start w:val="6"/>
      <w:numFmt w:val="decimal"/>
      <w:lvlText w:val="%1"/>
      <w:lvlJc w:val="left"/>
      <w:pPr>
        <w:ind w:left="360" w:hanging="360"/>
      </w:pPr>
    </w:lvl>
    <w:lvl w:ilvl="1" w:tentative="0">
      <w:start w:val="1"/>
      <w:numFmt w:val="decimal"/>
      <w:lvlText w:val="%1.%2"/>
      <w:lvlJc w:val="left"/>
      <w:pPr>
        <w:ind w:left="928" w:hanging="360"/>
      </w:pPr>
    </w:lvl>
    <w:lvl w:ilvl="2" w:tentative="0">
      <w:start w:val="1"/>
      <w:numFmt w:val="decimal"/>
      <w:lvlText w:val="%1.%2.%3"/>
      <w:lvlJc w:val="left"/>
      <w:pPr>
        <w:ind w:left="2988" w:hanging="720"/>
      </w:pPr>
    </w:lvl>
    <w:lvl w:ilvl="3" w:tentative="0">
      <w:start w:val="1"/>
      <w:numFmt w:val="decimal"/>
      <w:lvlText w:val="%1.%2.%3.%4"/>
      <w:lvlJc w:val="left"/>
      <w:pPr>
        <w:ind w:left="4122" w:hanging="720"/>
      </w:pPr>
    </w:lvl>
    <w:lvl w:ilvl="4" w:tentative="0">
      <w:start w:val="1"/>
      <w:numFmt w:val="decimal"/>
      <w:lvlText w:val="%1.%2.%3.%4.%5"/>
      <w:lvlJc w:val="left"/>
      <w:pPr>
        <w:ind w:left="5616" w:hanging="1080"/>
      </w:pPr>
    </w:lvl>
    <w:lvl w:ilvl="5" w:tentative="0">
      <w:start w:val="1"/>
      <w:numFmt w:val="decimal"/>
      <w:lvlText w:val="%1.%2.%3.%4.%5.%6"/>
      <w:lvlJc w:val="left"/>
      <w:pPr>
        <w:ind w:left="6750" w:hanging="1080"/>
      </w:pPr>
    </w:lvl>
    <w:lvl w:ilvl="6" w:tentative="0">
      <w:start w:val="1"/>
      <w:numFmt w:val="decimal"/>
      <w:lvlText w:val="%1.%2.%3.%4.%5.%6.%7"/>
      <w:lvlJc w:val="left"/>
      <w:pPr>
        <w:ind w:left="8244" w:hanging="1440"/>
      </w:pPr>
    </w:lvl>
    <w:lvl w:ilvl="7" w:tentative="0">
      <w:start w:val="1"/>
      <w:numFmt w:val="decimal"/>
      <w:lvlText w:val="%1.%2.%3.%4.%5.%6.%7.%8"/>
      <w:lvlJc w:val="left"/>
      <w:pPr>
        <w:ind w:left="9378" w:hanging="1440"/>
      </w:pPr>
    </w:lvl>
    <w:lvl w:ilvl="8" w:tentative="0">
      <w:start w:val="1"/>
      <w:numFmt w:val="decimal"/>
      <w:lvlText w:val="%1.%2.%3.%4.%5.%6.%7.%8.%9"/>
      <w:lvlJc w:val="left"/>
      <w:pPr>
        <w:ind w:left="10872" w:hanging="1800"/>
      </w:pPr>
    </w:lvl>
  </w:abstractNum>
  <w:abstractNum w:abstractNumId="4">
    <w:nsid w:val="526A68D4"/>
    <w:multiLevelType w:val="multilevel"/>
    <w:tmpl w:val="526A68D4"/>
    <w:lvl w:ilvl="0" w:tentative="0">
      <w:start w:val="5"/>
      <w:numFmt w:val="decimal"/>
      <w:lvlText w:val="%1"/>
      <w:lvlJc w:val="left"/>
      <w:pPr>
        <w:tabs>
          <w:tab w:val="left" w:pos="360"/>
        </w:tabs>
        <w:ind w:left="360" w:hanging="360"/>
      </w:pPr>
    </w:lvl>
    <w:lvl w:ilvl="1" w:tentative="0">
      <w:start w:val="1"/>
      <w:numFmt w:val="decimal"/>
      <w:lvlText w:val="%1.%2"/>
      <w:lvlJc w:val="left"/>
      <w:pPr>
        <w:tabs>
          <w:tab w:val="left" w:pos="786"/>
        </w:tabs>
        <w:ind w:left="786" w:hanging="360"/>
      </w:pPr>
    </w:lvl>
    <w:lvl w:ilvl="2" w:tentative="0">
      <w:start w:val="1"/>
      <w:numFmt w:val="decimal"/>
      <w:lvlText w:val="%1.%2.%3"/>
      <w:lvlJc w:val="left"/>
      <w:pPr>
        <w:tabs>
          <w:tab w:val="left" w:pos="1620"/>
        </w:tabs>
        <w:ind w:left="1620" w:hanging="720"/>
      </w:pPr>
    </w:lvl>
    <w:lvl w:ilvl="3" w:tentative="0">
      <w:start w:val="1"/>
      <w:numFmt w:val="decimal"/>
      <w:lvlText w:val="%1.%2.%3.%4"/>
      <w:lvlJc w:val="left"/>
      <w:pPr>
        <w:tabs>
          <w:tab w:val="left" w:pos="2070"/>
        </w:tabs>
        <w:ind w:left="2070" w:hanging="720"/>
      </w:pPr>
    </w:lvl>
    <w:lvl w:ilvl="4" w:tentative="0">
      <w:start w:val="1"/>
      <w:numFmt w:val="decimal"/>
      <w:lvlText w:val="%1.%2.%3.%4.%5"/>
      <w:lvlJc w:val="left"/>
      <w:pPr>
        <w:tabs>
          <w:tab w:val="left" w:pos="2880"/>
        </w:tabs>
        <w:ind w:left="2880" w:hanging="1080"/>
      </w:pPr>
    </w:lvl>
    <w:lvl w:ilvl="5" w:tentative="0">
      <w:start w:val="1"/>
      <w:numFmt w:val="decimal"/>
      <w:lvlText w:val="%1.%2.%3.%4.%5.%6"/>
      <w:lvlJc w:val="left"/>
      <w:pPr>
        <w:tabs>
          <w:tab w:val="left" w:pos="3330"/>
        </w:tabs>
        <w:ind w:left="3330" w:hanging="1080"/>
      </w:pPr>
    </w:lvl>
    <w:lvl w:ilvl="6" w:tentative="0">
      <w:start w:val="1"/>
      <w:numFmt w:val="decimal"/>
      <w:lvlText w:val="%1.%2.%3.%4.%5.%6.%7"/>
      <w:lvlJc w:val="left"/>
      <w:pPr>
        <w:tabs>
          <w:tab w:val="left" w:pos="4140"/>
        </w:tabs>
        <w:ind w:left="4140" w:hanging="1440"/>
      </w:pPr>
    </w:lvl>
    <w:lvl w:ilvl="7" w:tentative="0">
      <w:start w:val="1"/>
      <w:numFmt w:val="decimal"/>
      <w:lvlText w:val="%1.%2.%3.%4.%5.%6.%7.%8"/>
      <w:lvlJc w:val="left"/>
      <w:pPr>
        <w:tabs>
          <w:tab w:val="left" w:pos="4590"/>
        </w:tabs>
        <w:ind w:left="4590" w:hanging="1440"/>
      </w:pPr>
    </w:lvl>
    <w:lvl w:ilvl="8" w:tentative="0">
      <w:start w:val="1"/>
      <w:numFmt w:val="decimal"/>
      <w:lvlText w:val="%1.%2.%3.%4.%5.%6.%7.%8.%9"/>
      <w:lvlJc w:val="left"/>
      <w:pPr>
        <w:tabs>
          <w:tab w:val="left" w:pos="5040"/>
        </w:tabs>
        <w:ind w:left="5040" w:hanging="1440"/>
      </w:pPr>
    </w:lvl>
  </w:abstractNum>
  <w:abstractNum w:abstractNumId="5">
    <w:nsid w:val="64F134EB"/>
    <w:multiLevelType w:val="multilevel"/>
    <w:tmpl w:val="64F134EB"/>
    <w:lvl w:ilvl="0" w:tentative="0">
      <w:start w:val="4"/>
      <w:numFmt w:val="decimal"/>
      <w:lvlText w:val="%1"/>
      <w:lvlJc w:val="left"/>
      <w:pPr>
        <w:tabs>
          <w:tab w:val="left" w:pos="360"/>
        </w:tabs>
        <w:ind w:left="360" w:hanging="360"/>
      </w:pPr>
    </w:lvl>
    <w:lvl w:ilvl="1" w:tentative="0">
      <w:start w:val="1"/>
      <w:numFmt w:val="decimal"/>
      <w:lvlText w:val="%1.%2"/>
      <w:lvlJc w:val="left"/>
      <w:pPr>
        <w:tabs>
          <w:tab w:val="left" w:pos="786"/>
        </w:tabs>
        <w:ind w:left="786" w:hanging="360"/>
      </w:pPr>
    </w:lvl>
    <w:lvl w:ilvl="2" w:tentative="0">
      <w:start w:val="1"/>
      <w:numFmt w:val="decimal"/>
      <w:lvlText w:val="%1.%2.%3"/>
      <w:lvlJc w:val="left"/>
      <w:pPr>
        <w:tabs>
          <w:tab w:val="left" w:pos="1620"/>
        </w:tabs>
        <w:ind w:left="1620" w:hanging="720"/>
      </w:pPr>
    </w:lvl>
    <w:lvl w:ilvl="3" w:tentative="0">
      <w:start w:val="1"/>
      <w:numFmt w:val="decimal"/>
      <w:lvlText w:val="%1.%2.%3.%4"/>
      <w:lvlJc w:val="left"/>
      <w:pPr>
        <w:tabs>
          <w:tab w:val="left" w:pos="2070"/>
        </w:tabs>
        <w:ind w:left="2070" w:hanging="720"/>
      </w:pPr>
    </w:lvl>
    <w:lvl w:ilvl="4" w:tentative="0">
      <w:start w:val="1"/>
      <w:numFmt w:val="decimal"/>
      <w:lvlText w:val="%1.%2.%3.%4.%5"/>
      <w:lvlJc w:val="left"/>
      <w:pPr>
        <w:tabs>
          <w:tab w:val="left" w:pos="2880"/>
        </w:tabs>
        <w:ind w:left="2880" w:hanging="1080"/>
      </w:pPr>
    </w:lvl>
    <w:lvl w:ilvl="5" w:tentative="0">
      <w:start w:val="1"/>
      <w:numFmt w:val="decimal"/>
      <w:lvlText w:val="%1.%2.%3.%4.%5.%6"/>
      <w:lvlJc w:val="left"/>
      <w:pPr>
        <w:tabs>
          <w:tab w:val="left" w:pos="3330"/>
        </w:tabs>
        <w:ind w:left="3330" w:hanging="1080"/>
      </w:pPr>
    </w:lvl>
    <w:lvl w:ilvl="6" w:tentative="0">
      <w:start w:val="1"/>
      <w:numFmt w:val="decimal"/>
      <w:lvlText w:val="%1.%2.%3.%4.%5.%6.%7"/>
      <w:lvlJc w:val="left"/>
      <w:pPr>
        <w:tabs>
          <w:tab w:val="left" w:pos="4140"/>
        </w:tabs>
        <w:ind w:left="4140" w:hanging="1440"/>
      </w:pPr>
    </w:lvl>
    <w:lvl w:ilvl="7" w:tentative="0">
      <w:start w:val="1"/>
      <w:numFmt w:val="decimal"/>
      <w:lvlText w:val="%1.%2.%3.%4.%5.%6.%7.%8"/>
      <w:lvlJc w:val="left"/>
      <w:pPr>
        <w:tabs>
          <w:tab w:val="left" w:pos="4590"/>
        </w:tabs>
        <w:ind w:left="4590" w:hanging="1440"/>
      </w:pPr>
    </w:lvl>
    <w:lvl w:ilvl="8" w:tentative="0">
      <w:start w:val="1"/>
      <w:numFmt w:val="decimal"/>
      <w:lvlText w:val="%1.%2.%3.%4.%5.%6.%7.%8.%9"/>
      <w:lvlJc w:val="left"/>
      <w:pPr>
        <w:tabs>
          <w:tab w:val="left" w:pos="5400"/>
        </w:tabs>
        <w:ind w:left="5400" w:hanging="180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548FA"/>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FC0"/>
    <w:rsid w:val="00303F87"/>
    <w:rsid w:val="00313BCC"/>
    <w:rsid w:val="00326510"/>
    <w:rsid w:val="00331C87"/>
    <w:rsid w:val="00332C36"/>
    <w:rsid w:val="00347BD9"/>
    <w:rsid w:val="00361C94"/>
    <w:rsid w:val="0036433E"/>
    <w:rsid w:val="00386B06"/>
    <w:rsid w:val="0038751A"/>
    <w:rsid w:val="003C752B"/>
    <w:rsid w:val="003D384C"/>
    <w:rsid w:val="003F52E6"/>
    <w:rsid w:val="00412719"/>
    <w:rsid w:val="00414551"/>
    <w:rsid w:val="00416532"/>
    <w:rsid w:val="00416B16"/>
    <w:rsid w:val="004214BE"/>
    <w:rsid w:val="00423F19"/>
    <w:rsid w:val="00431F7A"/>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B7456"/>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2560"/>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1344"/>
    <w:rsid w:val="00A53D80"/>
    <w:rsid w:val="00A73790"/>
    <w:rsid w:val="00A91035"/>
    <w:rsid w:val="00A9234D"/>
    <w:rsid w:val="00A941EE"/>
    <w:rsid w:val="00A95AFE"/>
    <w:rsid w:val="00AA1189"/>
    <w:rsid w:val="00AC6A80"/>
    <w:rsid w:val="00AD22E7"/>
    <w:rsid w:val="00AD6DCA"/>
    <w:rsid w:val="00AF468E"/>
    <w:rsid w:val="00B07A94"/>
    <w:rsid w:val="00B1191C"/>
    <w:rsid w:val="00B11EAA"/>
    <w:rsid w:val="00B23254"/>
    <w:rsid w:val="00B263C0"/>
    <w:rsid w:val="00B34C28"/>
    <w:rsid w:val="00B3536F"/>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3BBE"/>
    <w:rsid w:val="00BC439F"/>
    <w:rsid w:val="00BD094F"/>
    <w:rsid w:val="00BD4C88"/>
    <w:rsid w:val="00BE78BB"/>
    <w:rsid w:val="00BF261B"/>
    <w:rsid w:val="00BF57E1"/>
    <w:rsid w:val="00C023E1"/>
    <w:rsid w:val="00C10432"/>
    <w:rsid w:val="00C10857"/>
    <w:rsid w:val="00C30A2C"/>
    <w:rsid w:val="00C80ADC"/>
    <w:rsid w:val="00C8340F"/>
    <w:rsid w:val="00C84227"/>
    <w:rsid w:val="00C8464D"/>
    <w:rsid w:val="00C852B8"/>
    <w:rsid w:val="00C925B0"/>
    <w:rsid w:val="00CB0017"/>
    <w:rsid w:val="00CB7F06"/>
    <w:rsid w:val="00CC179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D5484"/>
    <w:rsid w:val="00DF0978"/>
    <w:rsid w:val="00DF4776"/>
    <w:rsid w:val="00E005C9"/>
    <w:rsid w:val="00E1250F"/>
    <w:rsid w:val="00E336AC"/>
    <w:rsid w:val="00E34118"/>
    <w:rsid w:val="00E43D41"/>
    <w:rsid w:val="00E76CDA"/>
    <w:rsid w:val="00E82FAE"/>
    <w:rsid w:val="00E94EA9"/>
    <w:rsid w:val="00EB272E"/>
    <w:rsid w:val="00EB512C"/>
    <w:rsid w:val="00EB6962"/>
    <w:rsid w:val="00EB7F2A"/>
    <w:rsid w:val="00EE7BF7"/>
    <w:rsid w:val="00EE7D19"/>
    <w:rsid w:val="00EF2779"/>
    <w:rsid w:val="00EF43BF"/>
    <w:rsid w:val="00EF6F95"/>
    <w:rsid w:val="00F0486F"/>
    <w:rsid w:val="00F12707"/>
    <w:rsid w:val="00F129C7"/>
    <w:rsid w:val="00F43E3F"/>
    <w:rsid w:val="00F45155"/>
    <w:rsid w:val="00F51A0A"/>
    <w:rsid w:val="00F51B24"/>
    <w:rsid w:val="00F560EE"/>
    <w:rsid w:val="00F57173"/>
    <w:rsid w:val="00FA1881"/>
    <w:rsid w:val="00FA39C2"/>
    <w:rsid w:val="00FA4DFA"/>
    <w:rsid w:val="00FB5F13"/>
    <w:rsid w:val="00FB6D29"/>
    <w:rsid w:val="00FC5195"/>
    <w:rsid w:val="00FC7941"/>
    <w:rsid w:val="00FF5C4C"/>
    <w:rsid w:val="072E1FD6"/>
    <w:rsid w:val="082C2F7F"/>
    <w:rsid w:val="099875AF"/>
    <w:rsid w:val="09A84481"/>
    <w:rsid w:val="09B95487"/>
    <w:rsid w:val="0D760E4F"/>
    <w:rsid w:val="12573988"/>
    <w:rsid w:val="14C16373"/>
    <w:rsid w:val="153C7197"/>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CBA2B5D"/>
    <w:rsid w:val="5D86000E"/>
    <w:rsid w:val="5DCE2191"/>
    <w:rsid w:val="5E932007"/>
    <w:rsid w:val="5F8E41B7"/>
    <w:rsid w:val="5FD0209A"/>
    <w:rsid w:val="616A11FA"/>
    <w:rsid w:val="61714984"/>
    <w:rsid w:val="677833FA"/>
    <w:rsid w:val="755C2BC7"/>
    <w:rsid w:val="768F381D"/>
    <w:rsid w:val="76A21DAB"/>
    <w:rsid w:val="76CC387F"/>
    <w:rsid w:val="78695E9C"/>
    <w:rsid w:val="7CA1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ody Text Indent 2"/>
    <w:basedOn w:val="1"/>
    <w:link w:val="23"/>
    <w:semiHidden/>
    <w:unhideWhenUsed/>
    <w:qFormat/>
    <w:uiPriority w:val="99"/>
    <w:pPr>
      <w:spacing w:after="120" w:line="480" w:lineRule="auto"/>
      <w:ind w:left="360"/>
    </w:p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680"/>
        <w:tab w:val="right" w:pos="9360"/>
      </w:tabs>
    </w:pPr>
  </w:style>
  <w:style w:type="paragraph" w:styleId="9">
    <w:name w:val="header"/>
    <w:basedOn w:val="1"/>
    <w:link w:val="14"/>
    <w:unhideWhenUsed/>
    <w:qFormat/>
    <w:uiPriority w:val="99"/>
    <w:pPr>
      <w:tabs>
        <w:tab w:val="center" w:pos="4680"/>
        <w:tab w:val="right" w:pos="9360"/>
      </w:tabs>
    </w:pPr>
  </w:style>
  <w:style w:type="paragraph" w:styleId="10">
    <w:name w:val="Body Text Indent 3"/>
    <w:basedOn w:val="1"/>
    <w:link w:val="24"/>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4">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5">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6">
    <w:name w:val="标题 3 字符"/>
    <w:basedOn w:val="13"/>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34"/>
    <w:pPr>
      <w:ind w:left="720"/>
      <w:contextualSpacing/>
    </w:pPr>
  </w:style>
  <w:style w:type="character" w:customStyle="1" w:styleId="19">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3"/>
    <w:link w:val="5"/>
    <w:qFormat/>
    <w:uiPriority w:val="0"/>
    <w:rPr>
      <w:rFonts w:ascii="宋体" w:hAnsi="Courier New" w:eastAsia="宋体" w:cs="Times New Roman"/>
      <w:kern w:val="2"/>
      <w:sz w:val="24"/>
      <w:szCs w:val="20"/>
      <w:lang w:eastAsia="zh-CN"/>
    </w:rPr>
  </w:style>
  <w:style w:type="character" w:customStyle="1" w:styleId="22">
    <w:name w:val="short_text"/>
    <w:basedOn w:val="13"/>
    <w:qFormat/>
    <w:uiPriority w:val="0"/>
  </w:style>
  <w:style w:type="character" w:customStyle="1" w:styleId="23">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4">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5">
    <w:name w:val="label_lis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4B9A-9F6D-44FE-9439-26F8BADFA3FB}">
  <ds:schemaRefs/>
</ds:datastoreItem>
</file>

<file path=docProps/app.xml><?xml version="1.0" encoding="utf-8"?>
<Properties xmlns="http://schemas.openxmlformats.org/officeDocument/2006/extended-properties" xmlns:vt="http://schemas.openxmlformats.org/officeDocument/2006/docPropsVTypes">
  <Template>Normal</Template>
  <Pages>6</Pages>
  <Words>2668</Words>
  <Characters>3650</Characters>
  <Lines>26</Lines>
  <Paragraphs>7</Paragraphs>
  <TotalTime>0</TotalTime>
  <ScaleCrop>false</ScaleCrop>
  <LinksUpToDate>false</LinksUpToDate>
  <CharactersWithSpaces>3750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2020-04-20T15:33:00Z</dcterms:created>
  <dc:creator>cslau</dc:creator>
  <cp:lastModifiedBy>太极箫客</cp:lastModifiedBy>
  <cp:lastPrinted>2017-09-30T14:47:00Z</cp:lastPrinted>
  <dcterms:modified xsi:type="dcterms:W3CDTF">2025-08-14T06:24:50Z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CD5E9FAE1881447A9729455891CE6929_12</vt:lpwstr>
  </property>
</Properties>
</file>